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89" w:rsidRPr="005A3EF3" w:rsidRDefault="00197011" w:rsidP="005A3EF3">
      <w:pPr>
        <w:ind w:firstLine="567"/>
        <w:jc w:val="center"/>
        <w:rPr>
          <w:b/>
          <w:sz w:val="28"/>
          <w:szCs w:val="28"/>
        </w:rPr>
      </w:pPr>
      <w:r w:rsidRPr="005A3EF3">
        <w:rPr>
          <w:b/>
          <w:sz w:val="28"/>
          <w:szCs w:val="28"/>
        </w:rPr>
        <w:t>АНАЛІЗ РЕГУЛЯТОРНОГО ВПЛИВУ</w:t>
      </w:r>
    </w:p>
    <w:p w:rsidR="00BD1F89" w:rsidRPr="005A3EF3" w:rsidRDefault="00197011" w:rsidP="005A3EF3">
      <w:pPr>
        <w:ind w:firstLine="567"/>
        <w:jc w:val="center"/>
        <w:rPr>
          <w:b/>
          <w:sz w:val="28"/>
          <w:szCs w:val="28"/>
        </w:rPr>
      </w:pPr>
      <w:r w:rsidRPr="005A3EF3">
        <w:rPr>
          <w:b/>
          <w:sz w:val="28"/>
          <w:szCs w:val="28"/>
        </w:rPr>
        <w:t xml:space="preserve">до </w:t>
      </w:r>
      <w:proofErr w:type="spellStart"/>
      <w:r w:rsidRPr="005A3EF3">
        <w:rPr>
          <w:b/>
          <w:sz w:val="28"/>
          <w:szCs w:val="28"/>
        </w:rPr>
        <w:t>проєкту</w:t>
      </w:r>
      <w:proofErr w:type="spellEnd"/>
      <w:r w:rsidRPr="005A3EF3">
        <w:rPr>
          <w:b/>
          <w:sz w:val="28"/>
          <w:szCs w:val="28"/>
        </w:rPr>
        <w:t xml:space="preserve"> наказу Міністерства освіти і науки України</w:t>
      </w:r>
    </w:p>
    <w:p w:rsidR="00BD1F89" w:rsidRPr="005A3EF3" w:rsidRDefault="00197011" w:rsidP="005A3EF3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5A3EF3">
        <w:rPr>
          <w:b/>
          <w:sz w:val="28"/>
          <w:szCs w:val="28"/>
        </w:rPr>
        <w:t>«</w:t>
      </w:r>
      <w:r w:rsidR="009D4CB5" w:rsidRPr="005A3EF3">
        <w:rPr>
          <w:b/>
          <w:sz w:val="28"/>
          <w:szCs w:val="28"/>
        </w:rPr>
        <w:t>Про внесення змін до Положення</w:t>
      </w:r>
      <w:r w:rsidR="009D4CB5" w:rsidRPr="005A3EF3">
        <w:rPr>
          <w:b/>
        </w:rPr>
        <w:t xml:space="preserve"> </w:t>
      </w:r>
      <w:r w:rsidR="009D4CB5" w:rsidRPr="005A3EF3">
        <w:rPr>
          <w:b/>
          <w:color w:val="000000"/>
          <w:sz w:val="28"/>
          <w:szCs w:val="28"/>
        </w:rPr>
        <w:t xml:space="preserve">про почесні звання «Народний </w:t>
      </w:r>
      <w:r w:rsidR="009D4CB5" w:rsidRPr="005A3EF3">
        <w:rPr>
          <w:b/>
          <w:color w:val="000000"/>
          <w:sz w:val="28"/>
          <w:szCs w:val="28"/>
        </w:rPr>
        <w:br/>
        <w:t xml:space="preserve">художній колектив» і «Зразковий художній колектив» </w:t>
      </w:r>
      <w:r w:rsidR="009D4CB5" w:rsidRPr="005A3EF3">
        <w:rPr>
          <w:b/>
          <w:color w:val="000000"/>
          <w:sz w:val="28"/>
          <w:szCs w:val="28"/>
        </w:rPr>
        <w:br/>
        <w:t>системи Міністерства освіти і науки України</w:t>
      </w:r>
      <w:r w:rsidRPr="005A3EF3">
        <w:rPr>
          <w:b/>
          <w:sz w:val="28"/>
          <w:szCs w:val="28"/>
        </w:rPr>
        <w:t xml:space="preserve">» </w:t>
      </w:r>
    </w:p>
    <w:p w:rsidR="00BD1F89" w:rsidRDefault="00BD1F89" w:rsidP="005A3EF3">
      <w:pPr>
        <w:rPr>
          <w:sz w:val="28"/>
          <w:szCs w:val="28"/>
        </w:rPr>
      </w:pPr>
    </w:p>
    <w:p w:rsidR="009D5226" w:rsidRPr="005A3EF3" w:rsidRDefault="009D5226" w:rsidP="005A3EF3">
      <w:pPr>
        <w:rPr>
          <w:sz w:val="28"/>
          <w:szCs w:val="28"/>
        </w:rPr>
      </w:pPr>
    </w:p>
    <w:p w:rsidR="00BD1F89" w:rsidRPr="005A3EF3" w:rsidRDefault="00197011" w:rsidP="005A3EF3">
      <w:pPr>
        <w:pStyle w:val="1"/>
        <w:numPr>
          <w:ilvl w:val="0"/>
          <w:numId w:val="1"/>
        </w:numPr>
        <w:tabs>
          <w:tab w:val="left" w:pos="1134"/>
        </w:tabs>
        <w:ind w:left="0" w:firstLine="567"/>
      </w:pPr>
      <w:bookmarkStart w:id="0" w:name="_heading=h.am6u4rkn1x2e" w:colFirst="0" w:colLast="0"/>
      <w:bookmarkEnd w:id="0"/>
      <w:r w:rsidRPr="005A3EF3">
        <w:t>Визначення проблеми</w:t>
      </w:r>
    </w:p>
    <w:p w:rsidR="00BD1F89" w:rsidRPr="005A3EF3" w:rsidRDefault="00BD1F89" w:rsidP="005A3EF3"/>
    <w:p w:rsidR="002677F7" w:rsidRPr="005A3EF3" w:rsidRDefault="002677F7" w:rsidP="005A3E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A3EF3">
        <w:rPr>
          <w:sz w:val="28"/>
          <w:szCs w:val="28"/>
        </w:rPr>
        <w:t xml:space="preserve">Чинне Положення про почесні звання «Народний художній колектив» і «Зразковий художній колектив» системи Міністерства освіти і науки України </w:t>
      </w:r>
      <w:r w:rsidR="005A3EF3">
        <w:rPr>
          <w:sz w:val="28"/>
          <w:szCs w:val="28"/>
        </w:rPr>
        <w:t xml:space="preserve">(далі – Положення) </w:t>
      </w:r>
      <w:r w:rsidRPr="005A3EF3">
        <w:rPr>
          <w:sz w:val="28"/>
          <w:szCs w:val="28"/>
        </w:rPr>
        <w:t xml:space="preserve">відіграє важливу роль у стимулюванні розвитку дитячої та юнацької творчості, підтримці аматорського мистецтва та підвищенні якості роботи мистецьких колективів закладів освіти. Однак, з плином часу та під впливом змін у соціокультурному середовищі, мистецькій практиці та освітніх підходах, виникає необхідність критичного переосмислення та можливого оновлення окремих положень цього нормативно-правового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. </w:t>
      </w:r>
    </w:p>
    <w:p w:rsidR="002677F7" w:rsidRPr="005A3EF3" w:rsidRDefault="002677F7" w:rsidP="005A3E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A3EF3">
        <w:rPr>
          <w:sz w:val="28"/>
          <w:szCs w:val="28"/>
        </w:rPr>
        <w:t xml:space="preserve">Необхідність прийняття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 обумовлена потребою у врегулюванні певних суспільних відносин, усуненні існуючих прогалин у правовому полі, адаптації законодавства до нових суспільних потреб та викликів</w:t>
      </w:r>
      <w:r w:rsidR="005A3EF3">
        <w:rPr>
          <w:sz w:val="28"/>
          <w:szCs w:val="28"/>
        </w:rPr>
        <w:t>.</w:t>
      </w:r>
    </w:p>
    <w:p w:rsidR="002677F7" w:rsidRPr="005A3EF3" w:rsidRDefault="002677F7" w:rsidP="005A3E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A3EF3">
        <w:rPr>
          <w:color w:val="000000"/>
          <w:sz w:val="28"/>
          <w:szCs w:val="28"/>
        </w:rPr>
        <w:t>Оновлення положення спрямова</w:t>
      </w:r>
      <w:r w:rsidR="005A3EF3">
        <w:rPr>
          <w:color w:val="000000"/>
          <w:sz w:val="28"/>
          <w:szCs w:val="28"/>
        </w:rPr>
        <w:t xml:space="preserve">не на впровадження більш чітких </w:t>
      </w:r>
      <w:r w:rsidRPr="005A3EF3">
        <w:rPr>
          <w:color w:val="000000"/>
          <w:sz w:val="28"/>
          <w:szCs w:val="28"/>
        </w:rPr>
        <w:t>критеріїв оцінки діяльності колективів, стимулювання їхнього професійного</w:t>
      </w:r>
      <w:r w:rsidR="005A3EF3">
        <w:rPr>
          <w:color w:val="000000"/>
          <w:sz w:val="28"/>
          <w:szCs w:val="28"/>
        </w:rPr>
        <w:t xml:space="preserve"> </w:t>
      </w:r>
      <w:r w:rsidRPr="005A3EF3">
        <w:rPr>
          <w:color w:val="000000"/>
          <w:sz w:val="28"/>
          <w:szCs w:val="28"/>
        </w:rPr>
        <w:t>зростання, розширення творчих горизонтів та підвищення рівня виконавської</w:t>
      </w:r>
      <w:r w:rsidR="005A3EF3">
        <w:rPr>
          <w:color w:val="000000"/>
          <w:sz w:val="28"/>
          <w:szCs w:val="28"/>
        </w:rPr>
        <w:t xml:space="preserve"> </w:t>
      </w:r>
      <w:r w:rsidRPr="005A3EF3">
        <w:rPr>
          <w:color w:val="000000"/>
          <w:sz w:val="28"/>
          <w:szCs w:val="28"/>
        </w:rPr>
        <w:t>майстерності вихованців, їх подальшої профілізації. Зміни можуть спростити</w:t>
      </w:r>
      <w:r w:rsidR="005A3EF3">
        <w:rPr>
          <w:color w:val="000000"/>
          <w:sz w:val="28"/>
          <w:szCs w:val="28"/>
        </w:rPr>
        <w:t xml:space="preserve"> </w:t>
      </w:r>
      <w:r w:rsidRPr="005A3EF3">
        <w:rPr>
          <w:color w:val="000000"/>
          <w:sz w:val="28"/>
          <w:szCs w:val="28"/>
        </w:rPr>
        <w:t>та зробити прозорішим процес присвоєння та підтвердження почесних звань,</w:t>
      </w:r>
      <w:r w:rsidR="005A3EF3">
        <w:rPr>
          <w:color w:val="000000"/>
          <w:sz w:val="28"/>
          <w:szCs w:val="28"/>
        </w:rPr>
        <w:t xml:space="preserve"> </w:t>
      </w:r>
      <w:r w:rsidRPr="005A3EF3">
        <w:rPr>
          <w:color w:val="000000"/>
          <w:sz w:val="28"/>
          <w:szCs w:val="28"/>
        </w:rPr>
        <w:t>зменшити адміністративне навантаження на колективи.</w:t>
      </w:r>
    </w:p>
    <w:p w:rsidR="002677F7" w:rsidRPr="005A3EF3" w:rsidRDefault="002677F7" w:rsidP="005A3E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A3EF3">
        <w:rPr>
          <w:color w:val="000000"/>
          <w:sz w:val="28"/>
          <w:szCs w:val="28"/>
        </w:rPr>
        <w:t>Слід зауважити, що система позашкільної освіти також вк</w:t>
      </w:r>
      <w:r w:rsidR="005A3EF3">
        <w:rPr>
          <w:color w:val="000000"/>
          <w:sz w:val="28"/>
          <w:szCs w:val="28"/>
        </w:rPr>
        <w:t xml:space="preserve">лючає </w:t>
      </w:r>
      <w:r w:rsidRPr="005A3EF3">
        <w:rPr>
          <w:color w:val="000000"/>
          <w:sz w:val="28"/>
          <w:szCs w:val="28"/>
        </w:rPr>
        <w:t>приватні суб’єкти діяльності (освітн</w:t>
      </w:r>
      <w:r w:rsidR="005A3EF3">
        <w:rPr>
          <w:color w:val="000000"/>
          <w:sz w:val="28"/>
          <w:szCs w:val="28"/>
        </w:rPr>
        <w:t xml:space="preserve">ьої, </w:t>
      </w:r>
      <w:proofErr w:type="spellStart"/>
      <w:r w:rsidR="005A3EF3">
        <w:rPr>
          <w:color w:val="000000"/>
          <w:sz w:val="28"/>
          <w:szCs w:val="28"/>
        </w:rPr>
        <w:t>дозвіллєвої</w:t>
      </w:r>
      <w:proofErr w:type="spellEnd"/>
      <w:r w:rsidR="005A3EF3">
        <w:rPr>
          <w:color w:val="000000"/>
          <w:sz w:val="28"/>
          <w:szCs w:val="28"/>
        </w:rPr>
        <w:t xml:space="preserve">, розважальної, </w:t>
      </w:r>
      <w:r w:rsidRPr="005A3EF3">
        <w:rPr>
          <w:color w:val="000000"/>
          <w:sz w:val="28"/>
          <w:szCs w:val="28"/>
        </w:rPr>
        <w:t xml:space="preserve">спортивною, розвиваючої тощо). </w:t>
      </w:r>
      <w:r w:rsidR="005A3EF3">
        <w:rPr>
          <w:color w:val="000000"/>
          <w:sz w:val="28"/>
          <w:szCs w:val="28"/>
        </w:rPr>
        <w:t>Т</w:t>
      </w:r>
      <w:r w:rsidRPr="005A3EF3">
        <w:rPr>
          <w:color w:val="000000"/>
          <w:sz w:val="28"/>
          <w:szCs w:val="28"/>
        </w:rPr>
        <w:t>акі суб’єкти освітньої діяльності</w:t>
      </w:r>
      <w:r w:rsidR="005A3EF3">
        <w:rPr>
          <w:color w:val="000000"/>
          <w:sz w:val="28"/>
          <w:szCs w:val="28"/>
        </w:rPr>
        <w:t xml:space="preserve"> </w:t>
      </w:r>
      <w:r w:rsidRPr="005A3EF3">
        <w:rPr>
          <w:color w:val="000000"/>
          <w:sz w:val="28"/>
          <w:szCs w:val="28"/>
        </w:rPr>
        <w:t>не ототожнюють себе із позашкільною освітою, однак де-факто її надають. Це</w:t>
      </w:r>
      <w:r w:rsidR="005A3EF3">
        <w:rPr>
          <w:color w:val="000000"/>
          <w:sz w:val="28"/>
          <w:szCs w:val="28"/>
        </w:rPr>
        <w:t xml:space="preserve"> </w:t>
      </w:r>
      <w:r w:rsidRPr="005A3EF3">
        <w:rPr>
          <w:color w:val="000000"/>
          <w:sz w:val="28"/>
          <w:szCs w:val="28"/>
        </w:rPr>
        <w:t xml:space="preserve">зумовлює відсутність необхідного для держави, суспільства та </w:t>
      </w:r>
      <w:proofErr w:type="spellStart"/>
      <w:r w:rsidRPr="005A3EF3">
        <w:rPr>
          <w:color w:val="000000"/>
          <w:sz w:val="28"/>
          <w:szCs w:val="28"/>
        </w:rPr>
        <w:t>інтерсів</w:t>
      </w:r>
      <w:proofErr w:type="spellEnd"/>
      <w:r w:rsidRPr="005A3EF3">
        <w:rPr>
          <w:color w:val="000000"/>
          <w:sz w:val="28"/>
          <w:szCs w:val="28"/>
        </w:rPr>
        <w:t xml:space="preserve"> дитини</w:t>
      </w:r>
      <w:r w:rsidR="005A3EF3">
        <w:rPr>
          <w:color w:val="000000"/>
          <w:sz w:val="28"/>
          <w:szCs w:val="28"/>
        </w:rPr>
        <w:t xml:space="preserve"> </w:t>
      </w:r>
      <w:r w:rsidRPr="005A3EF3">
        <w:rPr>
          <w:color w:val="000000"/>
          <w:sz w:val="28"/>
          <w:szCs w:val="28"/>
        </w:rPr>
        <w:t>синергетичного ефекту. Оновлення зміст</w:t>
      </w:r>
      <w:r w:rsidR="005A3EF3">
        <w:rPr>
          <w:color w:val="000000"/>
          <w:sz w:val="28"/>
          <w:szCs w:val="28"/>
        </w:rPr>
        <w:t xml:space="preserve">у Положення реалізує право всіх </w:t>
      </w:r>
      <w:r w:rsidRPr="005A3EF3">
        <w:rPr>
          <w:color w:val="000000"/>
          <w:sz w:val="28"/>
          <w:szCs w:val="28"/>
        </w:rPr>
        <w:t>учасників ринку надання послуг з позашкільної освіти бути в рівних умовах</w:t>
      </w:r>
      <w:r w:rsidR="005A3EF3">
        <w:rPr>
          <w:color w:val="000000"/>
          <w:sz w:val="28"/>
          <w:szCs w:val="28"/>
        </w:rPr>
        <w:t xml:space="preserve"> </w:t>
      </w:r>
      <w:r w:rsidRPr="005A3EF3">
        <w:rPr>
          <w:color w:val="000000"/>
          <w:sz w:val="28"/>
          <w:szCs w:val="28"/>
        </w:rPr>
        <w:t>долученими до системи мотивації і заохочення створення та розвитку системи</w:t>
      </w:r>
      <w:r w:rsidR="005A3EF3">
        <w:rPr>
          <w:color w:val="000000"/>
          <w:sz w:val="28"/>
          <w:szCs w:val="28"/>
        </w:rPr>
        <w:t xml:space="preserve"> </w:t>
      </w:r>
      <w:r w:rsidRPr="005A3EF3">
        <w:rPr>
          <w:color w:val="000000"/>
          <w:sz w:val="28"/>
          <w:szCs w:val="28"/>
        </w:rPr>
        <w:t>художніх колективів.</w:t>
      </w:r>
    </w:p>
    <w:p w:rsidR="002677F7" w:rsidRPr="005A3EF3" w:rsidRDefault="009D5226" w:rsidP="005A3E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9D5226">
        <w:rPr>
          <w:color w:val="000000"/>
          <w:sz w:val="28"/>
          <w:szCs w:val="28"/>
        </w:rPr>
        <w:t>Зміни вносяться з метою уточнення термінології, встановлення чіткого порядку та механізму присвоєння, підтвердження й позбавлення почесних звань, а також деталізації специфіки різних видів і жанрів мистецтва.</w:t>
      </w:r>
    </w:p>
    <w:p w:rsidR="002677F7" w:rsidRPr="005A3EF3" w:rsidRDefault="002677F7" w:rsidP="005A3E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A3EF3">
        <w:rPr>
          <w:sz w:val="28"/>
          <w:szCs w:val="28"/>
        </w:rPr>
        <w:t>Визначення проблемних аспектів чинної редакції є першочерговим завданням для ініціювання процесу внесення обґрунтованих та ефективних змін, спрямованих на удосконалення системи присвоєння почесних звань та забезпечення подальшого розвитку художніх колективів у системі освіти України.</w:t>
      </w:r>
      <w:r w:rsidRPr="005A3EF3">
        <w:rPr>
          <w:color w:val="000000"/>
          <w:sz w:val="28"/>
          <w:szCs w:val="28"/>
        </w:rPr>
        <w:t xml:space="preserve"> </w:t>
      </w:r>
    </w:p>
    <w:p w:rsidR="009D4CB5" w:rsidRPr="005A3EF3" w:rsidRDefault="009D4CB5" w:rsidP="005A3E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D1F89" w:rsidRPr="005A3EF3" w:rsidRDefault="00197011" w:rsidP="005A3EF3">
      <w:pPr>
        <w:ind w:firstLine="709"/>
        <w:jc w:val="both"/>
        <w:rPr>
          <w:b/>
          <w:sz w:val="28"/>
          <w:szCs w:val="28"/>
        </w:rPr>
      </w:pPr>
      <w:r w:rsidRPr="005A3EF3">
        <w:rPr>
          <w:b/>
          <w:sz w:val="28"/>
          <w:szCs w:val="28"/>
        </w:rPr>
        <w:lastRenderedPageBreak/>
        <w:t xml:space="preserve">Основні групи (підгрупи), на які справляється вплив при підготовці </w:t>
      </w:r>
      <w:proofErr w:type="spellStart"/>
      <w:r w:rsidRPr="005A3EF3">
        <w:rPr>
          <w:b/>
          <w:sz w:val="28"/>
          <w:szCs w:val="28"/>
        </w:rPr>
        <w:t>проєкту</w:t>
      </w:r>
      <w:proofErr w:type="spellEnd"/>
      <w:r w:rsidRPr="005A3EF3">
        <w:rPr>
          <w:b/>
          <w:sz w:val="28"/>
          <w:szCs w:val="28"/>
        </w:rPr>
        <w:t>:</w:t>
      </w:r>
    </w:p>
    <w:p w:rsidR="00BD1F89" w:rsidRPr="005A3EF3" w:rsidRDefault="00BD1F89" w:rsidP="005A3EF3">
      <w:pPr>
        <w:ind w:firstLine="567"/>
        <w:jc w:val="both"/>
        <w:rPr>
          <w:b/>
          <w:sz w:val="16"/>
          <w:szCs w:val="16"/>
        </w:rPr>
      </w:pPr>
    </w:p>
    <w:tbl>
      <w:tblPr>
        <w:tblStyle w:val="af9"/>
        <w:tblW w:w="93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8"/>
        <w:gridCol w:w="3100"/>
        <w:gridCol w:w="3096"/>
      </w:tblGrid>
      <w:tr w:rsidR="00BD1F89" w:rsidRPr="005A3EF3" w:rsidTr="004720B7">
        <w:trPr>
          <w:jc w:val="center"/>
        </w:trPr>
        <w:tc>
          <w:tcPr>
            <w:tcW w:w="3148" w:type="dxa"/>
          </w:tcPr>
          <w:p w:rsidR="00BD1F89" w:rsidRPr="005A3EF3" w:rsidRDefault="00197011" w:rsidP="005A3EF3">
            <w:pPr>
              <w:jc w:val="center"/>
            </w:pPr>
            <w:r w:rsidRPr="005A3EF3">
              <w:t>Групи (підгрупи)</w:t>
            </w:r>
          </w:p>
        </w:tc>
        <w:tc>
          <w:tcPr>
            <w:tcW w:w="3100" w:type="dxa"/>
          </w:tcPr>
          <w:p w:rsidR="00BD1F89" w:rsidRPr="005A3EF3" w:rsidRDefault="00197011" w:rsidP="005A3EF3">
            <w:pPr>
              <w:ind w:firstLine="567"/>
              <w:jc w:val="center"/>
            </w:pPr>
            <w:r w:rsidRPr="005A3EF3">
              <w:t>Так</w:t>
            </w:r>
          </w:p>
        </w:tc>
        <w:tc>
          <w:tcPr>
            <w:tcW w:w="3096" w:type="dxa"/>
          </w:tcPr>
          <w:p w:rsidR="00BD1F89" w:rsidRPr="005A3EF3" w:rsidRDefault="00197011" w:rsidP="005A3EF3">
            <w:pPr>
              <w:ind w:firstLine="567"/>
              <w:jc w:val="center"/>
            </w:pPr>
            <w:r w:rsidRPr="005A3EF3">
              <w:t>Ні</w:t>
            </w:r>
          </w:p>
        </w:tc>
      </w:tr>
      <w:tr w:rsidR="00BD1F89" w:rsidRPr="005A3EF3" w:rsidTr="004720B7">
        <w:trPr>
          <w:jc w:val="center"/>
        </w:trPr>
        <w:tc>
          <w:tcPr>
            <w:tcW w:w="3148" w:type="dxa"/>
          </w:tcPr>
          <w:p w:rsidR="00BD1F89" w:rsidRPr="005A3EF3" w:rsidRDefault="00197011" w:rsidP="005A3EF3">
            <w:r w:rsidRPr="005A3EF3">
              <w:t>Громадяни</w:t>
            </w:r>
          </w:p>
        </w:tc>
        <w:tc>
          <w:tcPr>
            <w:tcW w:w="3100" w:type="dxa"/>
          </w:tcPr>
          <w:p w:rsidR="00BD1F89" w:rsidRPr="005A3EF3" w:rsidRDefault="00197011" w:rsidP="005A3EF3">
            <w:pPr>
              <w:ind w:firstLine="567"/>
              <w:jc w:val="center"/>
            </w:pPr>
            <w:r w:rsidRPr="005A3EF3">
              <w:t>+</w:t>
            </w:r>
          </w:p>
        </w:tc>
        <w:tc>
          <w:tcPr>
            <w:tcW w:w="3096" w:type="dxa"/>
          </w:tcPr>
          <w:p w:rsidR="00BD1F89" w:rsidRPr="005A3EF3" w:rsidRDefault="00197011" w:rsidP="005A3EF3">
            <w:pPr>
              <w:ind w:firstLine="567"/>
              <w:jc w:val="center"/>
            </w:pPr>
            <w:r w:rsidRPr="005A3EF3">
              <w:t>-</w:t>
            </w:r>
          </w:p>
        </w:tc>
      </w:tr>
      <w:tr w:rsidR="00BD1F89" w:rsidRPr="005A3EF3" w:rsidTr="004720B7">
        <w:trPr>
          <w:jc w:val="center"/>
        </w:trPr>
        <w:tc>
          <w:tcPr>
            <w:tcW w:w="3148" w:type="dxa"/>
          </w:tcPr>
          <w:p w:rsidR="00BD1F89" w:rsidRPr="005A3EF3" w:rsidRDefault="00197011" w:rsidP="005A3EF3">
            <w:r w:rsidRPr="005A3EF3">
              <w:t>Держава</w:t>
            </w:r>
          </w:p>
        </w:tc>
        <w:tc>
          <w:tcPr>
            <w:tcW w:w="3100" w:type="dxa"/>
          </w:tcPr>
          <w:p w:rsidR="00BD1F89" w:rsidRPr="005A3EF3" w:rsidRDefault="00197011" w:rsidP="005A3EF3">
            <w:pPr>
              <w:ind w:firstLine="567"/>
              <w:jc w:val="center"/>
            </w:pPr>
            <w:r w:rsidRPr="005A3EF3">
              <w:t>+</w:t>
            </w:r>
          </w:p>
        </w:tc>
        <w:tc>
          <w:tcPr>
            <w:tcW w:w="3096" w:type="dxa"/>
          </w:tcPr>
          <w:p w:rsidR="00BD1F89" w:rsidRPr="005A3EF3" w:rsidRDefault="00197011" w:rsidP="005A3EF3">
            <w:pPr>
              <w:ind w:firstLine="567"/>
              <w:jc w:val="center"/>
            </w:pPr>
            <w:r w:rsidRPr="005A3EF3">
              <w:t>-</w:t>
            </w:r>
          </w:p>
        </w:tc>
      </w:tr>
      <w:tr w:rsidR="00BD1F89" w:rsidRPr="005A3EF3" w:rsidTr="004720B7">
        <w:trPr>
          <w:jc w:val="center"/>
        </w:trPr>
        <w:tc>
          <w:tcPr>
            <w:tcW w:w="3148" w:type="dxa"/>
          </w:tcPr>
          <w:p w:rsidR="00BD1F89" w:rsidRPr="005A3EF3" w:rsidRDefault="00197011" w:rsidP="005A3EF3">
            <w:r w:rsidRPr="005A3EF3">
              <w:t>Суб’єкти господарювання,  у тому числі суб’єкти малого підприємництва</w:t>
            </w:r>
          </w:p>
        </w:tc>
        <w:tc>
          <w:tcPr>
            <w:tcW w:w="3100" w:type="dxa"/>
          </w:tcPr>
          <w:p w:rsidR="00BD1F89" w:rsidRPr="005A3EF3" w:rsidRDefault="00197011" w:rsidP="005A3EF3">
            <w:pPr>
              <w:ind w:firstLine="567"/>
              <w:jc w:val="center"/>
            </w:pPr>
            <w:r w:rsidRPr="005A3EF3">
              <w:t>+</w:t>
            </w:r>
          </w:p>
        </w:tc>
        <w:tc>
          <w:tcPr>
            <w:tcW w:w="3096" w:type="dxa"/>
          </w:tcPr>
          <w:p w:rsidR="00BD1F89" w:rsidRPr="005A3EF3" w:rsidRDefault="00197011" w:rsidP="005A3EF3">
            <w:pPr>
              <w:ind w:firstLine="567"/>
              <w:jc w:val="center"/>
            </w:pPr>
            <w:r w:rsidRPr="005A3EF3">
              <w:t>-</w:t>
            </w:r>
          </w:p>
        </w:tc>
      </w:tr>
    </w:tbl>
    <w:p w:rsidR="004720B7" w:rsidRPr="005A3EF3" w:rsidRDefault="004720B7" w:rsidP="005A3E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BD1F89" w:rsidRPr="005A3EF3" w:rsidRDefault="00197011" w:rsidP="005A3E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A3EF3">
        <w:rPr>
          <w:color w:val="000000"/>
          <w:sz w:val="28"/>
          <w:szCs w:val="28"/>
        </w:rPr>
        <w:t xml:space="preserve">Проблема не може бути розв’язана за допомогою ринкових механізмів, оскільки питання, що порушуються, не стосуються механізмів стихійного регулювання ціни, темпів і пропорцій суспільного виробництва. </w:t>
      </w:r>
    </w:p>
    <w:p w:rsidR="00BD1F89" w:rsidRPr="005A3EF3" w:rsidRDefault="00197011" w:rsidP="005A3E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A3EF3">
        <w:rPr>
          <w:color w:val="000000"/>
          <w:sz w:val="28"/>
          <w:szCs w:val="28"/>
        </w:rPr>
        <w:t>Врегулювання зазначеного питання не може бути здійснено за допомогою чинних регуляторних актів, оскільки потребує приведення до оновлених вимог законодавства нормативно-правової бази функціонування сфери позашкільної освіти, а саме художньо-естетичного напряму.</w:t>
      </w:r>
    </w:p>
    <w:p w:rsidR="00BD1F89" w:rsidRPr="005A3EF3" w:rsidRDefault="00BD1F89" w:rsidP="005A3EF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BD1F89" w:rsidRPr="005A3EF3" w:rsidRDefault="00197011" w:rsidP="005A3EF3">
      <w:pPr>
        <w:pStyle w:val="1"/>
        <w:numPr>
          <w:ilvl w:val="0"/>
          <w:numId w:val="1"/>
        </w:numPr>
        <w:tabs>
          <w:tab w:val="left" w:pos="1134"/>
        </w:tabs>
        <w:ind w:left="0" w:firstLine="567"/>
      </w:pPr>
      <w:bookmarkStart w:id="1" w:name="_heading=h.9eqejs67hqvc" w:colFirst="0" w:colLast="0"/>
      <w:bookmarkEnd w:id="1"/>
      <w:r w:rsidRPr="005A3EF3">
        <w:t>Цілі державного регулювання</w:t>
      </w:r>
    </w:p>
    <w:p w:rsidR="00BD1F89" w:rsidRPr="005A3EF3" w:rsidRDefault="00BD1F89" w:rsidP="005A3EF3">
      <w:pPr>
        <w:pBdr>
          <w:top w:val="nil"/>
          <w:left w:val="nil"/>
          <w:bottom w:val="nil"/>
          <w:right w:val="nil"/>
          <w:between w:val="nil"/>
        </w:pBdr>
        <w:ind w:left="1077"/>
        <w:rPr>
          <w:rFonts w:eastAsia="Calibri"/>
          <w:color w:val="000000"/>
          <w:sz w:val="22"/>
          <w:szCs w:val="22"/>
        </w:rPr>
      </w:pPr>
    </w:p>
    <w:p w:rsidR="00BD1F89" w:rsidRPr="005A3EF3" w:rsidRDefault="00197011" w:rsidP="005A3EF3">
      <w:pPr>
        <w:ind w:firstLine="709"/>
        <w:jc w:val="both"/>
        <w:rPr>
          <w:sz w:val="28"/>
          <w:szCs w:val="28"/>
        </w:rPr>
      </w:pPr>
      <w:proofErr w:type="spellStart"/>
      <w:r w:rsidRPr="005A3EF3">
        <w:rPr>
          <w:sz w:val="28"/>
          <w:szCs w:val="28"/>
        </w:rPr>
        <w:t>Проєкт</w:t>
      </w:r>
      <w:proofErr w:type="spellEnd"/>
      <w:r w:rsidRPr="005A3EF3">
        <w:rPr>
          <w:sz w:val="28"/>
          <w:szCs w:val="28"/>
        </w:rPr>
        <w:t xml:space="preserve"> акту розроблено для </w:t>
      </w:r>
      <w:r w:rsidRPr="005A3EF3">
        <w:rPr>
          <w:color w:val="000000"/>
          <w:sz w:val="28"/>
          <w:szCs w:val="28"/>
        </w:rPr>
        <w:t xml:space="preserve">оновлення порядку присвоєння, підтвердження та позбавлення  почесних звань «Народний художній колектив» і «Зразковий художній колектив» системи Міністерства освіти і науки України» гурткам, групам, іншим творчим об’єднанням; визнання результативності системної роботи педагогічних працівників із дитячими та молодіжними художніми колективами </w:t>
      </w:r>
      <w:r w:rsidRPr="005A3EF3">
        <w:rPr>
          <w:sz w:val="28"/>
          <w:szCs w:val="28"/>
        </w:rPr>
        <w:t>відповідно до абзацу дев’ятнадцятого частини другої статті 54 Закону України «Про повну загальну середню освіту».</w:t>
      </w:r>
    </w:p>
    <w:p w:rsidR="00BD1F89" w:rsidRPr="005A3EF3" w:rsidRDefault="00197011" w:rsidP="005A3E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highlight w:val="white"/>
        </w:rPr>
      </w:pPr>
      <w:r w:rsidRPr="005A3EF3">
        <w:rPr>
          <w:color w:val="000000"/>
          <w:sz w:val="28"/>
          <w:szCs w:val="28"/>
          <w:highlight w:val="white"/>
        </w:rPr>
        <w:t xml:space="preserve">Зазначену мету планується досягти за допомогою затвердження порядку надання професійної підтримки та допомоги педагогічним працівникам (здійснення </w:t>
      </w:r>
      <w:proofErr w:type="spellStart"/>
      <w:r w:rsidRPr="005A3EF3">
        <w:rPr>
          <w:color w:val="000000"/>
          <w:sz w:val="28"/>
          <w:szCs w:val="28"/>
          <w:highlight w:val="white"/>
        </w:rPr>
        <w:t>супервізії</w:t>
      </w:r>
      <w:proofErr w:type="spellEnd"/>
      <w:r w:rsidRPr="005A3EF3">
        <w:rPr>
          <w:color w:val="000000"/>
          <w:sz w:val="28"/>
          <w:szCs w:val="28"/>
          <w:highlight w:val="white"/>
        </w:rPr>
        <w:t>) у сфері загальної середньої освіти».</w:t>
      </w:r>
    </w:p>
    <w:p w:rsidR="00BD1F89" w:rsidRPr="005A3EF3" w:rsidRDefault="00197011" w:rsidP="005A3EF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A3EF3">
        <w:rPr>
          <w:color w:val="000000"/>
          <w:sz w:val="28"/>
          <w:szCs w:val="28"/>
        </w:rPr>
        <w:t>Цілями державного регулювання є:</w:t>
      </w:r>
    </w:p>
    <w:p w:rsidR="00BD1F89" w:rsidRPr="005A3EF3" w:rsidRDefault="00197011" w:rsidP="00F275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A3EF3">
        <w:rPr>
          <w:color w:val="000000"/>
          <w:sz w:val="28"/>
          <w:szCs w:val="28"/>
        </w:rPr>
        <w:t>створення та розвиток системи заохочення та мотивації для роботи з розвитку художніх колективів;</w:t>
      </w:r>
    </w:p>
    <w:p w:rsidR="00BD1F89" w:rsidRPr="005A3EF3" w:rsidRDefault="00197011" w:rsidP="00F275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A3EF3">
        <w:rPr>
          <w:color w:val="000000"/>
          <w:sz w:val="28"/>
          <w:szCs w:val="28"/>
        </w:rPr>
        <w:t>підвищення рівня виконавської майстерності обдарованих і талановитих дітей та молоді;</w:t>
      </w:r>
    </w:p>
    <w:p w:rsidR="00BD1F89" w:rsidRPr="005A3EF3" w:rsidRDefault="00197011" w:rsidP="00F275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A3EF3">
        <w:rPr>
          <w:color w:val="000000"/>
          <w:sz w:val="28"/>
          <w:szCs w:val="28"/>
        </w:rPr>
        <w:t>розширення діапазону дитячих і молодіжних художніх колективів, які можуть бути відзначені почесними званнями «Народний художній колектив» і «Зразковий художній колектив»;</w:t>
      </w:r>
    </w:p>
    <w:p w:rsidR="00BD1F89" w:rsidRPr="005A3EF3" w:rsidRDefault="00197011" w:rsidP="00F275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5A3EF3">
        <w:rPr>
          <w:color w:val="000000"/>
          <w:sz w:val="28"/>
          <w:szCs w:val="28"/>
        </w:rPr>
        <w:t>визнання результативності роботи педагогічних працівників із дитячими та молодіжними художніми колективами, їх підтримки та стимулювання до творчої діяльності, мотивації художніх колективів до подальшого творчого розвитку.</w:t>
      </w:r>
    </w:p>
    <w:p w:rsidR="00BD1F89" w:rsidRDefault="00BD1F89" w:rsidP="005A3E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yellow"/>
        </w:rPr>
      </w:pPr>
    </w:p>
    <w:p w:rsidR="00F27574" w:rsidRPr="005A3EF3" w:rsidRDefault="00F27574" w:rsidP="005A3E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yellow"/>
        </w:rPr>
      </w:pPr>
    </w:p>
    <w:p w:rsidR="00BD1F89" w:rsidRPr="005A3EF3" w:rsidRDefault="00197011" w:rsidP="005A3E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5A3EF3">
        <w:rPr>
          <w:b/>
          <w:color w:val="000000"/>
          <w:sz w:val="28"/>
          <w:szCs w:val="28"/>
        </w:rPr>
        <w:lastRenderedPageBreak/>
        <w:t>III. Визначення та оцінка альтернативних способів досягнення цілей</w:t>
      </w:r>
    </w:p>
    <w:p w:rsidR="00BD1F89" w:rsidRPr="005A3EF3" w:rsidRDefault="00BD1F89" w:rsidP="005A3EF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rPr>
          <w:b/>
          <w:color w:val="000000"/>
          <w:sz w:val="28"/>
          <w:szCs w:val="28"/>
          <w:highlight w:val="yellow"/>
        </w:rPr>
      </w:pPr>
    </w:p>
    <w:p w:rsidR="00BD1F89" w:rsidRPr="005A3EF3" w:rsidRDefault="00197011" w:rsidP="005A3E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217"/>
        <w:rPr>
          <w:color w:val="000000"/>
          <w:sz w:val="28"/>
          <w:szCs w:val="28"/>
          <w:highlight w:val="white"/>
        </w:rPr>
      </w:pPr>
      <w:r w:rsidRPr="005A3EF3">
        <w:rPr>
          <w:color w:val="000000"/>
          <w:sz w:val="28"/>
          <w:szCs w:val="28"/>
          <w:highlight w:val="white"/>
        </w:rPr>
        <w:t xml:space="preserve"> Визначення альтернативних способів</w:t>
      </w:r>
    </w:p>
    <w:p w:rsidR="00BD1F89" w:rsidRPr="005A3EF3" w:rsidRDefault="00BD1F89" w:rsidP="005A3EF3">
      <w:pPr>
        <w:pBdr>
          <w:top w:val="nil"/>
          <w:left w:val="nil"/>
          <w:bottom w:val="nil"/>
          <w:right w:val="nil"/>
          <w:between w:val="nil"/>
        </w:pBdr>
        <w:ind w:left="927"/>
        <w:rPr>
          <w:color w:val="000000"/>
          <w:sz w:val="16"/>
          <w:szCs w:val="16"/>
          <w:highlight w:val="white"/>
        </w:rPr>
      </w:pPr>
    </w:p>
    <w:tbl>
      <w:tblPr>
        <w:tblStyle w:val="afa"/>
        <w:tblW w:w="92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6662"/>
      </w:tblGrid>
      <w:tr w:rsidR="00BD1F89" w:rsidRPr="005A3EF3">
        <w:tc>
          <w:tcPr>
            <w:tcW w:w="2547" w:type="dxa"/>
          </w:tcPr>
          <w:p w:rsidR="00BD1F89" w:rsidRPr="005A3EF3" w:rsidRDefault="00197011" w:rsidP="005A3EF3">
            <w:pPr>
              <w:jc w:val="center"/>
            </w:pPr>
            <w:r w:rsidRPr="005A3EF3">
              <w:t>Вид альтернативи</w:t>
            </w:r>
          </w:p>
        </w:tc>
        <w:tc>
          <w:tcPr>
            <w:tcW w:w="6662" w:type="dxa"/>
          </w:tcPr>
          <w:p w:rsidR="00BD1F89" w:rsidRPr="005A3EF3" w:rsidRDefault="00197011" w:rsidP="005A3EF3">
            <w:pPr>
              <w:ind w:firstLine="567"/>
              <w:jc w:val="center"/>
            </w:pPr>
            <w:r w:rsidRPr="005A3EF3">
              <w:t>Опис альтернативи</w:t>
            </w:r>
          </w:p>
        </w:tc>
      </w:tr>
      <w:tr w:rsidR="00BD1F89" w:rsidRPr="005A3EF3">
        <w:tc>
          <w:tcPr>
            <w:tcW w:w="2547" w:type="dxa"/>
          </w:tcPr>
          <w:p w:rsidR="00BD1F89" w:rsidRPr="005A3EF3" w:rsidRDefault="00197011" w:rsidP="005A3EF3">
            <w:r w:rsidRPr="005A3EF3">
              <w:t>Альтернатива 1</w:t>
            </w:r>
          </w:p>
          <w:p w:rsidR="00BD1F89" w:rsidRPr="005A3EF3" w:rsidRDefault="00197011" w:rsidP="005A3EF3">
            <w:r w:rsidRPr="005A3EF3">
              <w:t>(збереження чинного регулювання)</w:t>
            </w:r>
          </w:p>
        </w:tc>
        <w:tc>
          <w:tcPr>
            <w:tcW w:w="6662" w:type="dxa"/>
          </w:tcPr>
          <w:p w:rsidR="00BD1F89" w:rsidRPr="005A3EF3" w:rsidRDefault="00197011" w:rsidP="005A3EF3">
            <w:pPr>
              <w:jc w:val="both"/>
            </w:pPr>
            <w:r w:rsidRPr="005A3EF3">
              <w:t xml:space="preserve">Неприйняття відповідного нормативно-правового </w:t>
            </w:r>
            <w:proofErr w:type="spellStart"/>
            <w:r w:rsidRPr="005A3EF3">
              <w:t>акта</w:t>
            </w:r>
            <w:proofErr w:type="spellEnd"/>
            <w:r w:rsidRPr="005A3EF3">
              <w:t xml:space="preserve"> не сприятиме реалізації засад державної політики у сфері позашкільної освіти.</w:t>
            </w:r>
          </w:p>
        </w:tc>
      </w:tr>
      <w:tr w:rsidR="00BD1F89" w:rsidRPr="005A3EF3">
        <w:tc>
          <w:tcPr>
            <w:tcW w:w="2547" w:type="dxa"/>
          </w:tcPr>
          <w:p w:rsidR="00BD1F89" w:rsidRPr="005A3EF3" w:rsidRDefault="00197011" w:rsidP="005A3EF3">
            <w:pPr>
              <w:tabs>
                <w:tab w:val="left" w:pos="2790"/>
              </w:tabs>
            </w:pPr>
            <w:r w:rsidRPr="005A3EF3">
              <w:t>Альтернатива 2</w:t>
            </w:r>
          </w:p>
          <w:p w:rsidR="00BD1F89" w:rsidRPr="005A3EF3" w:rsidRDefault="00197011" w:rsidP="005A3EF3">
            <w:pPr>
              <w:tabs>
                <w:tab w:val="left" w:pos="2790"/>
              </w:tabs>
            </w:pPr>
            <w:r w:rsidRPr="005A3EF3">
              <w:t xml:space="preserve">(прийняття нормативного </w:t>
            </w:r>
            <w:proofErr w:type="spellStart"/>
            <w:r w:rsidRPr="005A3EF3">
              <w:t>акта</w:t>
            </w:r>
            <w:proofErr w:type="spellEnd"/>
            <w:r w:rsidRPr="005A3EF3">
              <w:t xml:space="preserve"> та проведення його державної реєстрації)</w:t>
            </w:r>
          </w:p>
        </w:tc>
        <w:tc>
          <w:tcPr>
            <w:tcW w:w="6662" w:type="dxa"/>
          </w:tcPr>
          <w:p w:rsidR="00BD1F89" w:rsidRPr="005A3EF3" w:rsidRDefault="00197011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jc w:val="both"/>
            </w:pPr>
            <w:r w:rsidRPr="005A3EF3">
              <w:t>Прийняття акту забезпечить унормування та прозорість процесу присвоєння почесних звань «Народний художній колектив» і «Зразковий художній колектив» системи Міністерства освіти і науки України. Сприятиме реалізації засад державної політики у сфері позашкільної освіти, а саме: забезпечення рівного доступу до позашкільної освіти; створення та розвиток системи заохочення й мотивації обдарованих і талановитих дітей та молоді, залучення їх до художньої творчості; підвищення рівня їх виконавської майстерності; підтримка творчо працюючих педагогічних працівників.</w:t>
            </w:r>
          </w:p>
          <w:p w:rsidR="004720B7" w:rsidRPr="005A3EF3" w:rsidRDefault="004720B7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jc w:val="both"/>
            </w:pPr>
          </w:p>
          <w:p w:rsidR="004720B7" w:rsidRPr="005A3EF3" w:rsidRDefault="004720B7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4"/>
              </w:tabs>
              <w:jc w:val="both"/>
            </w:pPr>
          </w:p>
        </w:tc>
      </w:tr>
    </w:tbl>
    <w:p w:rsidR="00BD1F89" w:rsidRPr="005A3EF3" w:rsidRDefault="00BD1F89" w:rsidP="005A3EF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16"/>
          <w:szCs w:val="16"/>
        </w:rPr>
      </w:pPr>
    </w:p>
    <w:p w:rsidR="00BD1F89" w:rsidRPr="005A3EF3" w:rsidRDefault="00197011" w:rsidP="005A3EF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  <w:highlight w:val="white"/>
        </w:rPr>
      </w:pPr>
      <w:r w:rsidRPr="005A3EF3">
        <w:rPr>
          <w:color w:val="000000"/>
          <w:sz w:val="28"/>
          <w:szCs w:val="28"/>
          <w:highlight w:val="white"/>
        </w:rPr>
        <w:t>2. Оцінка вибраних альтернативних способів досягнення цілей</w:t>
      </w:r>
    </w:p>
    <w:p w:rsidR="00BD1F89" w:rsidRPr="005A3EF3" w:rsidRDefault="00BD1F89" w:rsidP="005A3EF3">
      <w:pPr>
        <w:ind w:firstLine="567"/>
        <w:jc w:val="both"/>
        <w:rPr>
          <w:sz w:val="28"/>
          <w:szCs w:val="28"/>
        </w:rPr>
      </w:pPr>
    </w:p>
    <w:p w:rsidR="00BD1F89" w:rsidRPr="005A3EF3" w:rsidRDefault="00197011" w:rsidP="005A3EF3">
      <w:pPr>
        <w:ind w:firstLine="567"/>
        <w:jc w:val="both"/>
        <w:rPr>
          <w:sz w:val="28"/>
          <w:szCs w:val="28"/>
        </w:rPr>
      </w:pPr>
      <w:r w:rsidRPr="005A3EF3">
        <w:rPr>
          <w:sz w:val="28"/>
          <w:szCs w:val="28"/>
        </w:rPr>
        <w:t xml:space="preserve">Дія </w:t>
      </w:r>
      <w:proofErr w:type="spellStart"/>
      <w:r w:rsidRPr="005A3EF3">
        <w:rPr>
          <w:sz w:val="28"/>
          <w:szCs w:val="28"/>
        </w:rPr>
        <w:t>проєкту</w:t>
      </w:r>
      <w:proofErr w:type="spellEnd"/>
      <w:r w:rsidRPr="005A3EF3">
        <w:rPr>
          <w:sz w:val="28"/>
          <w:szCs w:val="28"/>
        </w:rPr>
        <w:t xml:space="preserve"> регуляторного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 поширюватимет</w:t>
      </w:r>
      <w:r w:rsidR="00826569" w:rsidRPr="005A3EF3">
        <w:rPr>
          <w:sz w:val="28"/>
          <w:szCs w:val="28"/>
        </w:rPr>
        <w:t xml:space="preserve">ься на педагогічних працівників, </w:t>
      </w:r>
      <w:r w:rsidRPr="005A3EF3">
        <w:rPr>
          <w:sz w:val="28"/>
          <w:szCs w:val="28"/>
        </w:rPr>
        <w:t>які забезпечують розвиток системи заохочення й мотивації обдарованих і талановитих дітей та молоді, залучення їх до художньої творчості у закладах освіти незалежно від форми власності та сфери управління (далі – ЗПО).</w:t>
      </w:r>
    </w:p>
    <w:p w:rsidR="00BD1F89" w:rsidRPr="005A3EF3" w:rsidRDefault="00197011" w:rsidP="005A3EF3">
      <w:pPr>
        <w:ind w:firstLine="567"/>
        <w:jc w:val="center"/>
        <w:rPr>
          <w:sz w:val="28"/>
          <w:szCs w:val="28"/>
        </w:rPr>
      </w:pPr>
      <w:r w:rsidRPr="005A3EF3">
        <w:rPr>
          <w:sz w:val="28"/>
          <w:szCs w:val="28"/>
        </w:rPr>
        <w:t>Оцінка впливу на сферу інтересів держави</w:t>
      </w:r>
    </w:p>
    <w:p w:rsidR="00BD1F89" w:rsidRPr="005A3EF3" w:rsidRDefault="00BD1F89" w:rsidP="005A3EF3">
      <w:pPr>
        <w:ind w:firstLine="567"/>
        <w:jc w:val="center"/>
        <w:rPr>
          <w:sz w:val="28"/>
          <w:szCs w:val="28"/>
        </w:rPr>
      </w:pPr>
    </w:p>
    <w:tbl>
      <w:tblPr>
        <w:tblStyle w:val="afb"/>
        <w:tblW w:w="95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1"/>
        <w:gridCol w:w="4394"/>
        <w:gridCol w:w="2999"/>
      </w:tblGrid>
      <w:tr w:rsidR="00BD1F89" w:rsidRPr="005A3EF3">
        <w:tc>
          <w:tcPr>
            <w:tcW w:w="2122" w:type="dxa"/>
          </w:tcPr>
          <w:p w:rsidR="00BD1F89" w:rsidRPr="005A3EF3" w:rsidRDefault="00197011" w:rsidP="005A3EF3">
            <w:pPr>
              <w:ind w:firstLine="567"/>
              <w:jc w:val="center"/>
            </w:pPr>
            <w:r w:rsidRPr="005A3EF3">
              <w:t>Вид альтернативи</w:t>
            </w:r>
          </w:p>
        </w:tc>
        <w:tc>
          <w:tcPr>
            <w:tcW w:w="4394" w:type="dxa"/>
          </w:tcPr>
          <w:p w:rsidR="00BD1F89" w:rsidRPr="005A3EF3" w:rsidRDefault="00197011" w:rsidP="005A3EF3">
            <w:pPr>
              <w:ind w:firstLine="567"/>
              <w:jc w:val="center"/>
            </w:pPr>
            <w:r w:rsidRPr="005A3EF3">
              <w:t>Вигоди</w:t>
            </w:r>
          </w:p>
        </w:tc>
        <w:tc>
          <w:tcPr>
            <w:tcW w:w="2999" w:type="dxa"/>
          </w:tcPr>
          <w:p w:rsidR="00BD1F89" w:rsidRPr="005A3EF3" w:rsidRDefault="00197011" w:rsidP="005A3EF3">
            <w:pPr>
              <w:ind w:firstLine="567"/>
              <w:jc w:val="center"/>
            </w:pPr>
            <w:r w:rsidRPr="005A3EF3">
              <w:t>Витрати</w:t>
            </w:r>
          </w:p>
        </w:tc>
      </w:tr>
      <w:tr w:rsidR="00BD1F89" w:rsidRPr="005A3EF3">
        <w:tc>
          <w:tcPr>
            <w:tcW w:w="2122" w:type="dxa"/>
          </w:tcPr>
          <w:p w:rsidR="00BD1F89" w:rsidRPr="005A3EF3" w:rsidRDefault="00197011" w:rsidP="005A3EF3">
            <w:r w:rsidRPr="005A3EF3">
              <w:t>Альтернатива 1</w:t>
            </w:r>
          </w:p>
        </w:tc>
        <w:tc>
          <w:tcPr>
            <w:tcW w:w="4394" w:type="dxa"/>
          </w:tcPr>
          <w:p w:rsidR="00BD1F89" w:rsidRPr="005A3EF3" w:rsidRDefault="00197011" w:rsidP="005A3EF3">
            <w:pPr>
              <w:ind w:firstLine="567"/>
              <w:jc w:val="both"/>
            </w:pPr>
            <w:r w:rsidRPr="005A3EF3">
              <w:t>Відсутні. Відсутність нормативно-правового врегулювання та прозорості процесу присвоєння почесних звань «Народний художній колектив» і «Зразковий художній колектив» системи Міністерства освіти і науки України не сприятиме реалізації засад державної політики у сфері позашкільної освіти.</w:t>
            </w:r>
          </w:p>
        </w:tc>
        <w:tc>
          <w:tcPr>
            <w:tcW w:w="2999" w:type="dxa"/>
          </w:tcPr>
          <w:p w:rsidR="00BD1F89" w:rsidRPr="005A3EF3" w:rsidRDefault="00197011" w:rsidP="005A3EF3">
            <w:pPr>
              <w:jc w:val="both"/>
            </w:pPr>
            <w:r w:rsidRPr="005A3EF3">
              <w:t>Додаткові витрати відсутні.</w:t>
            </w:r>
          </w:p>
        </w:tc>
      </w:tr>
      <w:tr w:rsidR="00BD1F89" w:rsidRPr="005A3EF3">
        <w:tc>
          <w:tcPr>
            <w:tcW w:w="2122" w:type="dxa"/>
          </w:tcPr>
          <w:p w:rsidR="00BD1F89" w:rsidRPr="005A3EF3" w:rsidRDefault="00197011" w:rsidP="005A3EF3">
            <w:r w:rsidRPr="005A3EF3">
              <w:t>Альтернатива 2</w:t>
            </w:r>
          </w:p>
        </w:tc>
        <w:tc>
          <w:tcPr>
            <w:tcW w:w="4394" w:type="dxa"/>
            <w:shd w:val="clear" w:color="auto" w:fill="auto"/>
          </w:tcPr>
          <w:p w:rsidR="00BD1F89" w:rsidRPr="005A3EF3" w:rsidRDefault="00197011" w:rsidP="005A3EF3">
            <w:pPr>
              <w:jc w:val="both"/>
            </w:pPr>
            <w:r w:rsidRPr="005A3EF3">
              <w:t>Забезпечить досягнення цілей.</w:t>
            </w:r>
          </w:p>
          <w:p w:rsidR="00BD1F89" w:rsidRPr="005A3EF3" w:rsidRDefault="00197011" w:rsidP="005A3EF3">
            <w:pPr>
              <w:jc w:val="both"/>
            </w:pPr>
            <w:r w:rsidRPr="005A3EF3">
              <w:t>Сприятиме реалізації засад державної політики у сфері позашкільної освіти та принципів освітньої діяльності.</w:t>
            </w:r>
          </w:p>
          <w:p w:rsidR="00BD1F89" w:rsidRPr="005A3EF3" w:rsidRDefault="00197011" w:rsidP="005A3EF3">
            <w:pPr>
              <w:jc w:val="both"/>
            </w:pPr>
            <w:r w:rsidRPr="005A3EF3">
              <w:t xml:space="preserve">Забезпечить: рівний доступ до позашкільної освіти; </w:t>
            </w:r>
            <w:r w:rsidRPr="005A3EF3">
              <w:rPr>
                <w:color w:val="000000"/>
              </w:rPr>
              <w:t xml:space="preserve">створення та розвиток системи заохочення й мотивації обдарованих і талановитих дітей та молоді, залучення їх до художньої творчості, підвищення рівня </w:t>
            </w:r>
            <w:r w:rsidRPr="005A3EF3">
              <w:rPr>
                <w:color w:val="000000"/>
              </w:rPr>
              <w:lastRenderedPageBreak/>
              <w:t>їх виконавської майстерності,</w:t>
            </w:r>
            <w:r w:rsidRPr="005A3EF3">
              <w:t xml:space="preserve"> сприятиме ранній профілізації дітей та молоді, вихованню їх на національних традиціях</w:t>
            </w:r>
            <w:r w:rsidRPr="005A3EF3">
              <w:rPr>
                <w:color w:val="000000"/>
              </w:rPr>
              <w:t>; підтримку творчо працюючих педагогічних працівників</w:t>
            </w:r>
            <w:r w:rsidRPr="005A3EF3">
              <w:t>.</w:t>
            </w:r>
          </w:p>
          <w:p w:rsidR="00BD1F89" w:rsidRPr="005A3EF3" w:rsidRDefault="00BD1F89" w:rsidP="005A3EF3">
            <w:pPr>
              <w:jc w:val="both"/>
            </w:pPr>
          </w:p>
        </w:tc>
        <w:tc>
          <w:tcPr>
            <w:tcW w:w="2999" w:type="dxa"/>
          </w:tcPr>
          <w:p w:rsidR="00BD1F89" w:rsidRPr="005A3EF3" w:rsidRDefault="00197011" w:rsidP="005A3EF3">
            <w:pPr>
              <w:jc w:val="both"/>
            </w:pPr>
            <w:r w:rsidRPr="005A3EF3">
              <w:lastRenderedPageBreak/>
              <w:t xml:space="preserve">Прийняття та реалізація регуляторного </w:t>
            </w:r>
            <w:proofErr w:type="spellStart"/>
            <w:r w:rsidRPr="005A3EF3">
              <w:t>акта</w:t>
            </w:r>
            <w:proofErr w:type="spellEnd"/>
            <w:r w:rsidRPr="005A3EF3">
              <w:t xml:space="preserve"> не потребує додаткових видатків.</w:t>
            </w:r>
          </w:p>
        </w:tc>
      </w:tr>
    </w:tbl>
    <w:p w:rsidR="00BD1F89" w:rsidRPr="005A3EF3" w:rsidRDefault="00BD1F89" w:rsidP="005A3EF3">
      <w:pPr>
        <w:ind w:firstLine="567"/>
        <w:rPr>
          <w:sz w:val="28"/>
          <w:szCs w:val="28"/>
        </w:rPr>
      </w:pPr>
    </w:p>
    <w:p w:rsidR="00BD1F89" w:rsidRPr="005A3EF3" w:rsidRDefault="00197011" w:rsidP="005A3EF3">
      <w:pPr>
        <w:ind w:firstLine="567"/>
        <w:jc w:val="center"/>
        <w:rPr>
          <w:sz w:val="28"/>
          <w:szCs w:val="28"/>
        </w:rPr>
      </w:pPr>
      <w:r w:rsidRPr="005A3EF3">
        <w:rPr>
          <w:sz w:val="28"/>
          <w:szCs w:val="28"/>
        </w:rPr>
        <w:t>Оцінка впливу на сферу інтересів громадян</w:t>
      </w:r>
    </w:p>
    <w:tbl>
      <w:tblPr>
        <w:tblStyle w:val="afc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384"/>
        <w:gridCol w:w="3122"/>
      </w:tblGrid>
      <w:tr w:rsidR="00BD1F89" w:rsidRPr="005A3EF3">
        <w:tc>
          <w:tcPr>
            <w:tcW w:w="2122" w:type="dxa"/>
          </w:tcPr>
          <w:p w:rsidR="00BD1F89" w:rsidRPr="005A3EF3" w:rsidRDefault="00197011" w:rsidP="005A3EF3">
            <w:pPr>
              <w:jc w:val="center"/>
            </w:pPr>
            <w:r w:rsidRPr="005A3EF3">
              <w:t>Вид альтернативи</w:t>
            </w:r>
          </w:p>
        </w:tc>
        <w:tc>
          <w:tcPr>
            <w:tcW w:w="4384" w:type="dxa"/>
          </w:tcPr>
          <w:p w:rsidR="00BD1F89" w:rsidRPr="005A3EF3" w:rsidRDefault="00197011" w:rsidP="005A3EF3">
            <w:pPr>
              <w:ind w:firstLine="567"/>
              <w:jc w:val="center"/>
            </w:pPr>
            <w:r w:rsidRPr="005A3EF3">
              <w:t>Вигоди</w:t>
            </w:r>
          </w:p>
        </w:tc>
        <w:tc>
          <w:tcPr>
            <w:tcW w:w="3122" w:type="dxa"/>
          </w:tcPr>
          <w:p w:rsidR="00BD1F89" w:rsidRPr="005A3EF3" w:rsidRDefault="00197011" w:rsidP="005A3EF3">
            <w:pPr>
              <w:ind w:firstLine="567"/>
              <w:jc w:val="center"/>
            </w:pPr>
            <w:r w:rsidRPr="005A3EF3">
              <w:t>Витрати</w:t>
            </w:r>
          </w:p>
        </w:tc>
      </w:tr>
      <w:tr w:rsidR="00BD1F89" w:rsidRPr="005A3EF3">
        <w:tc>
          <w:tcPr>
            <w:tcW w:w="2122" w:type="dxa"/>
          </w:tcPr>
          <w:p w:rsidR="00BD1F89" w:rsidRPr="005A3EF3" w:rsidRDefault="00197011" w:rsidP="005A3EF3">
            <w:r w:rsidRPr="005A3EF3">
              <w:t>Альтернатива 1</w:t>
            </w:r>
          </w:p>
        </w:tc>
        <w:tc>
          <w:tcPr>
            <w:tcW w:w="4384" w:type="dxa"/>
          </w:tcPr>
          <w:p w:rsidR="00BD1F89" w:rsidRPr="005A3EF3" w:rsidRDefault="00197011" w:rsidP="005A3EF3">
            <w:r w:rsidRPr="005A3EF3">
              <w:t>Відсутні</w:t>
            </w:r>
          </w:p>
        </w:tc>
        <w:tc>
          <w:tcPr>
            <w:tcW w:w="3122" w:type="dxa"/>
          </w:tcPr>
          <w:p w:rsidR="00BD1F89" w:rsidRPr="005A3EF3" w:rsidRDefault="00197011" w:rsidP="005A3EF3">
            <w:pPr>
              <w:jc w:val="both"/>
            </w:pPr>
            <w:r w:rsidRPr="005A3EF3">
              <w:t>Фінансові витрати громадян не змінюються.</w:t>
            </w:r>
          </w:p>
        </w:tc>
      </w:tr>
      <w:tr w:rsidR="00BD1F89" w:rsidRPr="005A3EF3">
        <w:tc>
          <w:tcPr>
            <w:tcW w:w="2122" w:type="dxa"/>
          </w:tcPr>
          <w:p w:rsidR="00BD1F89" w:rsidRPr="005A3EF3" w:rsidRDefault="00197011" w:rsidP="005A3EF3">
            <w:r w:rsidRPr="005A3EF3">
              <w:t>Альтернатива 2</w:t>
            </w:r>
          </w:p>
        </w:tc>
        <w:tc>
          <w:tcPr>
            <w:tcW w:w="4384" w:type="dxa"/>
          </w:tcPr>
          <w:p w:rsidR="00BD1F89" w:rsidRPr="005A3EF3" w:rsidRDefault="00197011" w:rsidP="005A3EF3">
            <w:pPr>
              <w:jc w:val="both"/>
            </w:pPr>
            <w:r w:rsidRPr="005A3EF3">
              <w:t xml:space="preserve">Забезпечить: відповідність нормативно-правового </w:t>
            </w:r>
            <w:proofErr w:type="spellStart"/>
            <w:r w:rsidRPr="005A3EF3">
              <w:t>акта</w:t>
            </w:r>
            <w:proofErr w:type="spellEnd"/>
            <w:r w:rsidRPr="005A3EF3">
              <w:t xml:space="preserve"> нормам що визначено Законом України «Про позашкільну освіту»;  реалізацію права учасників освітньої процесу рівний доступ до позашкільної освіти; сприятиме залученню до сфери позашкільної освіти приватного сектору, його </w:t>
            </w:r>
            <w:proofErr w:type="spellStart"/>
            <w:r w:rsidRPr="005A3EF3">
              <w:t>легитимізації</w:t>
            </w:r>
            <w:proofErr w:type="spellEnd"/>
            <w:r w:rsidRPr="005A3EF3">
              <w:t xml:space="preserve"> та визнання його державою.</w:t>
            </w:r>
          </w:p>
        </w:tc>
        <w:tc>
          <w:tcPr>
            <w:tcW w:w="3122" w:type="dxa"/>
          </w:tcPr>
          <w:p w:rsidR="00BD1F89" w:rsidRPr="005A3EF3" w:rsidRDefault="00197011" w:rsidP="005A3EF3">
            <w:pPr>
              <w:jc w:val="both"/>
            </w:pPr>
            <w:r w:rsidRPr="005A3EF3">
              <w:t xml:space="preserve">Прийняття та реалізація регуляторного </w:t>
            </w:r>
            <w:proofErr w:type="spellStart"/>
            <w:r w:rsidRPr="005A3EF3">
              <w:t>акта</w:t>
            </w:r>
            <w:proofErr w:type="spellEnd"/>
            <w:r w:rsidRPr="005A3EF3">
              <w:t xml:space="preserve"> не потребує додаткових видатків</w:t>
            </w:r>
          </w:p>
        </w:tc>
      </w:tr>
    </w:tbl>
    <w:p w:rsidR="00BD1F89" w:rsidRPr="005A3EF3" w:rsidRDefault="00BD1F89" w:rsidP="005A3EF3">
      <w:pPr>
        <w:rPr>
          <w:sz w:val="28"/>
          <w:szCs w:val="28"/>
        </w:rPr>
      </w:pPr>
    </w:p>
    <w:p w:rsidR="00BD1F89" w:rsidRPr="005A3EF3" w:rsidRDefault="00197011" w:rsidP="005A3EF3">
      <w:pPr>
        <w:ind w:firstLine="567"/>
        <w:jc w:val="center"/>
        <w:rPr>
          <w:sz w:val="28"/>
          <w:szCs w:val="28"/>
        </w:rPr>
      </w:pPr>
      <w:r w:rsidRPr="005A3EF3">
        <w:rPr>
          <w:sz w:val="28"/>
          <w:szCs w:val="28"/>
        </w:rPr>
        <w:t>Оцінка впливу на сферу інтересів суб’єктів господарювання</w:t>
      </w:r>
    </w:p>
    <w:p w:rsidR="00BD1F89" w:rsidRPr="005A3EF3" w:rsidRDefault="00BD1F89" w:rsidP="005A3EF3">
      <w:pPr>
        <w:ind w:firstLine="567"/>
        <w:jc w:val="center"/>
        <w:rPr>
          <w:sz w:val="28"/>
          <w:szCs w:val="28"/>
        </w:rPr>
      </w:pPr>
    </w:p>
    <w:p w:rsidR="00BD1F89" w:rsidRPr="005A3EF3" w:rsidRDefault="00197011" w:rsidP="005A3E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5A3EF3">
        <w:rPr>
          <w:color w:val="000000"/>
          <w:sz w:val="28"/>
          <w:szCs w:val="28"/>
        </w:rPr>
        <w:t xml:space="preserve">За офіційними статистичними даними (форма звітності № 1-ПЗ), станом на 01 січня 2025 року в Україні функціонував </w:t>
      </w:r>
      <w:r w:rsidRPr="005A3EF3">
        <w:rPr>
          <w:b/>
          <w:i/>
          <w:color w:val="000000"/>
          <w:sz w:val="28"/>
          <w:szCs w:val="28"/>
        </w:rPr>
        <w:t xml:space="preserve">1 151 </w:t>
      </w:r>
      <w:r w:rsidRPr="005A3EF3">
        <w:rPr>
          <w:b/>
          <w:i/>
          <w:sz w:val="28"/>
          <w:szCs w:val="28"/>
        </w:rPr>
        <w:t>заклад позашкільної освіти</w:t>
      </w:r>
      <w:r w:rsidRPr="005A3EF3">
        <w:rPr>
          <w:sz w:val="28"/>
          <w:szCs w:val="28"/>
        </w:rPr>
        <w:t xml:space="preserve">; </w:t>
      </w:r>
      <w:r w:rsidRPr="005A3EF3">
        <w:rPr>
          <w:color w:val="000000"/>
          <w:sz w:val="28"/>
          <w:szCs w:val="28"/>
        </w:rPr>
        <w:t>в них діяли 22 424 гуртки художньо-естетичного напряму, які відвідували 364,5 тис. дітей</w:t>
      </w:r>
      <w:r w:rsidRPr="005A3EF3">
        <w:rPr>
          <w:sz w:val="28"/>
          <w:szCs w:val="28"/>
        </w:rPr>
        <w:t>, 1158 гуртків позашкільної освіти діють на базі інших закладів освіти (не позашкільних), де надають позашкільну освіту 18,4 тис. дітям</w:t>
      </w:r>
      <w:r w:rsidRPr="005A3EF3">
        <w:rPr>
          <w:color w:val="000000"/>
          <w:sz w:val="28"/>
          <w:szCs w:val="28"/>
        </w:rPr>
        <w:t xml:space="preserve"> на які поширюватиметься дія </w:t>
      </w:r>
      <w:proofErr w:type="spellStart"/>
      <w:r w:rsidRPr="005A3EF3">
        <w:rPr>
          <w:color w:val="000000"/>
          <w:sz w:val="28"/>
          <w:szCs w:val="28"/>
        </w:rPr>
        <w:t>проєкту</w:t>
      </w:r>
      <w:proofErr w:type="spellEnd"/>
      <w:r w:rsidRPr="005A3EF3">
        <w:rPr>
          <w:color w:val="000000"/>
          <w:sz w:val="28"/>
          <w:szCs w:val="28"/>
        </w:rPr>
        <w:t xml:space="preserve"> регуляторного </w:t>
      </w:r>
      <w:proofErr w:type="spellStart"/>
      <w:r w:rsidRPr="005A3EF3">
        <w:rPr>
          <w:color w:val="000000"/>
          <w:sz w:val="28"/>
          <w:szCs w:val="28"/>
        </w:rPr>
        <w:t>акта</w:t>
      </w:r>
      <w:proofErr w:type="spellEnd"/>
      <w:r w:rsidRPr="005A3EF3">
        <w:rPr>
          <w:color w:val="000000"/>
          <w:sz w:val="28"/>
          <w:szCs w:val="28"/>
        </w:rPr>
        <w:t>.</w:t>
      </w:r>
    </w:p>
    <w:p w:rsidR="00704E07" w:rsidRPr="005A3EF3" w:rsidRDefault="00704E07" w:rsidP="005A3E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tbl>
      <w:tblPr>
        <w:tblStyle w:val="afd"/>
        <w:tblW w:w="96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1417"/>
        <w:gridCol w:w="1418"/>
        <w:gridCol w:w="1417"/>
        <w:gridCol w:w="1279"/>
      </w:tblGrid>
      <w:tr w:rsidR="00BD1F89" w:rsidRPr="005A3EF3" w:rsidTr="00784988">
        <w:tc>
          <w:tcPr>
            <w:tcW w:w="2660" w:type="dxa"/>
            <w:shd w:val="clear" w:color="auto" w:fill="auto"/>
          </w:tcPr>
          <w:p w:rsidR="00BD1F89" w:rsidRPr="005A3EF3" w:rsidRDefault="00197011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3EF3">
              <w:rPr>
                <w:color w:val="000000"/>
              </w:rPr>
              <w:t>Показник</w:t>
            </w:r>
          </w:p>
        </w:tc>
        <w:tc>
          <w:tcPr>
            <w:tcW w:w="1417" w:type="dxa"/>
            <w:shd w:val="clear" w:color="auto" w:fill="auto"/>
          </w:tcPr>
          <w:p w:rsidR="00BD1F89" w:rsidRPr="005A3EF3" w:rsidRDefault="00197011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3EF3">
              <w:rPr>
                <w:color w:val="000000"/>
              </w:rPr>
              <w:t>Великі</w:t>
            </w:r>
          </w:p>
        </w:tc>
        <w:tc>
          <w:tcPr>
            <w:tcW w:w="1417" w:type="dxa"/>
            <w:shd w:val="clear" w:color="auto" w:fill="auto"/>
          </w:tcPr>
          <w:p w:rsidR="00BD1F89" w:rsidRPr="005A3EF3" w:rsidRDefault="00197011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3EF3">
              <w:rPr>
                <w:color w:val="000000"/>
              </w:rPr>
              <w:t>Середні</w:t>
            </w:r>
          </w:p>
        </w:tc>
        <w:tc>
          <w:tcPr>
            <w:tcW w:w="1418" w:type="dxa"/>
            <w:shd w:val="clear" w:color="auto" w:fill="auto"/>
          </w:tcPr>
          <w:p w:rsidR="00BD1F89" w:rsidRPr="005A3EF3" w:rsidRDefault="00197011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3EF3">
              <w:rPr>
                <w:color w:val="000000"/>
              </w:rPr>
              <w:t>Малі</w:t>
            </w:r>
          </w:p>
        </w:tc>
        <w:tc>
          <w:tcPr>
            <w:tcW w:w="1417" w:type="dxa"/>
            <w:shd w:val="clear" w:color="auto" w:fill="auto"/>
          </w:tcPr>
          <w:p w:rsidR="00BD1F89" w:rsidRPr="005A3EF3" w:rsidRDefault="00197011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3EF3">
              <w:rPr>
                <w:color w:val="000000"/>
              </w:rPr>
              <w:t>Мікро</w:t>
            </w:r>
          </w:p>
        </w:tc>
        <w:tc>
          <w:tcPr>
            <w:tcW w:w="1279" w:type="dxa"/>
            <w:shd w:val="clear" w:color="auto" w:fill="auto"/>
          </w:tcPr>
          <w:p w:rsidR="00BD1F89" w:rsidRPr="005A3EF3" w:rsidRDefault="00197011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3EF3">
              <w:rPr>
                <w:color w:val="000000"/>
              </w:rPr>
              <w:t>Разом</w:t>
            </w:r>
          </w:p>
        </w:tc>
      </w:tr>
      <w:tr w:rsidR="00B6015F" w:rsidRPr="005A3EF3" w:rsidTr="00784988">
        <w:tc>
          <w:tcPr>
            <w:tcW w:w="2660" w:type="dxa"/>
            <w:shd w:val="clear" w:color="auto" w:fill="auto"/>
          </w:tcPr>
          <w:p w:rsidR="00B6015F" w:rsidRPr="005A3EF3" w:rsidRDefault="00B6015F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both"/>
              <w:rPr>
                <w:color w:val="000000"/>
              </w:rPr>
            </w:pPr>
            <w:r w:rsidRPr="005A3EF3">
              <w:rPr>
                <w:color w:val="000000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1417" w:type="dxa"/>
            <w:shd w:val="clear" w:color="auto" w:fill="auto"/>
          </w:tcPr>
          <w:p w:rsidR="00B6015F" w:rsidRPr="005A3EF3" w:rsidRDefault="00B6015F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ind w:firstLine="567"/>
              <w:jc w:val="center"/>
              <w:rPr>
                <w:color w:val="000000"/>
              </w:rPr>
            </w:pPr>
            <w:r w:rsidRPr="005A3EF3"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6015F" w:rsidRPr="005A3EF3" w:rsidRDefault="00B6015F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ind w:firstLine="567"/>
              <w:jc w:val="center"/>
              <w:rPr>
                <w:color w:val="000000"/>
              </w:rPr>
            </w:pPr>
            <w:r w:rsidRPr="005A3EF3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6015F" w:rsidRPr="005A3EF3" w:rsidRDefault="00B6015F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ind w:firstLine="567"/>
              <w:jc w:val="center"/>
              <w:rPr>
                <w:color w:val="000000"/>
              </w:rPr>
            </w:pPr>
            <w:r w:rsidRPr="005A3EF3">
              <w:rPr>
                <w:color w:val="000000"/>
              </w:rPr>
              <w:t>1 151</w:t>
            </w:r>
          </w:p>
        </w:tc>
        <w:tc>
          <w:tcPr>
            <w:tcW w:w="1417" w:type="dxa"/>
            <w:shd w:val="clear" w:color="auto" w:fill="auto"/>
          </w:tcPr>
          <w:p w:rsidR="00B6015F" w:rsidRPr="005A3EF3" w:rsidRDefault="00B6015F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ind w:firstLine="567"/>
              <w:jc w:val="center"/>
              <w:rPr>
                <w:color w:val="000000"/>
              </w:rPr>
            </w:pPr>
            <w:r w:rsidRPr="005A3EF3">
              <w:rPr>
                <w:color w:val="000000"/>
              </w:rPr>
              <w:t>0</w:t>
            </w:r>
          </w:p>
        </w:tc>
        <w:tc>
          <w:tcPr>
            <w:tcW w:w="1279" w:type="dxa"/>
            <w:shd w:val="clear" w:color="auto" w:fill="auto"/>
          </w:tcPr>
          <w:p w:rsidR="00B6015F" w:rsidRPr="005A3EF3" w:rsidRDefault="00B6015F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jc w:val="center"/>
              <w:rPr>
                <w:color w:val="000000"/>
              </w:rPr>
            </w:pPr>
            <w:r w:rsidRPr="005A3EF3">
              <w:rPr>
                <w:color w:val="000000"/>
              </w:rPr>
              <w:t>1 151</w:t>
            </w:r>
          </w:p>
        </w:tc>
      </w:tr>
      <w:tr w:rsidR="00B6015F" w:rsidRPr="005A3EF3" w:rsidTr="00784988">
        <w:tc>
          <w:tcPr>
            <w:tcW w:w="2660" w:type="dxa"/>
            <w:shd w:val="clear" w:color="auto" w:fill="auto"/>
          </w:tcPr>
          <w:p w:rsidR="00B6015F" w:rsidRPr="005A3EF3" w:rsidRDefault="00B6015F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"/>
              <w:jc w:val="both"/>
              <w:rPr>
                <w:color w:val="000000"/>
              </w:rPr>
            </w:pPr>
            <w:r w:rsidRPr="005A3EF3">
              <w:rPr>
                <w:color w:val="000000"/>
              </w:rPr>
              <w:t>Питома вага групи у загальній кількості, відсотків</w:t>
            </w:r>
          </w:p>
        </w:tc>
        <w:tc>
          <w:tcPr>
            <w:tcW w:w="1417" w:type="dxa"/>
            <w:shd w:val="clear" w:color="auto" w:fill="auto"/>
          </w:tcPr>
          <w:p w:rsidR="00B6015F" w:rsidRPr="005A3EF3" w:rsidRDefault="00B6015F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ind w:firstLine="567"/>
              <w:jc w:val="center"/>
              <w:rPr>
                <w:color w:val="000000"/>
              </w:rPr>
            </w:pPr>
            <w:r w:rsidRPr="005A3EF3">
              <w:rPr>
                <w:color w:val="000000"/>
              </w:rPr>
              <w:t>0 %</w:t>
            </w:r>
          </w:p>
        </w:tc>
        <w:tc>
          <w:tcPr>
            <w:tcW w:w="1417" w:type="dxa"/>
            <w:shd w:val="clear" w:color="auto" w:fill="auto"/>
          </w:tcPr>
          <w:p w:rsidR="00B6015F" w:rsidRPr="005A3EF3" w:rsidRDefault="00B6015F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ind w:firstLine="567"/>
              <w:jc w:val="center"/>
              <w:rPr>
                <w:color w:val="000000"/>
              </w:rPr>
            </w:pPr>
            <w:r w:rsidRPr="005A3EF3">
              <w:rPr>
                <w:color w:val="000000"/>
              </w:rPr>
              <w:t>0 %</w:t>
            </w:r>
          </w:p>
        </w:tc>
        <w:tc>
          <w:tcPr>
            <w:tcW w:w="1418" w:type="dxa"/>
            <w:shd w:val="clear" w:color="auto" w:fill="auto"/>
          </w:tcPr>
          <w:p w:rsidR="00B6015F" w:rsidRPr="005A3EF3" w:rsidRDefault="00B6015F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ind w:firstLine="567"/>
              <w:jc w:val="center"/>
              <w:rPr>
                <w:color w:val="000000"/>
              </w:rPr>
            </w:pPr>
            <w:r w:rsidRPr="005A3EF3">
              <w:rPr>
                <w:color w:val="000000"/>
              </w:rPr>
              <w:t>100 %</w:t>
            </w:r>
          </w:p>
        </w:tc>
        <w:tc>
          <w:tcPr>
            <w:tcW w:w="1417" w:type="dxa"/>
            <w:shd w:val="clear" w:color="auto" w:fill="auto"/>
          </w:tcPr>
          <w:p w:rsidR="00B6015F" w:rsidRPr="005A3EF3" w:rsidRDefault="00B6015F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ind w:firstLine="567"/>
              <w:jc w:val="center"/>
              <w:rPr>
                <w:color w:val="000000"/>
              </w:rPr>
            </w:pPr>
            <w:r w:rsidRPr="005A3EF3">
              <w:rPr>
                <w:color w:val="000000"/>
              </w:rPr>
              <w:t>0 %</w:t>
            </w:r>
          </w:p>
        </w:tc>
        <w:tc>
          <w:tcPr>
            <w:tcW w:w="1279" w:type="dxa"/>
            <w:shd w:val="clear" w:color="auto" w:fill="auto"/>
          </w:tcPr>
          <w:p w:rsidR="00B6015F" w:rsidRPr="005A3EF3" w:rsidRDefault="00B6015F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  <w:tab w:val="left" w:pos="1276"/>
              </w:tabs>
              <w:ind w:firstLine="376"/>
              <w:jc w:val="center"/>
              <w:rPr>
                <w:color w:val="000000"/>
              </w:rPr>
            </w:pPr>
            <w:r w:rsidRPr="005A3EF3">
              <w:rPr>
                <w:color w:val="000000"/>
              </w:rPr>
              <w:t>100%</w:t>
            </w:r>
          </w:p>
        </w:tc>
      </w:tr>
    </w:tbl>
    <w:p w:rsidR="00BD1F89" w:rsidRPr="005A3EF3" w:rsidRDefault="00BD1F89" w:rsidP="005A3E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tbl>
      <w:tblPr>
        <w:tblStyle w:val="afe"/>
        <w:tblW w:w="952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4270"/>
        <w:gridCol w:w="2850"/>
      </w:tblGrid>
      <w:tr w:rsidR="00BD1F89" w:rsidRPr="005A3EF3">
        <w:tc>
          <w:tcPr>
            <w:tcW w:w="2406" w:type="dxa"/>
            <w:shd w:val="clear" w:color="auto" w:fill="auto"/>
          </w:tcPr>
          <w:p w:rsidR="00BD1F89" w:rsidRPr="005A3EF3" w:rsidRDefault="00197011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A3EF3">
              <w:rPr>
                <w:color w:val="000000"/>
              </w:rPr>
              <w:t>Вид альтернативи</w:t>
            </w:r>
          </w:p>
        </w:tc>
        <w:tc>
          <w:tcPr>
            <w:tcW w:w="4270" w:type="dxa"/>
            <w:shd w:val="clear" w:color="auto" w:fill="auto"/>
          </w:tcPr>
          <w:p w:rsidR="00BD1F89" w:rsidRPr="005A3EF3" w:rsidRDefault="00197011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color w:val="000000"/>
              </w:rPr>
            </w:pPr>
            <w:r w:rsidRPr="005A3EF3">
              <w:rPr>
                <w:color w:val="000000"/>
              </w:rPr>
              <w:t>Вигоди</w:t>
            </w:r>
          </w:p>
        </w:tc>
        <w:tc>
          <w:tcPr>
            <w:tcW w:w="2850" w:type="dxa"/>
            <w:shd w:val="clear" w:color="auto" w:fill="auto"/>
          </w:tcPr>
          <w:p w:rsidR="00BD1F89" w:rsidRPr="005A3EF3" w:rsidRDefault="00197011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color w:val="000000"/>
              </w:rPr>
            </w:pPr>
            <w:r w:rsidRPr="005A3EF3">
              <w:rPr>
                <w:color w:val="000000"/>
              </w:rPr>
              <w:t>Витрати</w:t>
            </w:r>
          </w:p>
        </w:tc>
      </w:tr>
      <w:tr w:rsidR="00BD1F89" w:rsidRPr="005A3EF3">
        <w:tc>
          <w:tcPr>
            <w:tcW w:w="2406" w:type="dxa"/>
            <w:shd w:val="clear" w:color="auto" w:fill="auto"/>
          </w:tcPr>
          <w:p w:rsidR="00BD1F89" w:rsidRPr="005A3EF3" w:rsidRDefault="00197011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27"/>
              <w:rPr>
                <w:color w:val="000000"/>
              </w:rPr>
            </w:pPr>
            <w:r w:rsidRPr="005A3EF3">
              <w:rPr>
                <w:color w:val="000000"/>
              </w:rPr>
              <w:t>Альтернатива 1</w:t>
            </w:r>
          </w:p>
          <w:p w:rsidR="00BD1F89" w:rsidRPr="005A3EF3" w:rsidRDefault="00BD1F89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color w:val="000000"/>
              </w:rPr>
            </w:pPr>
          </w:p>
        </w:tc>
        <w:tc>
          <w:tcPr>
            <w:tcW w:w="4270" w:type="dxa"/>
            <w:shd w:val="clear" w:color="auto" w:fill="auto"/>
          </w:tcPr>
          <w:p w:rsidR="00BD1F89" w:rsidRPr="005A3EF3" w:rsidRDefault="00197011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A3EF3">
              <w:rPr>
                <w:color w:val="000000"/>
              </w:rPr>
              <w:t xml:space="preserve">Відсутні. Збереження чинного регулювання та залишення наявної на сьогодні ситуації без змін. </w:t>
            </w:r>
          </w:p>
        </w:tc>
        <w:tc>
          <w:tcPr>
            <w:tcW w:w="2850" w:type="dxa"/>
            <w:shd w:val="clear" w:color="auto" w:fill="auto"/>
          </w:tcPr>
          <w:p w:rsidR="00BD1F89" w:rsidRPr="005A3EF3" w:rsidRDefault="00197011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A3EF3">
              <w:rPr>
                <w:color w:val="000000"/>
              </w:rPr>
              <w:t>Додаткові витрати відсутні.</w:t>
            </w:r>
          </w:p>
        </w:tc>
      </w:tr>
      <w:tr w:rsidR="00BD1F89" w:rsidRPr="005A3EF3">
        <w:tc>
          <w:tcPr>
            <w:tcW w:w="2406" w:type="dxa"/>
            <w:shd w:val="clear" w:color="auto" w:fill="auto"/>
          </w:tcPr>
          <w:p w:rsidR="00BD1F89" w:rsidRPr="005A3EF3" w:rsidRDefault="00197011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A3EF3">
              <w:rPr>
                <w:color w:val="000000"/>
              </w:rPr>
              <w:t>Альтернатива 2</w:t>
            </w:r>
          </w:p>
          <w:p w:rsidR="00BD1F89" w:rsidRPr="005A3EF3" w:rsidRDefault="00BD1F89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color w:val="000000"/>
              </w:rPr>
            </w:pPr>
          </w:p>
        </w:tc>
        <w:tc>
          <w:tcPr>
            <w:tcW w:w="4270" w:type="dxa"/>
            <w:shd w:val="clear" w:color="auto" w:fill="auto"/>
          </w:tcPr>
          <w:p w:rsidR="00BD1F89" w:rsidRPr="005A3EF3" w:rsidRDefault="00197011" w:rsidP="005A3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A3EF3">
              <w:rPr>
                <w:color w:val="000000"/>
              </w:rPr>
              <w:t xml:space="preserve">Урегульовано порядок присвоєння почесних звань «Народний художній колектив» і «Зразковий художній колектив» системи Міністерства освіти і науки України. Інтереси здобувачів освіти та їх законних представників </w:t>
            </w:r>
            <w:r w:rsidRPr="005A3EF3">
              <w:rPr>
                <w:color w:val="000000"/>
              </w:rPr>
              <w:lastRenderedPageBreak/>
              <w:t xml:space="preserve">щодо отримання якісних освітніх послуг забезпечуються шляхом оцінювання діяльності дитячих і молодіжних художніх колективів, педагогічних працівників  відповідно до сучасних вимог. </w:t>
            </w:r>
          </w:p>
        </w:tc>
        <w:tc>
          <w:tcPr>
            <w:tcW w:w="2850" w:type="dxa"/>
            <w:shd w:val="clear" w:color="auto" w:fill="auto"/>
          </w:tcPr>
          <w:p w:rsidR="00BD1F89" w:rsidRPr="005A3EF3" w:rsidRDefault="00197011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A3EF3">
              <w:rPr>
                <w:color w:val="000000"/>
              </w:rPr>
              <w:lastRenderedPageBreak/>
              <w:t>Витрати, пов’язані з ознайомленням з вимогами регулювання заінтересованих осіб</w:t>
            </w:r>
            <w:r w:rsidRPr="005A3EF3">
              <w:t xml:space="preserve"> </w:t>
            </w:r>
            <w:r w:rsidRPr="005A3EF3">
              <w:rPr>
                <w:color w:val="000000"/>
              </w:rPr>
              <w:t>відсутні.</w:t>
            </w:r>
          </w:p>
        </w:tc>
      </w:tr>
    </w:tbl>
    <w:p w:rsidR="003250CB" w:rsidRPr="005A3EF3" w:rsidRDefault="003250CB" w:rsidP="00F27574">
      <w:pPr>
        <w:rPr>
          <w:sz w:val="28"/>
          <w:szCs w:val="28"/>
          <w:highlight w:val="yellow"/>
        </w:rPr>
      </w:pPr>
    </w:p>
    <w:tbl>
      <w:tblPr>
        <w:tblStyle w:val="af7"/>
        <w:tblW w:w="9493" w:type="dxa"/>
        <w:tblLayout w:type="fixed"/>
        <w:tblLook w:val="04A0" w:firstRow="1" w:lastRow="0" w:firstColumn="1" w:lastColumn="0" w:noHBand="0" w:noVBand="1"/>
      </w:tblPr>
      <w:tblGrid>
        <w:gridCol w:w="1668"/>
        <w:gridCol w:w="3331"/>
        <w:gridCol w:w="4494"/>
      </w:tblGrid>
      <w:tr w:rsidR="003250CB" w:rsidRPr="005A3EF3" w:rsidTr="00784988">
        <w:tc>
          <w:tcPr>
            <w:tcW w:w="1668" w:type="dxa"/>
          </w:tcPr>
          <w:p w:rsidR="003250CB" w:rsidRPr="005A3EF3" w:rsidRDefault="003250CB" w:rsidP="005A3EF3">
            <w:pPr>
              <w:jc w:val="center"/>
              <w:rPr>
                <w:szCs w:val="28"/>
              </w:rPr>
            </w:pPr>
            <w:r w:rsidRPr="005A3EF3">
              <w:rPr>
                <w:szCs w:val="28"/>
              </w:rPr>
              <w:t>Вид альтернативи</w:t>
            </w:r>
          </w:p>
        </w:tc>
        <w:tc>
          <w:tcPr>
            <w:tcW w:w="3331" w:type="dxa"/>
          </w:tcPr>
          <w:p w:rsidR="003250CB" w:rsidRPr="005A3EF3" w:rsidRDefault="003250CB" w:rsidP="005A3EF3">
            <w:pPr>
              <w:jc w:val="center"/>
              <w:rPr>
                <w:szCs w:val="28"/>
              </w:rPr>
            </w:pPr>
            <w:r w:rsidRPr="005A3EF3">
              <w:rPr>
                <w:szCs w:val="28"/>
              </w:rPr>
              <w:t>Вигоди</w:t>
            </w:r>
          </w:p>
        </w:tc>
        <w:tc>
          <w:tcPr>
            <w:tcW w:w="4494" w:type="dxa"/>
          </w:tcPr>
          <w:p w:rsidR="003250CB" w:rsidRPr="005A3EF3" w:rsidRDefault="003250CB" w:rsidP="005A3EF3">
            <w:pPr>
              <w:jc w:val="center"/>
              <w:rPr>
                <w:szCs w:val="28"/>
              </w:rPr>
            </w:pPr>
            <w:r w:rsidRPr="005A3EF3">
              <w:rPr>
                <w:szCs w:val="28"/>
              </w:rPr>
              <w:t>Витрати</w:t>
            </w:r>
          </w:p>
        </w:tc>
      </w:tr>
      <w:tr w:rsidR="003250CB" w:rsidRPr="005A3EF3" w:rsidTr="004720B7">
        <w:trPr>
          <w:trHeight w:val="409"/>
        </w:trPr>
        <w:tc>
          <w:tcPr>
            <w:tcW w:w="1668" w:type="dxa"/>
          </w:tcPr>
          <w:p w:rsidR="003250CB" w:rsidRPr="005A3EF3" w:rsidRDefault="003250CB" w:rsidP="005A3EF3">
            <w:pPr>
              <w:rPr>
                <w:szCs w:val="28"/>
              </w:rPr>
            </w:pPr>
            <w:r w:rsidRPr="005A3EF3">
              <w:rPr>
                <w:szCs w:val="28"/>
              </w:rPr>
              <w:t>Альтернатива 1</w:t>
            </w:r>
          </w:p>
        </w:tc>
        <w:tc>
          <w:tcPr>
            <w:tcW w:w="3331" w:type="dxa"/>
          </w:tcPr>
          <w:p w:rsidR="003250CB" w:rsidRPr="005A3EF3" w:rsidRDefault="003250CB" w:rsidP="005A3EF3">
            <w:pPr>
              <w:rPr>
                <w:szCs w:val="28"/>
              </w:rPr>
            </w:pPr>
            <w:r w:rsidRPr="005A3EF3">
              <w:rPr>
                <w:szCs w:val="28"/>
              </w:rPr>
              <w:t>Відсутні</w:t>
            </w:r>
          </w:p>
        </w:tc>
        <w:tc>
          <w:tcPr>
            <w:tcW w:w="4494" w:type="dxa"/>
          </w:tcPr>
          <w:p w:rsidR="003250CB" w:rsidRPr="005A3EF3" w:rsidRDefault="00704E07" w:rsidP="005A3EF3">
            <w:pPr>
              <w:jc w:val="both"/>
            </w:pPr>
            <w:r w:rsidRPr="005A3EF3">
              <w:t>Не потребує додаткових видатків</w:t>
            </w:r>
          </w:p>
        </w:tc>
      </w:tr>
      <w:tr w:rsidR="003250CB" w:rsidRPr="005A3EF3" w:rsidTr="00784988">
        <w:tc>
          <w:tcPr>
            <w:tcW w:w="1668" w:type="dxa"/>
          </w:tcPr>
          <w:p w:rsidR="003250CB" w:rsidRPr="005A3EF3" w:rsidRDefault="003250CB" w:rsidP="005A3EF3">
            <w:pPr>
              <w:rPr>
                <w:szCs w:val="28"/>
              </w:rPr>
            </w:pPr>
            <w:r w:rsidRPr="005A3EF3">
              <w:rPr>
                <w:szCs w:val="28"/>
              </w:rPr>
              <w:t>Альтернатива 2</w:t>
            </w:r>
          </w:p>
        </w:tc>
        <w:tc>
          <w:tcPr>
            <w:tcW w:w="3331" w:type="dxa"/>
          </w:tcPr>
          <w:p w:rsidR="003250CB" w:rsidRPr="005A3EF3" w:rsidRDefault="003250CB" w:rsidP="005A3EF3">
            <w:r w:rsidRPr="005A3EF3">
              <w:t>Максимальні.</w:t>
            </w:r>
          </w:p>
          <w:p w:rsidR="003250CB" w:rsidRPr="005A3EF3" w:rsidRDefault="003250CB" w:rsidP="005A3EF3">
            <w:pPr>
              <w:rPr>
                <w:szCs w:val="28"/>
              </w:rPr>
            </w:pPr>
            <w:r w:rsidRPr="005A3EF3">
              <w:t xml:space="preserve">Суб’єкти господарювання матимуть зрозумілу процедуру </w:t>
            </w:r>
            <w:r w:rsidR="00704E07" w:rsidRPr="005A3EF3">
              <w:rPr>
                <w:szCs w:val="28"/>
              </w:rPr>
              <w:t>присвоєння, підтвердження, позбавлення почесних звань</w:t>
            </w:r>
          </w:p>
        </w:tc>
        <w:tc>
          <w:tcPr>
            <w:tcW w:w="4494" w:type="dxa"/>
          </w:tcPr>
          <w:p w:rsidR="003250CB" w:rsidRPr="005A3EF3" w:rsidRDefault="003250CB" w:rsidP="005A3EF3">
            <w:pPr>
              <w:jc w:val="both"/>
              <w:rPr>
                <w:strike/>
              </w:rPr>
            </w:pPr>
            <w:r w:rsidRPr="005A3EF3">
              <w:t xml:space="preserve">Ознайомлення </w:t>
            </w:r>
            <w:r w:rsidRPr="005A3EF3">
              <w:rPr>
                <w:color w:val="000000"/>
              </w:rPr>
              <w:t xml:space="preserve">учасників освітнього процесу </w:t>
            </w:r>
            <w:r w:rsidRPr="005A3EF3">
              <w:t xml:space="preserve">з текстом Положення: 1 год х </w:t>
            </w:r>
            <w:r w:rsidR="00197011" w:rsidRPr="005A3EF3">
              <w:t>48</w:t>
            </w:r>
            <w:r w:rsidRPr="005A3EF3">
              <w:t xml:space="preserve"> грн/год х </w:t>
            </w:r>
            <w:r w:rsidR="00197011" w:rsidRPr="005A3EF3">
              <w:rPr>
                <w:color w:val="000000"/>
              </w:rPr>
              <w:t>1 151</w:t>
            </w:r>
            <w:r w:rsidRPr="005A3EF3">
              <w:t xml:space="preserve"> закладів = </w:t>
            </w:r>
            <w:r w:rsidR="00197011" w:rsidRPr="005A3EF3">
              <w:t>55248</w:t>
            </w:r>
            <w:r w:rsidRPr="005A3EF3">
              <w:t xml:space="preserve"> грн. Витрати включаються до заробітної плати працівників, які здійснюють відповідну діяльність у межах виконання своїх посадових обов’язків.</w:t>
            </w:r>
          </w:p>
        </w:tc>
      </w:tr>
    </w:tbl>
    <w:p w:rsidR="00BD1F89" w:rsidRPr="005A3EF3" w:rsidRDefault="00BD1F89" w:rsidP="005A3EF3">
      <w:pPr>
        <w:ind w:firstLine="567"/>
        <w:rPr>
          <w:sz w:val="28"/>
          <w:szCs w:val="28"/>
          <w:highlight w:val="yellow"/>
        </w:rPr>
      </w:pPr>
    </w:p>
    <w:p w:rsidR="00704E07" w:rsidRPr="005A3EF3" w:rsidRDefault="00704E07" w:rsidP="005A3EF3">
      <w:pPr>
        <w:jc w:val="center"/>
        <w:rPr>
          <w:sz w:val="28"/>
          <w:szCs w:val="28"/>
        </w:rPr>
      </w:pPr>
      <w:r w:rsidRPr="005A3EF3">
        <w:rPr>
          <w:sz w:val="28"/>
          <w:szCs w:val="28"/>
        </w:rPr>
        <w:t xml:space="preserve">Витрати, які будуть виникати внаслідок дії регуляторного </w:t>
      </w:r>
      <w:proofErr w:type="spellStart"/>
      <w:r w:rsidRPr="005A3EF3">
        <w:rPr>
          <w:sz w:val="28"/>
          <w:szCs w:val="28"/>
        </w:rPr>
        <w:t>акта</w:t>
      </w:r>
      <w:proofErr w:type="spellEnd"/>
    </w:p>
    <w:p w:rsidR="00704E07" w:rsidRPr="005A3EF3" w:rsidRDefault="00704E07" w:rsidP="005A3EF3">
      <w:pPr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459"/>
        <w:gridCol w:w="5027"/>
      </w:tblGrid>
      <w:tr w:rsidR="00704E07" w:rsidRPr="005A3EF3" w:rsidTr="004A3A56">
        <w:tc>
          <w:tcPr>
            <w:tcW w:w="4503" w:type="dxa"/>
          </w:tcPr>
          <w:p w:rsidR="00704E07" w:rsidRPr="005A3EF3" w:rsidRDefault="00704E07" w:rsidP="005A3EF3">
            <w:pPr>
              <w:jc w:val="center"/>
              <w:rPr>
                <w:szCs w:val="28"/>
              </w:rPr>
            </w:pPr>
            <w:r w:rsidRPr="005A3EF3">
              <w:rPr>
                <w:szCs w:val="28"/>
              </w:rPr>
              <w:t>Сумарні витрати за альтернативами</w:t>
            </w:r>
          </w:p>
        </w:tc>
        <w:tc>
          <w:tcPr>
            <w:tcW w:w="5067" w:type="dxa"/>
          </w:tcPr>
          <w:p w:rsidR="00704E07" w:rsidRPr="005A3EF3" w:rsidRDefault="00704E07" w:rsidP="005A3EF3">
            <w:pPr>
              <w:jc w:val="center"/>
              <w:rPr>
                <w:szCs w:val="28"/>
              </w:rPr>
            </w:pPr>
            <w:r w:rsidRPr="005A3EF3">
              <w:rPr>
                <w:szCs w:val="28"/>
              </w:rPr>
              <w:t>Сума витрат, гривень</w:t>
            </w:r>
          </w:p>
        </w:tc>
      </w:tr>
      <w:tr w:rsidR="00704E07" w:rsidRPr="005A3EF3" w:rsidTr="004A3A56">
        <w:tc>
          <w:tcPr>
            <w:tcW w:w="4503" w:type="dxa"/>
          </w:tcPr>
          <w:p w:rsidR="00704E07" w:rsidRPr="005A3EF3" w:rsidRDefault="00704E07" w:rsidP="005A3EF3">
            <w:pPr>
              <w:rPr>
                <w:szCs w:val="28"/>
              </w:rPr>
            </w:pPr>
            <w:r w:rsidRPr="005A3EF3">
              <w:rPr>
                <w:szCs w:val="28"/>
              </w:rPr>
              <w:t>Альтернатива 1.</w:t>
            </w:r>
          </w:p>
        </w:tc>
        <w:tc>
          <w:tcPr>
            <w:tcW w:w="5067" w:type="dxa"/>
          </w:tcPr>
          <w:p w:rsidR="00704E07" w:rsidRPr="005A3EF3" w:rsidRDefault="00704E07" w:rsidP="005A3EF3">
            <w:pPr>
              <w:jc w:val="center"/>
              <w:rPr>
                <w:szCs w:val="28"/>
              </w:rPr>
            </w:pPr>
            <w:r w:rsidRPr="005A3EF3">
              <w:rPr>
                <w:szCs w:val="28"/>
              </w:rPr>
              <w:t>Відсутні</w:t>
            </w:r>
          </w:p>
        </w:tc>
      </w:tr>
      <w:tr w:rsidR="00704E07" w:rsidRPr="005A3EF3" w:rsidTr="004A3A56">
        <w:tc>
          <w:tcPr>
            <w:tcW w:w="4503" w:type="dxa"/>
          </w:tcPr>
          <w:p w:rsidR="00704E07" w:rsidRPr="005A3EF3" w:rsidRDefault="00704E07" w:rsidP="005A3EF3">
            <w:pPr>
              <w:rPr>
                <w:szCs w:val="28"/>
                <w:highlight w:val="yellow"/>
              </w:rPr>
            </w:pPr>
            <w:r w:rsidRPr="005A3EF3">
              <w:rPr>
                <w:szCs w:val="28"/>
              </w:rPr>
              <w:t>Альтернатива 2.</w:t>
            </w:r>
          </w:p>
        </w:tc>
        <w:tc>
          <w:tcPr>
            <w:tcW w:w="5067" w:type="dxa"/>
          </w:tcPr>
          <w:p w:rsidR="00704E07" w:rsidRPr="005A3EF3" w:rsidRDefault="00704E07" w:rsidP="005A3EF3">
            <w:pPr>
              <w:rPr>
                <w:strike/>
              </w:rPr>
            </w:pPr>
            <w:r w:rsidRPr="005A3EF3">
              <w:rPr>
                <w:color w:val="000000"/>
              </w:rPr>
              <w:t>Ознайомлення  учасників освітнього процесу з умовами  Положення. Проведення інформаційно-</w:t>
            </w:r>
            <w:proofErr w:type="spellStart"/>
            <w:r w:rsidRPr="005A3EF3">
              <w:rPr>
                <w:color w:val="000000"/>
              </w:rPr>
              <w:t>роз’яснювальноїроботи</w:t>
            </w:r>
            <w:proofErr w:type="spellEnd"/>
            <w:r w:rsidRPr="005A3EF3">
              <w:rPr>
                <w:color w:val="000000"/>
              </w:rPr>
              <w:t>:</w:t>
            </w:r>
            <w:r w:rsidRPr="005A3EF3">
              <w:t xml:space="preserve"> 1 год х 48 грн/год х </w:t>
            </w:r>
            <w:r w:rsidRPr="005A3EF3">
              <w:rPr>
                <w:color w:val="000000"/>
              </w:rPr>
              <w:t>1 151</w:t>
            </w:r>
            <w:r w:rsidRPr="005A3EF3">
              <w:t xml:space="preserve"> закладів = 55248 грн. Витрати  включаються до заробітної плати працівників, які здійснюють відповідну діяльність у межах виконання своїх посадових обов’язків.</w:t>
            </w:r>
            <w:r w:rsidRPr="005A3EF3">
              <w:rPr>
                <w:color w:val="000000"/>
              </w:rPr>
              <w:t xml:space="preserve"> Оприлюднення  нормативно-правового </w:t>
            </w:r>
            <w:proofErr w:type="spellStart"/>
            <w:r w:rsidRPr="005A3EF3">
              <w:rPr>
                <w:color w:val="000000"/>
              </w:rPr>
              <w:t>акта</w:t>
            </w:r>
            <w:proofErr w:type="spellEnd"/>
            <w:r w:rsidRPr="005A3EF3">
              <w:rPr>
                <w:color w:val="000000"/>
              </w:rPr>
              <w:t xml:space="preserve">. </w:t>
            </w:r>
          </w:p>
        </w:tc>
      </w:tr>
    </w:tbl>
    <w:p w:rsidR="00704E07" w:rsidRPr="005A3EF3" w:rsidRDefault="00704E07" w:rsidP="005A3EF3">
      <w:pPr>
        <w:ind w:firstLine="567"/>
        <w:rPr>
          <w:sz w:val="28"/>
          <w:szCs w:val="28"/>
          <w:highlight w:val="yellow"/>
        </w:rPr>
      </w:pPr>
    </w:p>
    <w:p w:rsidR="00BD1F89" w:rsidRPr="005A3EF3" w:rsidRDefault="00197011" w:rsidP="005A3EF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</w:rPr>
      </w:pPr>
      <w:r w:rsidRPr="005A3EF3">
        <w:rPr>
          <w:b/>
          <w:color w:val="000000"/>
          <w:sz w:val="28"/>
          <w:szCs w:val="28"/>
        </w:rPr>
        <w:t>IV. Вибір найбільш оптимального альтернативного способу досягнення цілей</w:t>
      </w:r>
    </w:p>
    <w:p w:rsidR="00BD1F89" w:rsidRPr="005A3EF3" w:rsidRDefault="00BD1F89" w:rsidP="005A3EF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8"/>
          <w:szCs w:val="28"/>
        </w:rPr>
      </w:pPr>
    </w:p>
    <w:p w:rsidR="00BD1F89" w:rsidRPr="005A3EF3" w:rsidRDefault="00197011" w:rsidP="005A3EF3">
      <w:pPr>
        <w:ind w:firstLine="567"/>
        <w:jc w:val="both"/>
        <w:rPr>
          <w:sz w:val="28"/>
          <w:szCs w:val="28"/>
        </w:rPr>
      </w:pPr>
      <w:bookmarkStart w:id="2" w:name="bookmark=id.w18z4cvuchch" w:colFirst="0" w:colLast="0"/>
      <w:bookmarkStart w:id="3" w:name="bookmark=id.fimh3kxffffv" w:colFirst="0" w:colLast="0"/>
      <w:bookmarkStart w:id="4" w:name="bookmark=id.wufwbrmw28gq" w:colFirst="0" w:colLast="0"/>
      <w:bookmarkEnd w:id="2"/>
      <w:bookmarkEnd w:id="3"/>
      <w:bookmarkEnd w:id="4"/>
      <w:r w:rsidRPr="005A3EF3">
        <w:rPr>
          <w:sz w:val="28"/>
          <w:szCs w:val="28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:rsidR="00BD1F89" w:rsidRPr="005A3EF3" w:rsidRDefault="00197011" w:rsidP="005A3EF3">
      <w:pPr>
        <w:ind w:firstLine="567"/>
        <w:jc w:val="both"/>
        <w:rPr>
          <w:sz w:val="28"/>
          <w:szCs w:val="28"/>
        </w:rPr>
      </w:pPr>
      <w:r w:rsidRPr="005A3EF3">
        <w:rPr>
          <w:sz w:val="28"/>
          <w:szCs w:val="28"/>
        </w:rPr>
        <w:t>Вартість балів визначається за чотирибальною системою оцінки ступеня досягнення визначених цілей, де:</w:t>
      </w:r>
    </w:p>
    <w:p w:rsidR="00BD1F89" w:rsidRPr="005A3EF3" w:rsidRDefault="00197011" w:rsidP="005A3EF3">
      <w:pPr>
        <w:ind w:firstLine="567"/>
        <w:jc w:val="both"/>
        <w:rPr>
          <w:sz w:val="28"/>
          <w:szCs w:val="28"/>
        </w:rPr>
      </w:pPr>
      <w:r w:rsidRPr="005A3EF3">
        <w:rPr>
          <w:sz w:val="28"/>
          <w:szCs w:val="28"/>
        </w:rPr>
        <w:t xml:space="preserve">4 – цілі прийняття регуляторного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>, які можуть бути досягнуті повною мірою (проблема більше існувати не буде);</w:t>
      </w:r>
    </w:p>
    <w:p w:rsidR="00BD1F89" w:rsidRPr="005A3EF3" w:rsidRDefault="00197011" w:rsidP="005A3EF3">
      <w:pPr>
        <w:ind w:firstLine="567"/>
        <w:jc w:val="both"/>
        <w:rPr>
          <w:sz w:val="28"/>
          <w:szCs w:val="28"/>
        </w:rPr>
      </w:pPr>
      <w:bookmarkStart w:id="5" w:name="bookmark=id.vjgpfufa79hc" w:colFirst="0" w:colLast="0"/>
      <w:bookmarkEnd w:id="5"/>
      <w:r w:rsidRPr="005A3EF3">
        <w:rPr>
          <w:sz w:val="28"/>
          <w:szCs w:val="28"/>
        </w:rPr>
        <w:t xml:space="preserve">3 – цілі прийняття регуляторного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>, які можуть бути досягнуті майже  повною мірою (усі важливі аспекти проблеми існувати не будуть);</w:t>
      </w:r>
    </w:p>
    <w:p w:rsidR="00BD1F89" w:rsidRPr="005A3EF3" w:rsidRDefault="00197011" w:rsidP="005A3EF3">
      <w:pPr>
        <w:ind w:firstLine="567"/>
        <w:jc w:val="both"/>
        <w:rPr>
          <w:sz w:val="28"/>
          <w:szCs w:val="28"/>
        </w:rPr>
      </w:pPr>
      <w:bookmarkStart w:id="6" w:name="bookmark=id.53nst26uy43h" w:colFirst="0" w:colLast="0"/>
      <w:bookmarkEnd w:id="6"/>
      <w:r w:rsidRPr="005A3EF3">
        <w:rPr>
          <w:sz w:val="28"/>
          <w:szCs w:val="28"/>
        </w:rPr>
        <w:t xml:space="preserve">2 – цілі прийняття регуляторного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BD1F89" w:rsidRPr="005A3EF3" w:rsidRDefault="00197011" w:rsidP="005A3EF3">
      <w:pPr>
        <w:ind w:firstLine="567"/>
        <w:jc w:val="both"/>
        <w:rPr>
          <w:sz w:val="28"/>
          <w:szCs w:val="28"/>
        </w:rPr>
      </w:pPr>
      <w:bookmarkStart w:id="7" w:name="bookmark=id.yu6mjq1zil3q" w:colFirst="0" w:colLast="0"/>
      <w:bookmarkEnd w:id="7"/>
      <w:r w:rsidRPr="005A3EF3">
        <w:rPr>
          <w:sz w:val="28"/>
          <w:szCs w:val="28"/>
        </w:rPr>
        <w:lastRenderedPageBreak/>
        <w:t xml:space="preserve">1 – цілі прийняття регуляторного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>, які не можуть бути досягнуті (проблема продовжує існувати).</w:t>
      </w:r>
    </w:p>
    <w:p w:rsidR="00BD1F89" w:rsidRPr="005A3EF3" w:rsidRDefault="00BD1F89" w:rsidP="005A3EF3">
      <w:pPr>
        <w:ind w:firstLine="567"/>
        <w:jc w:val="both"/>
        <w:rPr>
          <w:sz w:val="28"/>
          <w:szCs w:val="28"/>
        </w:rPr>
      </w:pPr>
    </w:p>
    <w:tbl>
      <w:tblPr>
        <w:tblStyle w:val="aff0"/>
        <w:tblW w:w="947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6"/>
        <w:gridCol w:w="2492"/>
        <w:gridCol w:w="1939"/>
        <w:gridCol w:w="2594"/>
      </w:tblGrid>
      <w:tr w:rsidR="004720B7" w:rsidRPr="005A3EF3" w:rsidTr="00FF338C">
        <w:tc>
          <w:tcPr>
            <w:tcW w:w="2446" w:type="dxa"/>
          </w:tcPr>
          <w:p w:rsidR="004720B7" w:rsidRPr="005A3EF3" w:rsidRDefault="004720B7" w:rsidP="005A3EF3">
            <w:pPr>
              <w:jc w:val="center"/>
            </w:pPr>
            <w:r w:rsidRPr="005A3EF3">
              <w:t>Рейтинг результативності (досягнення цілей під час вирішення проблеми)</w:t>
            </w:r>
          </w:p>
        </w:tc>
        <w:tc>
          <w:tcPr>
            <w:tcW w:w="2492" w:type="dxa"/>
          </w:tcPr>
          <w:p w:rsidR="004720B7" w:rsidRPr="005A3EF3" w:rsidRDefault="004720B7" w:rsidP="005A3EF3">
            <w:pPr>
              <w:ind w:firstLine="5"/>
              <w:jc w:val="center"/>
            </w:pPr>
            <w:r w:rsidRPr="005A3EF3">
              <w:t>Бал результативності (за чотирибальною системою оцінки)</w:t>
            </w:r>
          </w:p>
        </w:tc>
        <w:tc>
          <w:tcPr>
            <w:tcW w:w="4533" w:type="dxa"/>
            <w:gridSpan w:val="2"/>
          </w:tcPr>
          <w:p w:rsidR="004720B7" w:rsidRPr="005A3EF3" w:rsidRDefault="004720B7" w:rsidP="005A3EF3">
            <w:pPr>
              <w:ind w:firstLine="5"/>
              <w:jc w:val="center"/>
            </w:pPr>
            <w:r w:rsidRPr="005A3EF3">
              <w:t xml:space="preserve">Коментарі щодо присвоєння відповідного </w:t>
            </w:r>
            <w:proofErr w:type="spellStart"/>
            <w:r w:rsidRPr="005A3EF3">
              <w:t>бала</w:t>
            </w:r>
            <w:proofErr w:type="spellEnd"/>
          </w:p>
        </w:tc>
      </w:tr>
      <w:tr w:rsidR="00BD1F89" w:rsidRPr="005A3EF3" w:rsidTr="00B6015F">
        <w:trPr>
          <w:trHeight w:val="1380"/>
        </w:trPr>
        <w:tc>
          <w:tcPr>
            <w:tcW w:w="2446" w:type="dxa"/>
          </w:tcPr>
          <w:p w:rsidR="00BD1F89" w:rsidRPr="005A3EF3" w:rsidRDefault="00197011" w:rsidP="005A3EF3">
            <w:pPr>
              <w:ind w:firstLine="22"/>
            </w:pPr>
            <w:r w:rsidRPr="005A3EF3">
              <w:t>Альтернатива 1</w:t>
            </w:r>
          </w:p>
          <w:p w:rsidR="00BD1F89" w:rsidRPr="005A3EF3" w:rsidRDefault="00197011" w:rsidP="005A3EF3">
            <w:pPr>
              <w:ind w:firstLine="22"/>
            </w:pPr>
            <w:r w:rsidRPr="005A3EF3">
              <w:t>Існуюча ситуація залишається без змін</w:t>
            </w:r>
          </w:p>
        </w:tc>
        <w:tc>
          <w:tcPr>
            <w:tcW w:w="2492" w:type="dxa"/>
          </w:tcPr>
          <w:p w:rsidR="00BD1F89" w:rsidRPr="005A3EF3" w:rsidRDefault="00197011" w:rsidP="005A3EF3">
            <w:pPr>
              <w:ind w:firstLine="22"/>
              <w:jc w:val="center"/>
            </w:pPr>
            <w:r w:rsidRPr="005A3EF3">
              <w:t>1</w:t>
            </w:r>
          </w:p>
        </w:tc>
        <w:tc>
          <w:tcPr>
            <w:tcW w:w="4533" w:type="dxa"/>
            <w:gridSpan w:val="2"/>
          </w:tcPr>
          <w:p w:rsidR="00BD1F89" w:rsidRPr="005A3EF3" w:rsidRDefault="00197011" w:rsidP="005A3EF3">
            <w:pPr>
              <w:ind w:firstLine="22"/>
            </w:pPr>
            <w:r w:rsidRPr="005A3EF3">
              <w:t>Мінімальний бал, який зазначає неможливість досягнення цілей державного регулювання альтернативним способом.</w:t>
            </w:r>
          </w:p>
        </w:tc>
      </w:tr>
      <w:tr w:rsidR="00BD1F89" w:rsidRPr="005A3EF3" w:rsidTr="00B6015F">
        <w:trPr>
          <w:trHeight w:val="1114"/>
        </w:trPr>
        <w:tc>
          <w:tcPr>
            <w:tcW w:w="2446" w:type="dxa"/>
          </w:tcPr>
          <w:p w:rsidR="00BD1F89" w:rsidRPr="005A3EF3" w:rsidRDefault="00197011" w:rsidP="005A3EF3">
            <w:pPr>
              <w:ind w:firstLine="22"/>
            </w:pPr>
            <w:r w:rsidRPr="005A3EF3">
              <w:t>Альтернатива 2</w:t>
            </w:r>
          </w:p>
          <w:p w:rsidR="00BD1F89" w:rsidRPr="005A3EF3" w:rsidRDefault="00197011" w:rsidP="005A3EF3">
            <w:pPr>
              <w:ind w:firstLine="22"/>
              <w:jc w:val="both"/>
            </w:pPr>
            <w:r w:rsidRPr="005A3EF3">
              <w:t xml:space="preserve">Прийняття запропонованого </w:t>
            </w:r>
            <w:proofErr w:type="spellStart"/>
            <w:r w:rsidRPr="005A3EF3">
              <w:t>проєкту</w:t>
            </w:r>
            <w:proofErr w:type="spellEnd"/>
            <w:r w:rsidRPr="005A3EF3">
              <w:t xml:space="preserve"> </w:t>
            </w:r>
            <w:proofErr w:type="spellStart"/>
            <w:r w:rsidRPr="005A3EF3">
              <w:t>акта</w:t>
            </w:r>
            <w:proofErr w:type="spellEnd"/>
          </w:p>
        </w:tc>
        <w:tc>
          <w:tcPr>
            <w:tcW w:w="2492" w:type="dxa"/>
          </w:tcPr>
          <w:p w:rsidR="00BD1F89" w:rsidRPr="005A3EF3" w:rsidRDefault="00197011" w:rsidP="005A3EF3">
            <w:pPr>
              <w:ind w:firstLine="22"/>
              <w:jc w:val="center"/>
            </w:pPr>
            <w:r w:rsidRPr="005A3EF3">
              <w:t>4</w:t>
            </w:r>
          </w:p>
        </w:tc>
        <w:tc>
          <w:tcPr>
            <w:tcW w:w="4533" w:type="dxa"/>
            <w:gridSpan w:val="2"/>
          </w:tcPr>
          <w:p w:rsidR="00BD1F89" w:rsidRPr="005A3EF3" w:rsidRDefault="00197011" w:rsidP="005A3EF3">
            <w:pPr>
              <w:ind w:firstLine="22"/>
              <w:jc w:val="both"/>
            </w:pPr>
            <w:r w:rsidRPr="005A3EF3">
              <w:t>Максимальний бал. Сприятиме залученню до сфери позашкільної освіти приватного сектору, його легітимації та визнання його державою; сприятиме ранній профілізації дітей та молоді, вихованню свідомого громадянина України на національних традиціях; мотивації до розвитку та вдосконалення творчо працюючих педагогічних працівників.</w:t>
            </w:r>
          </w:p>
          <w:p w:rsidR="00BD1F89" w:rsidRPr="005A3EF3" w:rsidRDefault="00BD1F89" w:rsidP="005A3EF3">
            <w:pPr>
              <w:ind w:firstLine="22"/>
              <w:jc w:val="both"/>
              <w:rPr>
                <w:color w:val="FF0000"/>
              </w:rPr>
            </w:pPr>
          </w:p>
        </w:tc>
      </w:tr>
      <w:tr w:rsidR="00BD1F89" w:rsidRPr="005A3EF3" w:rsidTr="00B6015F">
        <w:tc>
          <w:tcPr>
            <w:tcW w:w="9471" w:type="dxa"/>
            <w:gridSpan w:val="4"/>
          </w:tcPr>
          <w:p w:rsidR="00BD1F89" w:rsidRPr="005A3EF3" w:rsidRDefault="00BD1F89" w:rsidP="005A3EF3">
            <w:pPr>
              <w:ind w:firstLine="22"/>
            </w:pPr>
          </w:p>
        </w:tc>
      </w:tr>
      <w:tr w:rsidR="00BD1F89" w:rsidRPr="005A3EF3" w:rsidTr="00B6015F">
        <w:tc>
          <w:tcPr>
            <w:tcW w:w="2446" w:type="dxa"/>
          </w:tcPr>
          <w:p w:rsidR="00BD1F89" w:rsidRPr="005A3EF3" w:rsidRDefault="00197011" w:rsidP="005A3EF3">
            <w:pPr>
              <w:ind w:firstLine="22"/>
              <w:jc w:val="center"/>
            </w:pPr>
            <w:r w:rsidRPr="005A3EF3">
              <w:t>Рейтинг результативності</w:t>
            </w:r>
          </w:p>
        </w:tc>
        <w:tc>
          <w:tcPr>
            <w:tcW w:w="2492" w:type="dxa"/>
          </w:tcPr>
          <w:p w:rsidR="00BD1F89" w:rsidRPr="005A3EF3" w:rsidRDefault="00197011" w:rsidP="005A3EF3">
            <w:pPr>
              <w:ind w:firstLine="22"/>
              <w:jc w:val="center"/>
            </w:pPr>
            <w:r w:rsidRPr="005A3EF3">
              <w:t>Вигоди (підсумок)</w:t>
            </w:r>
          </w:p>
        </w:tc>
        <w:tc>
          <w:tcPr>
            <w:tcW w:w="1939" w:type="dxa"/>
          </w:tcPr>
          <w:p w:rsidR="00BD1F89" w:rsidRPr="005A3EF3" w:rsidRDefault="00197011" w:rsidP="005A3EF3">
            <w:pPr>
              <w:ind w:firstLine="22"/>
              <w:jc w:val="center"/>
            </w:pPr>
            <w:r w:rsidRPr="005A3EF3">
              <w:t>Витрати (підсумок)</w:t>
            </w:r>
          </w:p>
        </w:tc>
        <w:tc>
          <w:tcPr>
            <w:tcW w:w="2594" w:type="dxa"/>
          </w:tcPr>
          <w:p w:rsidR="00BD1F89" w:rsidRPr="005A3EF3" w:rsidRDefault="00197011" w:rsidP="005A3EF3">
            <w:pPr>
              <w:ind w:firstLine="22"/>
              <w:jc w:val="center"/>
            </w:pPr>
            <w:r w:rsidRPr="005A3EF3">
              <w:t>Обґрунтування відповідного місця альтернативи у рейтингу</w:t>
            </w:r>
          </w:p>
        </w:tc>
      </w:tr>
      <w:tr w:rsidR="00BD1F89" w:rsidRPr="005A3EF3" w:rsidTr="00B6015F">
        <w:tc>
          <w:tcPr>
            <w:tcW w:w="2446" w:type="dxa"/>
          </w:tcPr>
          <w:p w:rsidR="00BD1F89" w:rsidRPr="005A3EF3" w:rsidRDefault="00197011" w:rsidP="005A3EF3">
            <w:pPr>
              <w:ind w:firstLine="22"/>
              <w:rPr>
                <w:color w:val="000000"/>
                <w:highlight w:val="white"/>
              </w:rPr>
            </w:pPr>
            <w:r w:rsidRPr="005A3EF3">
              <w:rPr>
                <w:color w:val="000000"/>
                <w:highlight w:val="white"/>
              </w:rPr>
              <w:t>Альтернатива 1</w:t>
            </w:r>
          </w:p>
          <w:p w:rsidR="00BD1F89" w:rsidRPr="005A3EF3" w:rsidRDefault="00197011" w:rsidP="005A3EF3">
            <w:pPr>
              <w:ind w:firstLine="22"/>
            </w:pPr>
            <w:r w:rsidRPr="005A3EF3">
              <w:rPr>
                <w:color w:val="000000"/>
                <w:highlight w:val="white"/>
              </w:rPr>
              <w:t>Існуюча ситуація залишається без змін</w:t>
            </w:r>
          </w:p>
        </w:tc>
        <w:tc>
          <w:tcPr>
            <w:tcW w:w="2492" w:type="dxa"/>
          </w:tcPr>
          <w:p w:rsidR="00BD1F89" w:rsidRPr="005A3EF3" w:rsidRDefault="00197011" w:rsidP="005A3EF3">
            <w:pPr>
              <w:ind w:firstLine="22"/>
              <w:jc w:val="both"/>
            </w:pPr>
            <w:r w:rsidRPr="005A3EF3">
              <w:t>Відсутні.</w:t>
            </w:r>
          </w:p>
          <w:p w:rsidR="00BD1F89" w:rsidRPr="005A3EF3" w:rsidRDefault="00197011" w:rsidP="005A3EF3">
            <w:pPr>
              <w:ind w:firstLine="22"/>
              <w:jc w:val="both"/>
            </w:pPr>
            <w:r w:rsidRPr="005A3EF3">
              <w:t>У разі розвитку подій за Альтернативою 1: - - буде не виконано вимогу частини першої статті 6 Закону України «Про позашкільну освіту»;</w:t>
            </w:r>
          </w:p>
          <w:p w:rsidR="00BD1F89" w:rsidRPr="005A3EF3" w:rsidRDefault="00197011" w:rsidP="005A3EF3">
            <w:pPr>
              <w:ind w:firstLine="22"/>
              <w:jc w:val="both"/>
            </w:pPr>
            <w:r w:rsidRPr="005A3EF3">
              <w:t>- завдання, що визначені державною політикою у сфері позашкільної освіти, не буде реалізовано</w:t>
            </w:r>
          </w:p>
        </w:tc>
        <w:tc>
          <w:tcPr>
            <w:tcW w:w="1939" w:type="dxa"/>
          </w:tcPr>
          <w:p w:rsidR="00BD1F89" w:rsidRPr="005A3EF3" w:rsidRDefault="00197011" w:rsidP="005A3EF3">
            <w:pPr>
              <w:ind w:firstLine="22"/>
              <w:jc w:val="both"/>
            </w:pPr>
            <w:r w:rsidRPr="005A3EF3">
              <w:t>Фінансові витрати залишаться без змін.</w:t>
            </w:r>
          </w:p>
        </w:tc>
        <w:tc>
          <w:tcPr>
            <w:tcW w:w="2594" w:type="dxa"/>
          </w:tcPr>
          <w:p w:rsidR="00BD1F89" w:rsidRPr="005A3EF3" w:rsidRDefault="00197011" w:rsidP="005A3EF3">
            <w:pPr>
              <w:ind w:firstLine="22"/>
              <w:jc w:val="both"/>
            </w:pPr>
            <w:r w:rsidRPr="005A3EF3">
              <w:t>Зазначений спосіб не сприяє вирішенню існуючої проблеми</w:t>
            </w:r>
          </w:p>
        </w:tc>
      </w:tr>
      <w:tr w:rsidR="004720B7" w:rsidRPr="005A3EF3" w:rsidTr="004F6E36">
        <w:tc>
          <w:tcPr>
            <w:tcW w:w="2446" w:type="dxa"/>
          </w:tcPr>
          <w:p w:rsidR="004720B7" w:rsidRPr="005A3EF3" w:rsidRDefault="004720B7" w:rsidP="005A3EF3">
            <w:pPr>
              <w:jc w:val="both"/>
            </w:pPr>
            <w:r w:rsidRPr="005A3EF3">
              <w:t>Альтернатива 2</w:t>
            </w:r>
          </w:p>
          <w:p w:rsidR="004720B7" w:rsidRPr="005A3EF3" w:rsidRDefault="004720B7" w:rsidP="005A3EF3">
            <w:pPr>
              <w:rPr>
                <w:color w:val="000000"/>
                <w:highlight w:val="white"/>
              </w:rPr>
            </w:pPr>
            <w:r w:rsidRPr="005A3EF3">
              <w:t xml:space="preserve">Прийняття запропонованого </w:t>
            </w:r>
            <w:proofErr w:type="spellStart"/>
            <w:r w:rsidRPr="005A3EF3">
              <w:t>проєкту</w:t>
            </w:r>
            <w:proofErr w:type="spellEnd"/>
            <w:r w:rsidRPr="005A3EF3">
              <w:t xml:space="preserve"> </w:t>
            </w:r>
            <w:proofErr w:type="spellStart"/>
            <w:r w:rsidRPr="005A3EF3">
              <w:t>акта</w:t>
            </w:r>
            <w:proofErr w:type="spellEnd"/>
          </w:p>
        </w:tc>
        <w:tc>
          <w:tcPr>
            <w:tcW w:w="2492" w:type="dxa"/>
          </w:tcPr>
          <w:p w:rsidR="004720B7" w:rsidRPr="005A3EF3" w:rsidRDefault="004720B7" w:rsidP="005A3EF3">
            <w:pPr>
              <w:jc w:val="both"/>
            </w:pPr>
            <w:r w:rsidRPr="005A3EF3">
              <w:t>У разі розвитку подій за Альтернативою 2:</w:t>
            </w:r>
          </w:p>
          <w:p w:rsidR="004720B7" w:rsidRPr="005A3EF3" w:rsidRDefault="004720B7" w:rsidP="005A3EF3">
            <w:pPr>
              <w:jc w:val="both"/>
            </w:pPr>
            <w:r w:rsidRPr="005A3EF3">
              <w:t>- відбувається удосконалення процесу професійного зростання художніх колективів;</w:t>
            </w:r>
          </w:p>
          <w:p w:rsidR="004720B7" w:rsidRPr="005A3EF3" w:rsidRDefault="004720B7" w:rsidP="005A3EF3">
            <w:pPr>
              <w:jc w:val="both"/>
            </w:pPr>
            <w:r w:rsidRPr="005A3EF3">
              <w:t xml:space="preserve">- здійснюється покращення </w:t>
            </w:r>
            <w:r w:rsidRPr="005A3EF3">
              <w:lastRenderedPageBreak/>
              <w:t>спроможності реалізовувати освітній процес відповідно до сучасних вимог;</w:t>
            </w:r>
          </w:p>
          <w:p w:rsidR="004720B7" w:rsidRPr="005A3EF3" w:rsidRDefault="004720B7" w:rsidP="005A3EF3">
            <w:pPr>
              <w:jc w:val="both"/>
            </w:pPr>
            <w:r w:rsidRPr="005A3EF3">
              <w:t>- відбувається підтримка творчо працюючих педагогічних працівників.</w:t>
            </w:r>
          </w:p>
          <w:p w:rsidR="004720B7" w:rsidRPr="005A3EF3" w:rsidRDefault="004720B7" w:rsidP="005A3EF3">
            <w:pPr>
              <w:jc w:val="both"/>
            </w:pPr>
          </w:p>
        </w:tc>
        <w:tc>
          <w:tcPr>
            <w:tcW w:w="1939" w:type="dxa"/>
          </w:tcPr>
          <w:p w:rsidR="004720B7" w:rsidRPr="005A3EF3" w:rsidRDefault="004720B7" w:rsidP="005A3EF3">
            <w:pPr>
              <w:jc w:val="both"/>
            </w:pPr>
            <w:r w:rsidRPr="005A3EF3">
              <w:lastRenderedPageBreak/>
              <w:t>Фінансові витрати залишаться без змін.</w:t>
            </w:r>
          </w:p>
        </w:tc>
        <w:tc>
          <w:tcPr>
            <w:tcW w:w="2594" w:type="dxa"/>
          </w:tcPr>
          <w:p w:rsidR="004720B7" w:rsidRPr="005A3EF3" w:rsidRDefault="004720B7" w:rsidP="005A3EF3">
            <w:pPr>
              <w:jc w:val="both"/>
            </w:pPr>
            <w:r w:rsidRPr="005A3EF3">
              <w:t xml:space="preserve">Прийняття </w:t>
            </w:r>
            <w:proofErr w:type="spellStart"/>
            <w:r w:rsidRPr="005A3EF3">
              <w:t>проєкту</w:t>
            </w:r>
            <w:proofErr w:type="spellEnd"/>
            <w:r w:rsidRPr="005A3EF3">
              <w:t xml:space="preserve"> регуляторного </w:t>
            </w:r>
            <w:proofErr w:type="spellStart"/>
            <w:r w:rsidRPr="005A3EF3">
              <w:t>акта</w:t>
            </w:r>
            <w:proofErr w:type="spellEnd"/>
            <w:r w:rsidRPr="005A3EF3">
              <w:t xml:space="preserve"> сприятиме вирішенню проблеми, що існує сьогодні, а саме профілізації дітей та молоді, мотивації до розвитку та вдосконалення творчо </w:t>
            </w:r>
            <w:r w:rsidRPr="005A3EF3">
              <w:lastRenderedPageBreak/>
              <w:t>працюючих педагогічних працівників.</w:t>
            </w:r>
          </w:p>
          <w:p w:rsidR="004720B7" w:rsidRPr="005A3EF3" w:rsidRDefault="004720B7" w:rsidP="005A3EF3">
            <w:pPr>
              <w:jc w:val="both"/>
            </w:pPr>
          </w:p>
        </w:tc>
      </w:tr>
    </w:tbl>
    <w:p w:rsidR="00BD1F89" w:rsidRPr="005A3EF3" w:rsidRDefault="00BD1F89" w:rsidP="005A3EF3">
      <w:pPr>
        <w:rPr>
          <w:sz w:val="28"/>
          <w:szCs w:val="28"/>
        </w:rPr>
      </w:pPr>
    </w:p>
    <w:tbl>
      <w:tblPr>
        <w:tblStyle w:val="aff1"/>
        <w:tblW w:w="94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972"/>
        <w:gridCol w:w="3258"/>
      </w:tblGrid>
      <w:tr w:rsidR="00BD1F89" w:rsidRPr="005A3EF3">
        <w:trPr>
          <w:trHeight w:val="707"/>
        </w:trPr>
        <w:tc>
          <w:tcPr>
            <w:tcW w:w="2263" w:type="dxa"/>
          </w:tcPr>
          <w:p w:rsidR="00BD1F89" w:rsidRPr="005A3EF3" w:rsidRDefault="00197011" w:rsidP="005A3EF3">
            <w:pPr>
              <w:jc w:val="center"/>
            </w:pPr>
            <w:r w:rsidRPr="005A3EF3">
              <w:t>Рейтинг</w:t>
            </w:r>
          </w:p>
        </w:tc>
        <w:tc>
          <w:tcPr>
            <w:tcW w:w="3972" w:type="dxa"/>
          </w:tcPr>
          <w:p w:rsidR="00BD1F89" w:rsidRPr="005A3EF3" w:rsidRDefault="00197011" w:rsidP="005A3EF3">
            <w:pPr>
              <w:jc w:val="center"/>
            </w:pPr>
            <w:r w:rsidRPr="005A3EF3"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258" w:type="dxa"/>
          </w:tcPr>
          <w:p w:rsidR="00BD1F89" w:rsidRPr="005A3EF3" w:rsidRDefault="00197011" w:rsidP="005A3EF3">
            <w:pPr>
              <w:jc w:val="center"/>
            </w:pPr>
            <w:r w:rsidRPr="005A3EF3">
              <w:t xml:space="preserve">Оцінка ризику зовнішніх чинників на дію запропонованого регуляторного </w:t>
            </w:r>
            <w:proofErr w:type="spellStart"/>
            <w:r w:rsidRPr="005A3EF3">
              <w:t>акта</w:t>
            </w:r>
            <w:proofErr w:type="spellEnd"/>
          </w:p>
        </w:tc>
      </w:tr>
      <w:tr w:rsidR="00BD1F89" w:rsidRPr="005A3EF3">
        <w:tc>
          <w:tcPr>
            <w:tcW w:w="2263" w:type="dxa"/>
          </w:tcPr>
          <w:p w:rsidR="00BD1F89" w:rsidRPr="005A3EF3" w:rsidRDefault="00197011" w:rsidP="005A3EF3">
            <w:pPr>
              <w:rPr>
                <w:color w:val="000000"/>
                <w:highlight w:val="white"/>
              </w:rPr>
            </w:pPr>
            <w:r w:rsidRPr="005A3EF3">
              <w:rPr>
                <w:color w:val="000000"/>
                <w:highlight w:val="white"/>
              </w:rPr>
              <w:t>Альтернатива 1</w:t>
            </w:r>
          </w:p>
          <w:p w:rsidR="00BD1F89" w:rsidRPr="005A3EF3" w:rsidRDefault="00197011" w:rsidP="005A3EF3">
            <w:r w:rsidRPr="005A3EF3">
              <w:rPr>
                <w:color w:val="000000"/>
                <w:highlight w:val="white"/>
              </w:rPr>
              <w:t>Існуюча ситуація залишається без змін</w:t>
            </w:r>
          </w:p>
        </w:tc>
        <w:tc>
          <w:tcPr>
            <w:tcW w:w="3972" w:type="dxa"/>
          </w:tcPr>
          <w:p w:rsidR="00BD1F89" w:rsidRPr="005A3EF3" w:rsidRDefault="00197011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A3EF3">
              <w:rPr>
                <w:color w:val="000000"/>
              </w:rPr>
              <w:t>Завдання, визначені у сфері позашкільної освіти, не буде реалізовано</w:t>
            </w:r>
          </w:p>
        </w:tc>
        <w:tc>
          <w:tcPr>
            <w:tcW w:w="3258" w:type="dxa"/>
          </w:tcPr>
          <w:p w:rsidR="00BD1F89" w:rsidRPr="005A3EF3" w:rsidRDefault="00197011" w:rsidP="005A3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A3EF3">
              <w:rPr>
                <w:color w:val="000000"/>
              </w:rPr>
              <w:t>Негативні наслідки впливатимуть на творчу діяльність здобувачів освіти, на траєкторіє зростання творчо працюючих педагогічних працівників.</w:t>
            </w:r>
          </w:p>
        </w:tc>
      </w:tr>
      <w:tr w:rsidR="00BD1F89" w:rsidRPr="005A3EF3">
        <w:tc>
          <w:tcPr>
            <w:tcW w:w="2263" w:type="dxa"/>
          </w:tcPr>
          <w:p w:rsidR="00BD1F89" w:rsidRPr="005A3EF3" w:rsidRDefault="00197011" w:rsidP="005A3EF3">
            <w:pPr>
              <w:rPr>
                <w:color w:val="000000"/>
                <w:highlight w:val="white"/>
              </w:rPr>
            </w:pPr>
            <w:r w:rsidRPr="005A3EF3">
              <w:rPr>
                <w:color w:val="000000"/>
                <w:highlight w:val="white"/>
              </w:rPr>
              <w:t>Альтернатива 2</w:t>
            </w:r>
          </w:p>
          <w:p w:rsidR="00BD1F89" w:rsidRPr="005A3EF3" w:rsidRDefault="00197011" w:rsidP="005A3EF3">
            <w:r w:rsidRPr="005A3EF3">
              <w:rPr>
                <w:color w:val="000000"/>
                <w:highlight w:val="white"/>
              </w:rPr>
              <w:t xml:space="preserve">Прийняття запропонованого </w:t>
            </w:r>
            <w:proofErr w:type="spellStart"/>
            <w:r w:rsidRPr="005A3EF3">
              <w:rPr>
                <w:color w:val="000000"/>
                <w:highlight w:val="white"/>
              </w:rPr>
              <w:t>проєкту</w:t>
            </w:r>
            <w:proofErr w:type="spellEnd"/>
            <w:r w:rsidRPr="005A3EF3">
              <w:rPr>
                <w:color w:val="000000"/>
                <w:highlight w:val="white"/>
              </w:rPr>
              <w:t xml:space="preserve"> </w:t>
            </w:r>
            <w:proofErr w:type="spellStart"/>
            <w:r w:rsidRPr="005A3EF3">
              <w:rPr>
                <w:color w:val="000000"/>
                <w:highlight w:val="white"/>
              </w:rPr>
              <w:t>акта</w:t>
            </w:r>
            <w:proofErr w:type="spellEnd"/>
          </w:p>
        </w:tc>
        <w:tc>
          <w:tcPr>
            <w:tcW w:w="3972" w:type="dxa"/>
          </w:tcPr>
          <w:p w:rsidR="00BD1F89" w:rsidRPr="005A3EF3" w:rsidRDefault="00197011" w:rsidP="005A3EF3">
            <w:pPr>
              <w:jc w:val="both"/>
            </w:pPr>
            <w:r w:rsidRPr="005A3EF3">
              <w:t>Забезпечить унормування та прозорість процесу присвоєння почесних звань «Народний художній колектив» і «Зразковий художній колектив» системи Міністерства освіти і науки України.</w:t>
            </w:r>
          </w:p>
          <w:p w:rsidR="00BD1F89" w:rsidRPr="005A3EF3" w:rsidRDefault="00197011" w:rsidP="005A3EF3">
            <w:pPr>
              <w:jc w:val="both"/>
            </w:pPr>
            <w:r w:rsidRPr="005A3EF3">
              <w:t xml:space="preserve">Сприятиме реалізації засад державної політики у сфері позашкільної освіти, а саме: рівний доступ до позашкільної освіти; </w:t>
            </w:r>
            <w:r w:rsidRPr="005A3EF3">
              <w:rPr>
                <w:color w:val="000000"/>
              </w:rPr>
              <w:t>створення та розвиток системи заохочення й мотивації обдарованих і талановитих дітей та молоді, залучення їх до художньої творчості, підвищення рівня їх виконавської майстерності; підтримка творчо працюючих педагогічних працівників</w:t>
            </w:r>
            <w:r w:rsidR="004720B7" w:rsidRPr="005A3EF3">
              <w:t>.</w:t>
            </w:r>
          </w:p>
          <w:p w:rsidR="004720B7" w:rsidRPr="005A3EF3" w:rsidRDefault="004720B7" w:rsidP="005A3EF3">
            <w:pPr>
              <w:jc w:val="both"/>
            </w:pPr>
          </w:p>
        </w:tc>
        <w:tc>
          <w:tcPr>
            <w:tcW w:w="3258" w:type="dxa"/>
          </w:tcPr>
          <w:p w:rsidR="00BD1F89" w:rsidRPr="005A3EF3" w:rsidRDefault="00197011" w:rsidP="005A3EF3">
            <w:pPr>
              <w:jc w:val="both"/>
            </w:pPr>
            <w:r w:rsidRPr="005A3EF3">
              <w:t xml:space="preserve">Повністю вирішує проблему. Прийняття </w:t>
            </w:r>
            <w:proofErr w:type="spellStart"/>
            <w:r w:rsidRPr="005A3EF3">
              <w:t>проєкту</w:t>
            </w:r>
            <w:proofErr w:type="spellEnd"/>
            <w:r w:rsidRPr="005A3EF3">
              <w:t xml:space="preserve"> </w:t>
            </w:r>
            <w:proofErr w:type="spellStart"/>
            <w:r w:rsidRPr="005A3EF3">
              <w:t>акта</w:t>
            </w:r>
            <w:proofErr w:type="spellEnd"/>
            <w:r w:rsidRPr="005A3EF3">
              <w:t xml:space="preserve"> сприятиме досягненню поставлених </w:t>
            </w:r>
            <w:proofErr w:type="spellStart"/>
            <w:r w:rsidRPr="005A3EF3">
              <w:t>цілеи</w:t>
            </w:r>
            <w:proofErr w:type="spellEnd"/>
            <w:r w:rsidRPr="005A3EF3">
              <w:t xml:space="preserve">̆ і вирішенню завдань. Негативних наслідків від прийняття регуляторного </w:t>
            </w:r>
            <w:proofErr w:type="spellStart"/>
            <w:r w:rsidRPr="005A3EF3">
              <w:t>акта</w:t>
            </w:r>
            <w:proofErr w:type="spellEnd"/>
            <w:r w:rsidRPr="005A3EF3">
              <w:t xml:space="preserve"> не очікується.</w:t>
            </w:r>
          </w:p>
        </w:tc>
      </w:tr>
    </w:tbl>
    <w:p w:rsidR="00BD1F89" w:rsidRPr="005A3EF3" w:rsidRDefault="00BD1F89" w:rsidP="005A3EF3">
      <w:pPr>
        <w:ind w:firstLine="567"/>
        <w:jc w:val="both"/>
        <w:rPr>
          <w:sz w:val="28"/>
          <w:szCs w:val="28"/>
        </w:rPr>
      </w:pPr>
    </w:p>
    <w:p w:rsidR="00BD1F89" w:rsidRPr="005A3EF3" w:rsidRDefault="00197011" w:rsidP="005A3EF3">
      <w:pPr>
        <w:pStyle w:val="1"/>
        <w:ind w:firstLine="567"/>
      </w:pPr>
      <w:bookmarkStart w:id="8" w:name="_heading=h.5y4tx35fdcwk" w:colFirst="0" w:colLast="0"/>
      <w:bookmarkEnd w:id="8"/>
      <w:r w:rsidRPr="005A3EF3">
        <w:t>V. Механізми та заходи, які забезпечать розв’язання визначеної проблеми</w:t>
      </w:r>
    </w:p>
    <w:p w:rsidR="00BD1F89" w:rsidRPr="005A3EF3" w:rsidRDefault="00BD1F89" w:rsidP="005A3EF3">
      <w:pPr>
        <w:ind w:firstLine="567"/>
        <w:jc w:val="both"/>
        <w:rPr>
          <w:sz w:val="16"/>
          <w:szCs w:val="16"/>
        </w:rPr>
      </w:pPr>
    </w:p>
    <w:p w:rsidR="00BD1F89" w:rsidRPr="005A3EF3" w:rsidRDefault="00197011" w:rsidP="005A3EF3">
      <w:pPr>
        <w:ind w:firstLine="567"/>
        <w:jc w:val="both"/>
        <w:rPr>
          <w:sz w:val="28"/>
          <w:szCs w:val="28"/>
        </w:rPr>
      </w:pPr>
      <w:r w:rsidRPr="005A3EF3">
        <w:rPr>
          <w:sz w:val="28"/>
          <w:szCs w:val="28"/>
        </w:rPr>
        <w:t xml:space="preserve">Для вирішення проблем, визначених у розділі першому та досягнення цілей, визначених у розділі другому цього аналізу регуляторного впливу, </w:t>
      </w:r>
      <w:proofErr w:type="spellStart"/>
      <w:r w:rsidRPr="005A3EF3">
        <w:rPr>
          <w:sz w:val="28"/>
          <w:szCs w:val="28"/>
        </w:rPr>
        <w:t>проєктом</w:t>
      </w:r>
      <w:proofErr w:type="spellEnd"/>
      <w:r w:rsidRPr="005A3EF3">
        <w:rPr>
          <w:sz w:val="28"/>
          <w:szCs w:val="28"/>
        </w:rPr>
        <w:t xml:space="preserve">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 передбачено механізм розв’язання проблеми шляхом його прийняття.</w:t>
      </w:r>
    </w:p>
    <w:p w:rsidR="00BD1F89" w:rsidRPr="005A3EF3" w:rsidRDefault="00197011" w:rsidP="005A3EF3">
      <w:pPr>
        <w:ind w:firstLine="567"/>
        <w:jc w:val="both"/>
        <w:rPr>
          <w:sz w:val="28"/>
          <w:szCs w:val="28"/>
        </w:rPr>
      </w:pPr>
      <w:r w:rsidRPr="005A3EF3">
        <w:rPr>
          <w:sz w:val="28"/>
          <w:szCs w:val="28"/>
        </w:rPr>
        <w:t xml:space="preserve">Досягнення визначених цілей впровадження регуляторного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 забезпечується дотриманням вимог частини першої статті 6 Закону України </w:t>
      </w:r>
      <w:r w:rsidRPr="005A3EF3">
        <w:rPr>
          <w:sz w:val="28"/>
          <w:szCs w:val="28"/>
        </w:rPr>
        <w:lastRenderedPageBreak/>
        <w:t>«Про позашкільну освіту», реалізації завдань, що визначені у сфері позашкільної освіти.</w:t>
      </w:r>
    </w:p>
    <w:p w:rsidR="00BD1F89" w:rsidRPr="005A3EF3" w:rsidRDefault="00197011" w:rsidP="005A3EF3">
      <w:pPr>
        <w:ind w:firstLine="567"/>
        <w:jc w:val="both"/>
        <w:rPr>
          <w:sz w:val="28"/>
          <w:szCs w:val="28"/>
        </w:rPr>
      </w:pPr>
      <w:r w:rsidRPr="005A3EF3">
        <w:rPr>
          <w:sz w:val="28"/>
          <w:szCs w:val="28"/>
        </w:rPr>
        <w:t xml:space="preserve">Прийняття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 потребує здійснення центральними органами виконавчої влади оприлюднення нормативного акту. </w:t>
      </w:r>
    </w:p>
    <w:p w:rsidR="00BD1F89" w:rsidRPr="005A3EF3" w:rsidRDefault="00197011" w:rsidP="005A3EF3">
      <w:pPr>
        <w:ind w:firstLine="567"/>
        <w:jc w:val="both"/>
        <w:rPr>
          <w:sz w:val="28"/>
          <w:szCs w:val="28"/>
        </w:rPr>
      </w:pPr>
      <w:r w:rsidRPr="005A3EF3">
        <w:rPr>
          <w:sz w:val="28"/>
          <w:szCs w:val="28"/>
        </w:rPr>
        <w:t xml:space="preserve">Міністерство освіти і науки України шляхом оприлюднення інформації на офіційному </w:t>
      </w:r>
      <w:proofErr w:type="spellStart"/>
      <w:r w:rsidRPr="005A3EF3">
        <w:rPr>
          <w:sz w:val="28"/>
          <w:szCs w:val="28"/>
        </w:rPr>
        <w:t>вебсайті</w:t>
      </w:r>
      <w:proofErr w:type="spellEnd"/>
      <w:r w:rsidRPr="005A3EF3">
        <w:rPr>
          <w:sz w:val="28"/>
          <w:szCs w:val="28"/>
        </w:rPr>
        <w:t xml:space="preserve">, а також шляхом листування із закладами освіти доводить до них інформацію про прийняття </w:t>
      </w:r>
      <w:proofErr w:type="spellStart"/>
      <w:r w:rsidRPr="005A3EF3">
        <w:rPr>
          <w:sz w:val="28"/>
          <w:szCs w:val="28"/>
        </w:rPr>
        <w:t>проєкту</w:t>
      </w:r>
      <w:proofErr w:type="spellEnd"/>
      <w:r w:rsidRPr="005A3EF3">
        <w:rPr>
          <w:sz w:val="28"/>
          <w:szCs w:val="28"/>
        </w:rPr>
        <w:t xml:space="preserve">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>.</w:t>
      </w:r>
    </w:p>
    <w:p w:rsidR="00BD1F89" w:rsidRPr="005A3EF3" w:rsidRDefault="00197011" w:rsidP="005A3EF3">
      <w:pPr>
        <w:ind w:firstLine="567"/>
        <w:jc w:val="both"/>
        <w:rPr>
          <w:sz w:val="28"/>
          <w:szCs w:val="28"/>
        </w:rPr>
      </w:pPr>
      <w:r w:rsidRPr="005A3EF3">
        <w:rPr>
          <w:sz w:val="28"/>
          <w:szCs w:val="28"/>
        </w:rPr>
        <w:t xml:space="preserve">Прийняття </w:t>
      </w:r>
      <w:proofErr w:type="spellStart"/>
      <w:r w:rsidRPr="005A3EF3">
        <w:rPr>
          <w:sz w:val="28"/>
          <w:szCs w:val="28"/>
        </w:rPr>
        <w:t>проєкту</w:t>
      </w:r>
      <w:proofErr w:type="spellEnd"/>
      <w:r w:rsidRPr="005A3EF3">
        <w:rPr>
          <w:sz w:val="28"/>
          <w:szCs w:val="28"/>
        </w:rPr>
        <w:t xml:space="preserve">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 дозволить здійснювати формування та реалізацію державної політики у сфері позашкільної освіти відповідно до позитивних світових тенденцій.</w:t>
      </w:r>
    </w:p>
    <w:p w:rsidR="00BD1F89" w:rsidRPr="005A3EF3" w:rsidRDefault="00197011" w:rsidP="005A3EF3">
      <w:pPr>
        <w:ind w:firstLine="567"/>
        <w:jc w:val="both"/>
        <w:rPr>
          <w:sz w:val="28"/>
          <w:szCs w:val="28"/>
        </w:rPr>
      </w:pPr>
      <w:r w:rsidRPr="005A3EF3">
        <w:rPr>
          <w:sz w:val="28"/>
          <w:szCs w:val="28"/>
        </w:rPr>
        <w:t xml:space="preserve">Відповідно до вимог Закону України «Про засади державної регуляторної політики у сфері господарської діяльності» </w:t>
      </w:r>
      <w:proofErr w:type="spellStart"/>
      <w:r w:rsidRPr="005A3EF3">
        <w:rPr>
          <w:sz w:val="28"/>
          <w:szCs w:val="28"/>
        </w:rPr>
        <w:t>проєкт</w:t>
      </w:r>
      <w:proofErr w:type="spellEnd"/>
      <w:r w:rsidRPr="005A3EF3">
        <w:rPr>
          <w:sz w:val="28"/>
          <w:szCs w:val="28"/>
        </w:rPr>
        <w:t xml:space="preserve"> регуляторного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 – </w:t>
      </w:r>
      <w:proofErr w:type="spellStart"/>
      <w:r w:rsidRPr="005A3EF3">
        <w:rPr>
          <w:sz w:val="28"/>
          <w:szCs w:val="28"/>
        </w:rPr>
        <w:t>проєкт</w:t>
      </w:r>
      <w:proofErr w:type="spellEnd"/>
      <w:r w:rsidRPr="005A3EF3">
        <w:rPr>
          <w:sz w:val="28"/>
          <w:szCs w:val="28"/>
        </w:rPr>
        <w:t xml:space="preserve"> наказу Міністерства освіти і науки України «затвердження Змін до Положення про почесні звання «Народний художній колектив» і «Зразковий художній колектив» системи Міністерства освіти і науки України» було оприлюднено у розділі «ОПРИЛЮДНЕННЯ ПРОЄКТІВ РЕГУЛЯТОРНИХ АКТІВ» на офіційному сайті Міністерства освіти і науки України (www.mon.gov.ua) для обговорення та отримання пропозицій та зауважень від зацікавлених фізичних і юридичних осіб протягом одного місяця.</w:t>
      </w:r>
    </w:p>
    <w:p w:rsidR="00BD1F89" w:rsidRPr="005A3EF3" w:rsidRDefault="00BD1F89" w:rsidP="005A3EF3">
      <w:pPr>
        <w:ind w:firstLine="567"/>
        <w:jc w:val="both"/>
        <w:rPr>
          <w:sz w:val="28"/>
          <w:szCs w:val="28"/>
          <w:highlight w:val="yellow"/>
        </w:rPr>
      </w:pPr>
    </w:p>
    <w:p w:rsidR="00BD1F89" w:rsidRPr="005A3EF3" w:rsidRDefault="00197011" w:rsidP="005A3EF3">
      <w:pPr>
        <w:pStyle w:val="1"/>
        <w:ind w:firstLine="567"/>
      </w:pPr>
      <w:bookmarkStart w:id="9" w:name="_heading=h.w91txktqspon" w:colFirst="0" w:colLast="0"/>
      <w:bookmarkEnd w:id="9"/>
      <w:r w:rsidRPr="005A3EF3">
        <w:t xml:space="preserve">VI. Оцінка виконання вимог регуляторного </w:t>
      </w:r>
      <w:proofErr w:type="spellStart"/>
      <w:r w:rsidRPr="005A3EF3">
        <w:t>акта</w:t>
      </w:r>
      <w:proofErr w:type="spellEnd"/>
      <w:r w:rsidRPr="005A3EF3"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BD1F89" w:rsidRPr="005A3EF3" w:rsidRDefault="00BD1F89" w:rsidP="005A3EF3">
      <w:pPr>
        <w:ind w:firstLine="708"/>
        <w:jc w:val="both"/>
        <w:rPr>
          <w:sz w:val="32"/>
          <w:szCs w:val="32"/>
        </w:rPr>
      </w:pPr>
    </w:p>
    <w:p w:rsidR="00BD1F89" w:rsidRPr="005A3EF3" w:rsidRDefault="00197011" w:rsidP="005A3EF3">
      <w:pPr>
        <w:ind w:firstLine="708"/>
        <w:jc w:val="both"/>
        <w:rPr>
          <w:sz w:val="28"/>
          <w:szCs w:val="28"/>
        </w:rPr>
      </w:pPr>
      <w:r w:rsidRPr="005A3EF3">
        <w:rPr>
          <w:sz w:val="28"/>
          <w:szCs w:val="28"/>
        </w:rPr>
        <w:t xml:space="preserve">Від впровадження </w:t>
      </w:r>
      <w:proofErr w:type="spellStart"/>
      <w:r w:rsidRPr="005A3EF3">
        <w:rPr>
          <w:sz w:val="28"/>
          <w:szCs w:val="28"/>
        </w:rPr>
        <w:t>проєкту</w:t>
      </w:r>
      <w:proofErr w:type="spellEnd"/>
      <w:r w:rsidRPr="005A3EF3">
        <w:rPr>
          <w:sz w:val="28"/>
          <w:szCs w:val="28"/>
        </w:rPr>
        <w:t xml:space="preserve"> регуляторного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 негативних наслідків не очікується.</w:t>
      </w:r>
    </w:p>
    <w:p w:rsidR="00BD1F89" w:rsidRPr="005A3EF3" w:rsidRDefault="00197011" w:rsidP="005A3EF3">
      <w:pPr>
        <w:ind w:firstLine="708"/>
        <w:jc w:val="both"/>
        <w:rPr>
          <w:sz w:val="28"/>
          <w:szCs w:val="28"/>
        </w:rPr>
      </w:pPr>
      <w:r w:rsidRPr="005A3EF3">
        <w:rPr>
          <w:sz w:val="28"/>
          <w:szCs w:val="28"/>
        </w:rPr>
        <w:t xml:space="preserve">Реалізація </w:t>
      </w:r>
      <w:proofErr w:type="spellStart"/>
      <w:r w:rsidRPr="005A3EF3">
        <w:rPr>
          <w:sz w:val="28"/>
          <w:szCs w:val="28"/>
        </w:rPr>
        <w:t>проєкту</w:t>
      </w:r>
      <w:proofErr w:type="spellEnd"/>
      <w:r w:rsidRPr="005A3EF3">
        <w:rPr>
          <w:sz w:val="28"/>
          <w:szCs w:val="28"/>
        </w:rPr>
        <w:t xml:space="preserve"> регуляторного акту не потребує додаткових витрат з державного бюджету України, тому розрахунок бюджетних витрат не здійснювався.</w:t>
      </w:r>
    </w:p>
    <w:p w:rsidR="00BD1F89" w:rsidRPr="005A3EF3" w:rsidRDefault="00BD1F89" w:rsidP="005A3EF3">
      <w:pPr>
        <w:ind w:firstLine="708"/>
        <w:jc w:val="both"/>
        <w:rPr>
          <w:sz w:val="28"/>
          <w:szCs w:val="28"/>
          <w:highlight w:val="yellow"/>
        </w:rPr>
      </w:pPr>
    </w:p>
    <w:p w:rsidR="00BD1F89" w:rsidRPr="005A3EF3" w:rsidRDefault="00197011" w:rsidP="005A3EF3">
      <w:pPr>
        <w:ind w:firstLine="708"/>
        <w:jc w:val="both"/>
        <w:rPr>
          <w:b/>
          <w:sz w:val="28"/>
          <w:szCs w:val="28"/>
        </w:rPr>
      </w:pPr>
      <w:bookmarkStart w:id="10" w:name="_heading=h.svtn8okocsm5" w:colFirst="0" w:colLast="0"/>
      <w:bookmarkEnd w:id="10"/>
      <w:r w:rsidRPr="005A3EF3">
        <w:rPr>
          <w:b/>
          <w:sz w:val="28"/>
          <w:szCs w:val="28"/>
        </w:rPr>
        <w:t xml:space="preserve">VII. Обґрунтування запропонованого строку дії регуляторного </w:t>
      </w:r>
      <w:proofErr w:type="spellStart"/>
      <w:r w:rsidRPr="005A3EF3">
        <w:rPr>
          <w:b/>
          <w:sz w:val="28"/>
          <w:szCs w:val="28"/>
        </w:rPr>
        <w:t>акта</w:t>
      </w:r>
      <w:proofErr w:type="spellEnd"/>
    </w:p>
    <w:p w:rsidR="00BD1F89" w:rsidRPr="005A3EF3" w:rsidRDefault="00BD1F89" w:rsidP="005A3EF3">
      <w:pPr>
        <w:ind w:firstLine="708"/>
        <w:jc w:val="both"/>
        <w:rPr>
          <w:sz w:val="16"/>
          <w:szCs w:val="16"/>
        </w:rPr>
      </w:pPr>
    </w:p>
    <w:p w:rsidR="00BD1F89" w:rsidRPr="005A3EF3" w:rsidRDefault="00197011" w:rsidP="005A3EF3">
      <w:pPr>
        <w:ind w:firstLine="708"/>
        <w:jc w:val="both"/>
        <w:rPr>
          <w:sz w:val="28"/>
          <w:szCs w:val="28"/>
        </w:rPr>
      </w:pPr>
      <w:r w:rsidRPr="005A3EF3">
        <w:rPr>
          <w:sz w:val="28"/>
          <w:szCs w:val="28"/>
        </w:rPr>
        <w:t xml:space="preserve">Строк дії регуляторного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 не обмежується у часі, що дасть змогу досягти цілей державного регулювання. Зміна строку дії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 можлива в разі зміни правових актів, на вимогах яких базується </w:t>
      </w:r>
      <w:proofErr w:type="spellStart"/>
      <w:r w:rsidRPr="005A3EF3">
        <w:rPr>
          <w:sz w:val="28"/>
          <w:szCs w:val="28"/>
        </w:rPr>
        <w:t>проєкт</w:t>
      </w:r>
      <w:proofErr w:type="spellEnd"/>
      <w:r w:rsidRPr="005A3EF3">
        <w:rPr>
          <w:sz w:val="28"/>
          <w:szCs w:val="28"/>
        </w:rPr>
        <w:t xml:space="preserve"> регуляторного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. </w:t>
      </w:r>
      <w:proofErr w:type="spellStart"/>
      <w:r w:rsidRPr="005A3EF3">
        <w:rPr>
          <w:sz w:val="28"/>
          <w:szCs w:val="28"/>
        </w:rPr>
        <w:t>Проєкт</w:t>
      </w:r>
      <w:proofErr w:type="spellEnd"/>
      <w:r w:rsidRPr="005A3EF3">
        <w:rPr>
          <w:sz w:val="28"/>
          <w:szCs w:val="28"/>
        </w:rPr>
        <w:t xml:space="preserve"> регуляторного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 набирає чинності з дня його офіційного опублікування.</w:t>
      </w:r>
    </w:p>
    <w:p w:rsidR="00BD1F89" w:rsidRPr="005A3EF3" w:rsidRDefault="00BD1F89" w:rsidP="005A3EF3">
      <w:pPr>
        <w:ind w:firstLine="708"/>
        <w:jc w:val="both"/>
        <w:rPr>
          <w:sz w:val="28"/>
          <w:szCs w:val="28"/>
          <w:highlight w:val="yellow"/>
        </w:rPr>
      </w:pPr>
    </w:p>
    <w:p w:rsidR="00BD1F89" w:rsidRPr="005A3EF3" w:rsidRDefault="00197011" w:rsidP="005A3EF3">
      <w:pPr>
        <w:ind w:firstLine="708"/>
        <w:jc w:val="both"/>
        <w:rPr>
          <w:b/>
          <w:sz w:val="28"/>
          <w:szCs w:val="28"/>
        </w:rPr>
      </w:pPr>
      <w:r w:rsidRPr="005A3EF3">
        <w:rPr>
          <w:b/>
          <w:sz w:val="28"/>
          <w:szCs w:val="28"/>
        </w:rPr>
        <w:t xml:space="preserve">VIII. Визначення показників результативності дії регуляторного </w:t>
      </w:r>
      <w:proofErr w:type="spellStart"/>
      <w:r w:rsidRPr="005A3EF3">
        <w:rPr>
          <w:b/>
          <w:sz w:val="28"/>
          <w:szCs w:val="28"/>
        </w:rPr>
        <w:t>акта</w:t>
      </w:r>
      <w:proofErr w:type="spellEnd"/>
    </w:p>
    <w:p w:rsidR="00BD1F89" w:rsidRPr="005A3EF3" w:rsidRDefault="00197011" w:rsidP="005A3EF3">
      <w:pPr>
        <w:ind w:firstLine="708"/>
        <w:jc w:val="both"/>
        <w:rPr>
          <w:sz w:val="28"/>
          <w:szCs w:val="28"/>
        </w:rPr>
      </w:pPr>
      <w:r w:rsidRPr="005A3EF3">
        <w:rPr>
          <w:sz w:val="28"/>
          <w:szCs w:val="28"/>
        </w:rPr>
        <w:t xml:space="preserve">Прогнозними значеннями показників результативності регуляторного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 є:</w:t>
      </w:r>
    </w:p>
    <w:p w:rsidR="009C221C" w:rsidRDefault="009C221C" w:rsidP="009C22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розмір надходжень до державного та місцевих бюджетів і державних цільових фондів, пов’язаних з дією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– не прогнозується;</w:t>
      </w:r>
    </w:p>
    <w:p w:rsidR="009C221C" w:rsidRDefault="009C221C" w:rsidP="009C22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 кількість суб’єктів господарювання та/або фізичних осіб (закладів освіти та інших фізичних осіб), на яких поширюватиметься дія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>;</w:t>
      </w:r>
    </w:p>
    <w:p w:rsidR="00BD1F89" w:rsidRPr="009C221C" w:rsidRDefault="009C221C" w:rsidP="009C22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рівень поінформованості суб'єктів господарювання з основних положень </w:t>
      </w:r>
      <w:proofErr w:type="spellStart"/>
      <w:r>
        <w:rPr>
          <w:sz w:val="28"/>
          <w:szCs w:val="28"/>
        </w:rPr>
        <w:t>акта</w:t>
      </w:r>
      <w:proofErr w:type="spellEnd"/>
      <w:r w:rsidR="00197011" w:rsidRPr="005A3EF3">
        <w:rPr>
          <w:color w:val="000000"/>
          <w:sz w:val="28"/>
          <w:szCs w:val="28"/>
        </w:rPr>
        <w:t>;</w:t>
      </w:r>
    </w:p>
    <w:p w:rsidR="00B6015F" w:rsidRPr="005A3EF3" w:rsidRDefault="00B6015F" w:rsidP="005A3EF3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EF3">
        <w:rPr>
          <w:rFonts w:ascii="Times New Roman" w:hAnsi="Times New Roman"/>
          <w:sz w:val="28"/>
          <w:szCs w:val="28"/>
        </w:rPr>
        <w:t xml:space="preserve">розмір коштів і час, які витрачаються суб’єктами господарювання у зв’язку із виконанням вимог </w:t>
      </w:r>
      <w:proofErr w:type="spellStart"/>
      <w:r w:rsidRPr="005A3EF3">
        <w:rPr>
          <w:rFonts w:ascii="Times New Roman" w:hAnsi="Times New Roman"/>
          <w:sz w:val="28"/>
          <w:szCs w:val="28"/>
        </w:rPr>
        <w:t>акта</w:t>
      </w:r>
      <w:proofErr w:type="spellEnd"/>
      <w:r w:rsidRPr="005A3EF3">
        <w:rPr>
          <w:rFonts w:ascii="Times New Roman" w:hAnsi="Times New Roman"/>
          <w:sz w:val="28"/>
          <w:szCs w:val="28"/>
        </w:rPr>
        <w:t xml:space="preserve"> – 55248,00 грн. сумарно на рік.</w:t>
      </w:r>
    </w:p>
    <w:p w:rsidR="004720B7" w:rsidRPr="005A3EF3" w:rsidRDefault="004720B7" w:rsidP="005A3EF3">
      <w:pPr>
        <w:ind w:firstLine="708"/>
        <w:jc w:val="both"/>
        <w:rPr>
          <w:sz w:val="28"/>
          <w:szCs w:val="28"/>
        </w:rPr>
      </w:pPr>
    </w:p>
    <w:p w:rsidR="00BD1F89" w:rsidRPr="005A3EF3" w:rsidRDefault="00197011" w:rsidP="005A3EF3">
      <w:pPr>
        <w:ind w:firstLine="708"/>
        <w:jc w:val="both"/>
        <w:rPr>
          <w:sz w:val="28"/>
          <w:szCs w:val="28"/>
        </w:rPr>
      </w:pPr>
      <w:r w:rsidRPr="005A3EF3">
        <w:rPr>
          <w:sz w:val="28"/>
          <w:szCs w:val="28"/>
        </w:rPr>
        <w:t xml:space="preserve">Кількісними показниками результативності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 є:</w:t>
      </w:r>
    </w:p>
    <w:p w:rsidR="00BD1F89" w:rsidRPr="005A3EF3" w:rsidRDefault="00197011" w:rsidP="005A3E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5A3EF3">
        <w:rPr>
          <w:color w:val="000000"/>
          <w:sz w:val="28"/>
          <w:szCs w:val="28"/>
        </w:rPr>
        <w:t>кількість дитячих і молодіжних художніх колективів;</w:t>
      </w:r>
    </w:p>
    <w:p w:rsidR="009C221C" w:rsidRDefault="00197011" w:rsidP="009C22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5A3EF3">
        <w:rPr>
          <w:color w:val="000000"/>
          <w:sz w:val="28"/>
          <w:szCs w:val="28"/>
        </w:rPr>
        <w:t>чисельність вихованців у гуртк</w:t>
      </w:r>
      <w:r w:rsidR="009C221C">
        <w:rPr>
          <w:color w:val="000000"/>
          <w:sz w:val="28"/>
          <w:szCs w:val="28"/>
        </w:rPr>
        <w:t>ах художньо-естетичного напряму;</w:t>
      </w:r>
    </w:p>
    <w:p w:rsidR="009C221C" w:rsidRPr="009C221C" w:rsidRDefault="009C221C" w:rsidP="002D77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C221C">
        <w:rPr>
          <w:color w:val="000000"/>
          <w:sz w:val="28"/>
          <w:szCs w:val="28"/>
        </w:rPr>
        <w:t>кіл</w:t>
      </w:r>
      <w:r w:rsidR="00F27574">
        <w:rPr>
          <w:color w:val="000000"/>
          <w:sz w:val="28"/>
          <w:szCs w:val="28"/>
        </w:rPr>
        <w:t xml:space="preserve">ькість колективів які отримали </w:t>
      </w:r>
      <w:r w:rsidRPr="009C221C">
        <w:rPr>
          <w:color w:val="000000"/>
          <w:sz w:val="28"/>
          <w:szCs w:val="28"/>
        </w:rPr>
        <w:t>почесне звання «</w:t>
      </w:r>
      <w:r w:rsidRPr="00F27574">
        <w:rPr>
          <w:color w:val="000000"/>
          <w:sz w:val="28"/>
          <w:szCs w:val="28"/>
        </w:rPr>
        <w:t>Народний художній колектив» і «Зразковий художній колектив.</w:t>
      </w:r>
    </w:p>
    <w:p w:rsidR="00BD1F89" w:rsidRPr="009C221C" w:rsidRDefault="00197011" w:rsidP="009C221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sz w:val="28"/>
          <w:szCs w:val="28"/>
        </w:rPr>
      </w:pPr>
      <w:r w:rsidRPr="009C221C">
        <w:rPr>
          <w:sz w:val="28"/>
          <w:szCs w:val="28"/>
        </w:rPr>
        <w:t xml:space="preserve">Рівень поінформованості всіх </w:t>
      </w:r>
      <w:proofErr w:type="spellStart"/>
      <w:r w:rsidRPr="009C221C">
        <w:rPr>
          <w:sz w:val="28"/>
          <w:szCs w:val="28"/>
        </w:rPr>
        <w:t>стейкхолдерів</w:t>
      </w:r>
      <w:proofErr w:type="spellEnd"/>
      <w:r w:rsidRPr="009C221C">
        <w:rPr>
          <w:sz w:val="28"/>
          <w:szCs w:val="28"/>
        </w:rPr>
        <w:t xml:space="preserve"> з основних положень регуляторного </w:t>
      </w:r>
      <w:proofErr w:type="spellStart"/>
      <w:r w:rsidRPr="009C221C">
        <w:rPr>
          <w:sz w:val="28"/>
          <w:szCs w:val="28"/>
        </w:rPr>
        <w:t>акта</w:t>
      </w:r>
      <w:proofErr w:type="spellEnd"/>
      <w:r w:rsidRPr="009C221C">
        <w:rPr>
          <w:sz w:val="28"/>
          <w:szCs w:val="28"/>
        </w:rPr>
        <w:t xml:space="preserve"> – вище середнього. Міністерством освіти і науки України забезпечується оприлюднення його у встановленому законодавством порядку, зокрема, на офіційному </w:t>
      </w:r>
      <w:proofErr w:type="spellStart"/>
      <w:r w:rsidRPr="009C221C">
        <w:rPr>
          <w:sz w:val="28"/>
          <w:szCs w:val="28"/>
        </w:rPr>
        <w:t>вебсайті</w:t>
      </w:r>
      <w:proofErr w:type="spellEnd"/>
      <w:r w:rsidRPr="009C221C">
        <w:rPr>
          <w:sz w:val="28"/>
          <w:szCs w:val="28"/>
        </w:rPr>
        <w:t xml:space="preserve"> Міністерства освіти і науки (http://mon.gov.ua) у розділі «Регуляторна політика».</w:t>
      </w:r>
    </w:p>
    <w:p w:rsidR="00BD1F89" w:rsidRPr="005A3EF3" w:rsidRDefault="00BD1F89" w:rsidP="005A3EF3">
      <w:pPr>
        <w:ind w:firstLine="567"/>
        <w:jc w:val="both"/>
        <w:rPr>
          <w:sz w:val="28"/>
          <w:szCs w:val="28"/>
          <w:highlight w:val="yellow"/>
        </w:rPr>
      </w:pPr>
    </w:p>
    <w:p w:rsidR="00BD1F89" w:rsidRPr="005A3EF3" w:rsidRDefault="00197011" w:rsidP="005A3EF3">
      <w:pPr>
        <w:pStyle w:val="1"/>
        <w:ind w:firstLine="567"/>
      </w:pPr>
      <w:bookmarkStart w:id="11" w:name="_heading=h.c6qbkow59uw5" w:colFirst="0" w:colLast="0"/>
      <w:bookmarkEnd w:id="11"/>
      <w:r w:rsidRPr="005A3EF3"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5A3EF3">
        <w:t>акта</w:t>
      </w:r>
      <w:proofErr w:type="spellEnd"/>
    </w:p>
    <w:p w:rsidR="00BD1F89" w:rsidRPr="005A3EF3" w:rsidRDefault="00BD1F89" w:rsidP="005A3EF3">
      <w:pPr>
        <w:ind w:firstLine="567"/>
        <w:rPr>
          <w:sz w:val="28"/>
          <w:szCs w:val="28"/>
        </w:rPr>
      </w:pPr>
    </w:p>
    <w:p w:rsidR="00F27574" w:rsidRDefault="00197011" w:rsidP="00F27574">
      <w:pPr>
        <w:ind w:firstLine="708"/>
        <w:jc w:val="both"/>
        <w:rPr>
          <w:sz w:val="28"/>
          <w:szCs w:val="28"/>
        </w:rPr>
      </w:pPr>
      <w:r w:rsidRPr="005A3EF3">
        <w:rPr>
          <w:sz w:val="28"/>
          <w:szCs w:val="28"/>
        </w:rPr>
        <w:t xml:space="preserve">Відстеження результативності </w:t>
      </w:r>
      <w:proofErr w:type="spellStart"/>
      <w:r w:rsidRPr="005A3EF3">
        <w:rPr>
          <w:sz w:val="28"/>
          <w:szCs w:val="28"/>
        </w:rPr>
        <w:t>проєкту</w:t>
      </w:r>
      <w:proofErr w:type="spellEnd"/>
      <w:r w:rsidRPr="005A3EF3">
        <w:rPr>
          <w:sz w:val="28"/>
          <w:szCs w:val="28"/>
        </w:rPr>
        <w:t xml:space="preserve">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 буде здійснюватися розробником регуляторного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 відповідно до вимог статті 10 Закону України «Про засади державної регуляторної політики у сфері господарської діяльності» та Методики відстеження результативності регуляторного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, затвердженої постановою Кабінету Міністрів України від 11.03.2004 № 308 «Про затвердження </w:t>
      </w:r>
      <w:proofErr w:type="spellStart"/>
      <w:r w:rsidRPr="005A3EF3">
        <w:rPr>
          <w:sz w:val="28"/>
          <w:szCs w:val="28"/>
        </w:rPr>
        <w:t>методик</w:t>
      </w:r>
      <w:proofErr w:type="spellEnd"/>
      <w:r w:rsidRPr="005A3EF3">
        <w:rPr>
          <w:sz w:val="28"/>
          <w:szCs w:val="28"/>
        </w:rPr>
        <w:t xml:space="preserve"> проведення аналізу впливу та відстеження результативності регуляторного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>» (із змінами від 16.12.2015 № 1151).</w:t>
      </w:r>
    </w:p>
    <w:p w:rsidR="00F27574" w:rsidRPr="00DF2DE3" w:rsidRDefault="00F27574" w:rsidP="00F27574">
      <w:pPr>
        <w:ind w:firstLine="709"/>
        <w:jc w:val="both"/>
        <w:rPr>
          <w:sz w:val="28"/>
          <w:szCs w:val="28"/>
        </w:rPr>
      </w:pPr>
      <w:r w:rsidRPr="00DF2DE3">
        <w:rPr>
          <w:sz w:val="28"/>
          <w:szCs w:val="28"/>
        </w:rPr>
        <w:t xml:space="preserve">Базове відстеження результативності буде </w:t>
      </w:r>
      <w:r>
        <w:rPr>
          <w:sz w:val="28"/>
          <w:szCs w:val="28"/>
        </w:rPr>
        <w:t>здійснено в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кварталі року</w:t>
      </w:r>
      <w:r w:rsidRPr="00DF2DE3">
        <w:rPr>
          <w:sz w:val="28"/>
          <w:szCs w:val="28"/>
        </w:rPr>
        <w:t xml:space="preserve"> після </w:t>
      </w:r>
      <w:r>
        <w:rPr>
          <w:sz w:val="28"/>
          <w:szCs w:val="28"/>
        </w:rPr>
        <w:t xml:space="preserve">дня набрання </w:t>
      </w:r>
      <w:r w:rsidRPr="00DF2DE3">
        <w:rPr>
          <w:sz w:val="28"/>
          <w:szCs w:val="28"/>
        </w:rPr>
        <w:t xml:space="preserve">чинності </w:t>
      </w:r>
      <w:r>
        <w:rPr>
          <w:sz w:val="28"/>
          <w:szCs w:val="28"/>
        </w:rPr>
        <w:t>цим регуляторним актом</w:t>
      </w:r>
      <w:r w:rsidRPr="00DF2DE3">
        <w:rPr>
          <w:sz w:val="28"/>
          <w:szCs w:val="28"/>
        </w:rPr>
        <w:t>.</w:t>
      </w:r>
    </w:p>
    <w:p w:rsidR="00BD1F89" w:rsidRPr="005A3EF3" w:rsidRDefault="00197011" w:rsidP="005A3EF3">
      <w:pPr>
        <w:ind w:firstLine="708"/>
        <w:jc w:val="both"/>
        <w:rPr>
          <w:sz w:val="28"/>
          <w:szCs w:val="28"/>
        </w:rPr>
      </w:pPr>
      <w:bookmarkStart w:id="12" w:name="_heading=h.mpbn4gz00u5w" w:colFirst="0" w:colLast="0"/>
      <w:bookmarkEnd w:id="12"/>
      <w:r w:rsidRPr="005A3EF3">
        <w:rPr>
          <w:sz w:val="28"/>
          <w:szCs w:val="28"/>
        </w:rPr>
        <w:t xml:space="preserve">Повторне відстеження результативності регуляторного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 здійснюватиметься не </w:t>
      </w:r>
      <w:r w:rsidR="00F27574">
        <w:rPr>
          <w:sz w:val="28"/>
          <w:szCs w:val="28"/>
        </w:rPr>
        <w:t>пізніше ніж через 3</w:t>
      </w:r>
      <w:r w:rsidRPr="005A3EF3">
        <w:rPr>
          <w:sz w:val="28"/>
          <w:szCs w:val="28"/>
        </w:rPr>
        <w:t xml:space="preserve"> років з дня набрання чинності цим актом або більшістю його положень.</w:t>
      </w:r>
    </w:p>
    <w:p w:rsidR="00BD1F89" w:rsidRPr="005A3EF3" w:rsidRDefault="00197011" w:rsidP="005A3EF3">
      <w:pPr>
        <w:ind w:firstLine="708"/>
        <w:jc w:val="both"/>
        <w:rPr>
          <w:sz w:val="28"/>
          <w:szCs w:val="28"/>
        </w:rPr>
      </w:pPr>
      <w:r w:rsidRPr="005A3EF3">
        <w:rPr>
          <w:sz w:val="28"/>
          <w:szCs w:val="28"/>
        </w:rPr>
        <w:t xml:space="preserve">Періодичне відстеження результативності регуляторного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 буде проводитись один раз на три роки після проведення заходів повторного відстеження регуляторного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>.</w:t>
      </w:r>
    </w:p>
    <w:p w:rsidR="00BD1F89" w:rsidRDefault="00197011" w:rsidP="005A3EF3">
      <w:pPr>
        <w:ind w:firstLine="567"/>
        <w:jc w:val="both"/>
        <w:rPr>
          <w:sz w:val="28"/>
          <w:szCs w:val="28"/>
        </w:rPr>
      </w:pPr>
      <w:r w:rsidRPr="005A3EF3">
        <w:rPr>
          <w:sz w:val="28"/>
          <w:szCs w:val="28"/>
        </w:rPr>
        <w:t xml:space="preserve">До проведення відстеження результативності дії регуляторного </w:t>
      </w:r>
      <w:proofErr w:type="spellStart"/>
      <w:r w:rsidRPr="005A3EF3">
        <w:rPr>
          <w:sz w:val="28"/>
          <w:szCs w:val="28"/>
        </w:rPr>
        <w:t>акта</w:t>
      </w:r>
      <w:proofErr w:type="spellEnd"/>
      <w:r w:rsidRPr="005A3EF3">
        <w:rPr>
          <w:sz w:val="28"/>
          <w:szCs w:val="28"/>
        </w:rPr>
        <w:t xml:space="preserve"> залучатиметься Державна установа «Український інститут розвитку освіти».</w:t>
      </w:r>
    </w:p>
    <w:p w:rsidR="00F27574" w:rsidRPr="00DF2DE3" w:rsidRDefault="00F27574" w:rsidP="00F27574">
      <w:pPr>
        <w:ind w:firstLine="709"/>
        <w:jc w:val="both"/>
        <w:rPr>
          <w:sz w:val="28"/>
          <w:szCs w:val="28"/>
        </w:rPr>
      </w:pPr>
      <w:r w:rsidRPr="00DF2DE3">
        <w:rPr>
          <w:sz w:val="28"/>
          <w:szCs w:val="28"/>
        </w:rPr>
        <w:t xml:space="preserve">Відстеження результативності даного </w:t>
      </w:r>
      <w:proofErr w:type="spellStart"/>
      <w:r w:rsidRPr="00DF2DE3">
        <w:rPr>
          <w:sz w:val="28"/>
          <w:szCs w:val="28"/>
        </w:rPr>
        <w:t>акта</w:t>
      </w:r>
      <w:proofErr w:type="spellEnd"/>
      <w:r w:rsidRPr="00DF2DE3">
        <w:rPr>
          <w:sz w:val="28"/>
          <w:szCs w:val="28"/>
        </w:rPr>
        <w:t xml:space="preserve"> буде здійснюватися статистичним та соціологічним методами.</w:t>
      </w:r>
    </w:p>
    <w:p w:rsidR="00F27574" w:rsidRPr="005A3EF3" w:rsidRDefault="00F27574" w:rsidP="005A3EF3">
      <w:pPr>
        <w:ind w:firstLine="567"/>
        <w:jc w:val="both"/>
        <w:rPr>
          <w:sz w:val="28"/>
          <w:szCs w:val="28"/>
        </w:rPr>
      </w:pPr>
    </w:p>
    <w:p w:rsidR="00BD1F89" w:rsidRPr="005A3EF3" w:rsidRDefault="00BD1F89" w:rsidP="00F27574">
      <w:pPr>
        <w:rPr>
          <w:sz w:val="28"/>
          <w:szCs w:val="28"/>
          <w:highlight w:val="yellow"/>
        </w:rPr>
      </w:pPr>
    </w:p>
    <w:tbl>
      <w:tblPr>
        <w:tblStyle w:val="aff2"/>
        <w:tblW w:w="957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5"/>
      </w:tblGrid>
      <w:tr w:rsidR="00BD1F89" w:rsidRPr="005A3EF3">
        <w:tc>
          <w:tcPr>
            <w:tcW w:w="4785" w:type="dxa"/>
          </w:tcPr>
          <w:p w:rsidR="00BD1F89" w:rsidRPr="005A3EF3" w:rsidRDefault="00197011" w:rsidP="005A3EF3">
            <w:pPr>
              <w:rPr>
                <w:b/>
                <w:sz w:val="28"/>
                <w:szCs w:val="28"/>
              </w:rPr>
            </w:pPr>
            <w:r w:rsidRPr="005A3EF3">
              <w:rPr>
                <w:b/>
                <w:sz w:val="28"/>
                <w:szCs w:val="28"/>
              </w:rPr>
              <w:t>Міністр освіти і науки України</w:t>
            </w:r>
          </w:p>
        </w:tc>
        <w:tc>
          <w:tcPr>
            <w:tcW w:w="4785" w:type="dxa"/>
          </w:tcPr>
          <w:p w:rsidR="00BD1F89" w:rsidRPr="005A3EF3" w:rsidRDefault="00197011" w:rsidP="005A3EF3">
            <w:pPr>
              <w:ind w:firstLine="567"/>
              <w:jc w:val="right"/>
              <w:rPr>
                <w:b/>
                <w:sz w:val="28"/>
                <w:szCs w:val="28"/>
              </w:rPr>
            </w:pPr>
            <w:r w:rsidRPr="005A3EF3">
              <w:rPr>
                <w:b/>
                <w:sz w:val="28"/>
                <w:szCs w:val="28"/>
              </w:rPr>
              <w:t>Оксен ЛІСОВИЙ</w:t>
            </w:r>
          </w:p>
        </w:tc>
      </w:tr>
      <w:tr w:rsidR="00BD1F89" w:rsidRPr="005A3EF3">
        <w:tc>
          <w:tcPr>
            <w:tcW w:w="4785" w:type="dxa"/>
          </w:tcPr>
          <w:p w:rsidR="00BD1F89" w:rsidRPr="005A3EF3" w:rsidRDefault="00BD1F89" w:rsidP="005A3EF3">
            <w:pPr>
              <w:ind w:firstLine="567"/>
              <w:rPr>
                <w:b/>
                <w:highlight w:val="yellow"/>
              </w:rPr>
            </w:pPr>
          </w:p>
        </w:tc>
        <w:tc>
          <w:tcPr>
            <w:tcW w:w="4785" w:type="dxa"/>
          </w:tcPr>
          <w:p w:rsidR="00BD1F89" w:rsidRPr="005A3EF3" w:rsidRDefault="00BD1F89" w:rsidP="005A3EF3">
            <w:pPr>
              <w:ind w:firstLine="567"/>
              <w:rPr>
                <w:b/>
                <w:highlight w:val="yellow"/>
              </w:rPr>
            </w:pPr>
          </w:p>
        </w:tc>
      </w:tr>
      <w:tr w:rsidR="00BD1F89" w:rsidRPr="005A3EF3">
        <w:trPr>
          <w:trHeight w:val="291"/>
        </w:trPr>
        <w:tc>
          <w:tcPr>
            <w:tcW w:w="4785" w:type="dxa"/>
          </w:tcPr>
          <w:p w:rsidR="00BD1F89" w:rsidRPr="005A3EF3" w:rsidRDefault="00BD1F89" w:rsidP="005A3EF3">
            <w:pPr>
              <w:ind w:firstLine="567"/>
              <w:rPr>
                <w:b/>
                <w:highlight w:val="yellow"/>
              </w:rPr>
            </w:pPr>
          </w:p>
        </w:tc>
        <w:tc>
          <w:tcPr>
            <w:tcW w:w="4785" w:type="dxa"/>
          </w:tcPr>
          <w:p w:rsidR="00BD1F89" w:rsidRPr="005A3EF3" w:rsidRDefault="00BD1F89" w:rsidP="005A3EF3">
            <w:pPr>
              <w:ind w:firstLine="567"/>
              <w:rPr>
                <w:b/>
                <w:highlight w:val="yellow"/>
              </w:rPr>
            </w:pPr>
          </w:p>
        </w:tc>
      </w:tr>
    </w:tbl>
    <w:p w:rsidR="00F27574" w:rsidRDefault="00F27574" w:rsidP="005A3EF3">
      <w:pPr>
        <w:tabs>
          <w:tab w:val="left" w:pos="567"/>
        </w:tabs>
        <w:ind w:firstLine="23"/>
        <w:jc w:val="center"/>
        <w:rPr>
          <w:b/>
          <w:sz w:val="28"/>
          <w:szCs w:val="28"/>
        </w:rPr>
      </w:pPr>
    </w:p>
    <w:p w:rsidR="00BD1F89" w:rsidRPr="005A3EF3" w:rsidRDefault="00197011" w:rsidP="005A3EF3">
      <w:pPr>
        <w:tabs>
          <w:tab w:val="left" w:pos="567"/>
        </w:tabs>
        <w:ind w:firstLine="23"/>
        <w:jc w:val="center"/>
        <w:rPr>
          <w:b/>
          <w:sz w:val="28"/>
          <w:szCs w:val="28"/>
        </w:rPr>
      </w:pPr>
      <w:r w:rsidRPr="005A3EF3">
        <w:rPr>
          <w:b/>
          <w:sz w:val="28"/>
          <w:szCs w:val="28"/>
        </w:rPr>
        <w:t>ТЕСТ</w:t>
      </w:r>
    </w:p>
    <w:p w:rsidR="00BD1F89" w:rsidRPr="005A3EF3" w:rsidRDefault="00197011" w:rsidP="005A3EF3">
      <w:pPr>
        <w:tabs>
          <w:tab w:val="left" w:pos="567"/>
        </w:tabs>
        <w:ind w:firstLine="23"/>
        <w:jc w:val="center"/>
        <w:rPr>
          <w:b/>
          <w:sz w:val="28"/>
          <w:szCs w:val="28"/>
        </w:rPr>
      </w:pPr>
      <w:r w:rsidRPr="005A3EF3">
        <w:rPr>
          <w:b/>
          <w:sz w:val="28"/>
          <w:szCs w:val="28"/>
        </w:rPr>
        <w:t>малого підприємництва (М-Тест)</w:t>
      </w:r>
    </w:p>
    <w:p w:rsidR="00826569" w:rsidRPr="005A3EF3" w:rsidRDefault="00826569" w:rsidP="005A3EF3">
      <w:pPr>
        <w:tabs>
          <w:tab w:val="left" w:pos="567"/>
        </w:tabs>
        <w:ind w:firstLine="23"/>
        <w:jc w:val="center"/>
        <w:rPr>
          <w:b/>
          <w:sz w:val="28"/>
          <w:szCs w:val="28"/>
        </w:rPr>
      </w:pPr>
    </w:p>
    <w:p w:rsidR="00BD1F89" w:rsidRPr="005A3EF3" w:rsidRDefault="00197011" w:rsidP="005A3EF3">
      <w:pPr>
        <w:tabs>
          <w:tab w:val="left" w:pos="567"/>
        </w:tabs>
        <w:ind w:firstLine="20"/>
        <w:jc w:val="both"/>
        <w:rPr>
          <w:sz w:val="28"/>
          <w:szCs w:val="28"/>
        </w:rPr>
      </w:pPr>
      <w:r w:rsidRPr="005A3EF3">
        <w:rPr>
          <w:sz w:val="28"/>
          <w:szCs w:val="28"/>
        </w:rPr>
        <w:t>1. Консультації з представниками мікро- та малого підприємництва щодо оцінки впливу регулювання</w:t>
      </w:r>
    </w:p>
    <w:p w:rsidR="00BD1F89" w:rsidRPr="005A3EF3" w:rsidRDefault="00197011" w:rsidP="005A3E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A3EF3">
        <w:rPr>
          <w:sz w:val="28"/>
          <w:szCs w:val="28"/>
        </w:rPr>
        <w:t>Консультації щодо визначення впливу запропонованого регулювання</w:t>
      </w:r>
      <w:r w:rsidRPr="005A3EF3">
        <w:rPr>
          <w:sz w:val="28"/>
          <w:szCs w:val="28"/>
        </w:rPr>
        <w:br/>
        <w:t xml:space="preserve">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розробниками у період з 20 вересня 2023 року до 18 </w:t>
      </w:r>
      <w:r w:rsidR="00826569" w:rsidRPr="005A3EF3">
        <w:rPr>
          <w:sz w:val="28"/>
          <w:szCs w:val="28"/>
        </w:rPr>
        <w:t>вересня</w:t>
      </w:r>
      <w:r w:rsidRPr="005A3EF3">
        <w:rPr>
          <w:sz w:val="28"/>
          <w:szCs w:val="28"/>
        </w:rPr>
        <w:t xml:space="preserve"> 2024 року.</w:t>
      </w:r>
    </w:p>
    <w:p w:rsidR="009A13C2" w:rsidRPr="005A3EF3" w:rsidRDefault="009A13C2" w:rsidP="005A3EF3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tbl>
      <w:tblPr>
        <w:tblStyle w:val="aff3"/>
        <w:tblW w:w="95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3105"/>
        <w:gridCol w:w="1669"/>
        <w:gridCol w:w="3586"/>
      </w:tblGrid>
      <w:tr w:rsidR="00BD1F89" w:rsidRPr="005A3EF3" w:rsidTr="00826569">
        <w:trPr>
          <w:trHeight w:val="2126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F89" w:rsidRPr="005A3EF3" w:rsidRDefault="00197011" w:rsidP="005A3EF3">
            <w:pPr>
              <w:tabs>
                <w:tab w:val="left" w:pos="567"/>
              </w:tabs>
              <w:jc w:val="center"/>
            </w:pPr>
            <w:r w:rsidRPr="005A3EF3">
              <w:t>Поряд-</w:t>
            </w:r>
            <w:proofErr w:type="spellStart"/>
            <w:r w:rsidRPr="005A3EF3">
              <w:t>ковий</w:t>
            </w:r>
            <w:proofErr w:type="spellEnd"/>
            <w:r w:rsidRPr="005A3EF3">
              <w:t xml:space="preserve"> номер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F89" w:rsidRPr="005A3EF3" w:rsidRDefault="00197011" w:rsidP="005A3EF3">
            <w:pPr>
              <w:tabs>
                <w:tab w:val="left" w:pos="567"/>
              </w:tabs>
              <w:jc w:val="center"/>
            </w:pPr>
            <w:r w:rsidRPr="005A3EF3"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6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F89" w:rsidRPr="005A3EF3" w:rsidRDefault="00197011" w:rsidP="005A3EF3">
            <w:pPr>
              <w:tabs>
                <w:tab w:val="left" w:pos="567"/>
              </w:tabs>
              <w:jc w:val="center"/>
            </w:pPr>
            <w:r w:rsidRPr="005A3EF3">
              <w:t xml:space="preserve">Кількість учасників </w:t>
            </w:r>
            <w:proofErr w:type="spellStart"/>
            <w:r w:rsidRPr="005A3EF3">
              <w:t>консуль-тацій</w:t>
            </w:r>
            <w:proofErr w:type="spellEnd"/>
            <w:r w:rsidRPr="005A3EF3">
              <w:t>,</w:t>
            </w:r>
          </w:p>
          <w:p w:rsidR="00BD1F89" w:rsidRPr="005A3EF3" w:rsidRDefault="00197011" w:rsidP="005A3EF3">
            <w:pPr>
              <w:tabs>
                <w:tab w:val="left" w:pos="567"/>
              </w:tabs>
              <w:jc w:val="center"/>
            </w:pPr>
            <w:r w:rsidRPr="005A3EF3">
              <w:t>осіб</w:t>
            </w:r>
          </w:p>
        </w:tc>
        <w:tc>
          <w:tcPr>
            <w:tcW w:w="35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F89" w:rsidRPr="005A3EF3" w:rsidRDefault="00197011" w:rsidP="005A3EF3">
            <w:pPr>
              <w:tabs>
                <w:tab w:val="left" w:pos="567"/>
              </w:tabs>
              <w:jc w:val="center"/>
            </w:pPr>
            <w:r w:rsidRPr="005A3EF3">
              <w:t>Основні результати консультацій (опис)</w:t>
            </w:r>
          </w:p>
        </w:tc>
      </w:tr>
      <w:tr w:rsidR="00BD1F89" w:rsidRPr="005A3EF3" w:rsidTr="00826569">
        <w:trPr>
          <w:trHeight w:val="1108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F89" w:rsidRPr="005A3EF3" w:rsidRDefault="00197011" w:rsidP="005A3EF3">
            <w:pPr>
              <w:tabs>
                <w:tab w:val="left" w:pos="567"/>
              </w:tabs>
              <w:jc w:val="center"/>
            </w:pPr>
            <w:r w:rsidRPr="005A3EF3"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F89" w:rsidRPr="005A3EF3" w:rsidRDefault="00197011" w:rsidP="005A3EF3">
            <w:pPr>
              <w:tabs>
                <w:tab w:val="left" w:pos="567"/>
              </w:tabs>
            </w:pPr>
            <w:r w:rsidRPr="005A3EF3">
              <w:t xml:space="preserve">Нарада з представниками регіональних закладів освіти та органів управління у сфері освіти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F89" w:rsidRPr="005A3EF3" w:rsidRDefault="00197011" w:rsidP="005A3EF3">
            <w:pPr>
              <w:tabs>
                <w:tab w:val="left" w:pos="567"/>
              </w:tabs>
              <w:jc w:val="center"/>
            </w:pPr>
            <w:r w:rsidRPr="005A3EF3">
              <w:t>185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F89" w:rsidRPr="005A3EF3" w:rsidRDefault="00197011" w:rsidP="005A3EF3">
            <w:pPr>
              <w:tabs>
                <w:tab w:val="left" w:pos="567"/>
              </w:tabs>
              <w:jc w:val="both"/>
            </w:pPr>
            <w:r w:rsidRPr="005A3EF3">
              <w:t xml:space="preserve">Визначено проблеми правового регулювання та практичного застосування змін до  </w:t>
            </w:r>
            <w:proofErr w:type="spellStart"/>
            <w:r w:rsidRPr="005A3EF3">
              <w:t>акта</w:t>
            </w:r>
            <w:proofErr w:type="spellEnd"/>
          </w:p>
        </w:tc>
      </w:tr>
      <w:tr w:rsidR="00BD1F89" w:rsidRPr="005A3EF3" w:rsidTr="00826569">
        <w:trPr>
          <w:trHeight w:val="2116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F89" w:rsidRPr="005A3EF3" w:rsidRDefault="00197011" w:rsidP="005A3EF3">
            <w:pPr>
              <w:tabs>
                <w:tab w:val="left" w:pos="567"/>
              </w:tabs>
              <w:jc w:val="center"/>
            </w:pPr>
            <w:r w:rsidRPr="005A3EF3"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F89" w:rsidRPr="005A3EF3" w:rsidRDefault="00197011" w:rsidP="005A3EF3">
            <w:pPr>
              <w:tabs>
                <w:tab w:val="left" w:pos="567"/>
              </w:tabs>
            </w:pPr>
            <w:r w:rsidRPr="005A3EF3">
              <w:t>Робота з державними експертами Міністерства освіти і науки України з питань формування та реалізації державної політики у сфері позашкільної освіти відповідно д</w:t>
            </w:r>
            <w:r w:rsidR="00826569" w:rsidRPr="005A3EF3">
              <w:t>о позитивних світових тенденцій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F89" w:rsidRPr="005A3EF3" w:rsidRDefault="00197011" w:rsidP="005A3EF3">
            <w:pPr>
              <w:tabs>
                <w:tab w:val="left" w:pos="567"/>
              </w:tabs>
              <w:jc w:val="center"/>
            </w:pPr>
            <w:r w:rsidRPr="005A3EF3">
              <w:t>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F89" w:rsidRPr="005A3EF3" w:rsidRDefault="00197011" w:rsidP="005A3EF3">
            <w:pPr>
              <w:tabs>
                <w:tab w:val="left" w:pos="567"/>
              </w:tabs>
              <w:jc w:val="both"/>
            </w:pPr>
            <w:r w:rsidRPr="005A3EF3">
              <w:t xml:space="preserve">Визначено мету та предмет правового регулювання  порядку присвоєння почесних звань художнім колективам закладів освіти в системі Міністерства освіти і науки України.  </w:t>
            </w:r>
          </w:p>
        </w:tc>
      </w:tr>
      <w:tr w:rsidR="00BD1F89" w:rsidRPr="005A3EF3" w:rsidTr="00826569">
        <w:trPr>
          <w:trHeight w:val="166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F89" w:rsidRPr="005A3EF3" w:rsidRDefault="00197011" w:rsidP="005A3EF3">
            <w:pPr>
              <w:tabs>
                <w:tab w:val="left" w:pos="567"/>
              </w:tabs>
              <w:jc w:val="center"/>
            </w:pPr>
            <w:r w:rsidRPr="005A3EF3"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F89" w:rsidRPr="005A3EF3" w:rsidRDefault="00197011" w:rsidP="005A3EF3">
            <w:pPr>
              <w:tabs>
                <w:tab w:val="left" w:pos="567"/>
              </w:tabs>
            </w:pPr>
            <w:r w:rsidRPr="005A3EF3">
              <w:t>Проведено робочу зустріч із представниками засновників закладів освіти приватної та корпоративної форми власності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F89" w:rsidRPr="005A3EF3" w:rsidRDefault="00197011" w:rsidP="005A3EF3">
            <w:pPr>
              <w:tabs>
                <w:tab w:val="left" w:pos="567"/>
              </w:tabs>
              <w:jc w:val="center"/>
            </w:pPr>
            <w:r w:rsidRPr="005A3EF3">
              <w:t>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F89" w:rsidRPr="005A3EF3" w:rsidRDefault="00197011" w:rsidP="005A3EF3">
            <w:pPr>
              <w:tabs>
                <w:tab w:val="left" w:pos="567"/>
              </w:tabs>
              <w:jc w:val="both"/>
            </w:pPr>
            <w:r w:rsidRPr="005A3EF3">
              <w:t>Обговорено проблемні питання нормативно-правового регулювання порядку присвоєння почесних звань художнім колективам закладів освіти приватної форми власності.</w:t>
            </w:r>
          </w:p>
        </w:tc>
      </w:tr>
      <w:tr w:rsidR="00BD1F89" w:rsidRPr="005A3EF3" w:rsidTr="00826569">
        <w:trPr>
          <w:trHeight w:val="1125"/>
        </w:trPr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F89" w:rsidRPr="005A3EF3" w:rsidRDefault="00197011" w:rsidP="005A3EF3">
            <w:pPr>
              <w:tabs>
                <w:tab w:val="left" w:pos="567"/>
              </w:tabs>
              <w:jc w:val="center"/>
            </w:pPr>
            <w:r w:rsidRPr="005A3EF3"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F89" w:rsidRPr="005A3EF3" w:rsidRDefault="00197011" w:rsidP="005A3EF3">
            <w:pPr>
              <w:tabs>
                <w:tab w:val="left" w:pos="567"/>
              </w:tabs>
              <w:jc w:val="both"/>
            </w:pPr>
            <w:proofErr w:type="spellStart"/>
            <w:r w:rsidRPr="005A3EF3">
              <w:t>Проєкт</w:t>
            </w:r>
            <w:proofErr w:type="spellEnd"/>
            <w:r w:rsidRPr="005A3EF3">
              <w:t xml:space="preserve"> </w:t>
            </w:r>
            <w:proofErr w:type="spellStart"/>
            <w:r w:rsidRPr="005A3EF3">
              <w:t>акта</w:t>
            </w:r>
            <w:proofErr w:type="spellEnd"/>
            <w:r w:rsidRPr="005A3EF3">
              <w:t xml:space="preserve"> було оприлюднено для громадського обговорення на офіційному веб-сайті МОН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F89" w:rsidRPr="005A3EF3" w:rsidRDefault="00197011" w:rsidP="005A3EF3">
            <w:pPr>
              <w:tabs>
                <w:tab w:val="left" w:pos="567"/>
              </w:tabs>
              <w:jc w:val="center"/>
            </w:pPr>
            <w:r w:rsidRPr="005A3EF3">
              <w:t xml:space="preserve">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1F89" w:rsidRPr="005A3EF3" w:rsidRDefault="00197011" w:rsidP="005A3EF3">
            <w:pPr>
              <w:tabs>
                <w:tab w:val="left" w:pos="567"/>
              </w:tabs>
              <w:jc w:val="both"/>
              <w:rPr>
                <w:rFonts w:eastAsia="Arial"/>
                <w:color w:val="1155CC"/>
                <w:u w:val="single"/>
              </w:rPr>
            </w:pPr>
            <w:r w:rsidRPr="005A3EF3">
              <w:t xml:space="preserve">Посилання </w:t>
            </w:r>
            <w:hyperlink r:id="rId9">
              <w:r w:rsidRPr="005A3EF3">
                <w:rPr>
                  <w:rFonts w:eastAsia="Arial"/>
                  <w:color w:val="1155CC"/>
                  <w:u w:val="single"/>
                </w:rPr>
                <w:t>https://mon.gov.ua/news/mon-proponuie-dlia-hromadskoho-obhovorennia-proiekt-polozhennia-pro-pochesni-zvannia-narodnyi-khudozhnii-kolektyv-i-zrazkovyi-khudozhnii-kolektyv</w:t>
              </w:r>
            </w:hyperlink>
          </w:p>
          <w:p w:rsidR="009A13C2" w:rsidRPr="005A3EF3" w:rsidRDefault="009A13C2" w:rsidP="005A3EF3">
            <w:pPr>
              <w:tabs>
                <w:tab w:val="left" w:pos="567"/>
              </w:tabs>
              <w:jc w:val="both"/>
            </w:pPr>
          </w:p>
        </w:tc>
      </w:tr>
    </w:tbl>
    <w:p w:rsidR="009A13C2" w:rsidRPr="005A3EF3" w:rsidRDefault="009A13C2" w:rsidP="005A3EF3">
      <w:pPr>
        <w:tabs>
          <w:tab w:val="left" w:pos="567"/>
        </w:tabs>
        <w:ind w:firstLine="700"/>
        <w:jc w:val="both"/>
        <w:rPr>
          <w:sz w:val="28"/>
          <w:szCs w:val="28"/>
        </w:rPr>
      </w:pPr>
    </w:p>
    <w:p w:rsidR="00BD1F89" w:rsidRPr="005A3EF3" w:rsidRDefault="00197011" w:rsidP="005A3EF3">
      <w:pPr>
        <w:tabs>
          <w:tab w:val="left" w:pos="567"/>
        </w:tabs>
        <w:ind w:firstLine="700"/>
        <w:jc w:val="both"/>
        <w:rPr>
          <w:sz w:val="28"/>
          <w:szCs w:val="28"/>
        </w:rPr>
      </w:pPr>
      <w:r w:rsidRPr="005A3EF3">
        <w:rPr>
          <w:sz w:val="28"/>
          <w:szCs w:val="28"/>
        </w:rPr>
        <w:lastRenderedPageBreak/>
        <w:t>2. Вимірювання впливу регулювання на суб’єктів малого підприємництва (мікро – та малі):</w:t>
      </w:r>
    </w:p>
    <w:p w:rsidR="00BD1F89" w:rsidRPr="005A3EF3" w:rsidRDefault="00197011" w:rsidP="005A3E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A3EF3">
        <w:rPr>
          <w:sz w:val="28"/>
          <w:szCs w:val="28"/>
        </w:rPr>
        <w:t>кількість суб’єктів малого підприємництва, на яких поширюєт</w:t>
      </w:r>
      <w:r w:rsidR="00784988" w:rsidRPr="005A3EF3">
        <w:rPr>
          <w:sz w:val="28"/>
          <w:szCs w:val="28"/>
        </w:rPr>
        <w:t>ься регулювання: 1151 (одиниць)</w:t>
      </w:r>
      <w:r w:rsidRPr="005A3EF3">
        <w:rPr>
          <w:sz w:val="28"/>
          <w:szCs w:val="28"/>
        </w:rPr>
        <w:t>;</w:t>
      </w:r>
    </w:p>
    <w:p w:rsidR="00BD1F89" w:rsidRPr="005A3EF3" w:rsidRDefault="00197011" w:rsidP="005A3E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A3EF3">
        <w:rPr>
          <w:sz w:val="28"/>
          <w:szCs w:val="28"/>
        </w:rPr>
        <w:t>питома вага суб’єктів малого підприємництва в загальній кількості суб’єктів господарювання, на яких проблема справляє вплив, 100 % відсотків.</w:t>
      </w:r>
    </w:p>
    <w:p w:rsidR="00BD1F89" w:rsidRPr="005A3EF3" w:rsidRDefault="00197011" w:rsidP="005A3EF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A3EF3">
        <w:rPr>
          <w:sz w:val="28"/>
          <w:szCs w:val="28"/>
        </w:rPr>
        <w:t xml:space="preserve"> </w:t>
      </w:r>
    </w:p>
    <w:p w:rsidR="00784988" w:rsidRPr="005A3EF3" w:rsidRDefault="00784988" w:rsidP="005A3EF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A3EF3">
        <w:rPr>
          <w:sz w:val="28"/>
          <w:szCs w:val="28"/>
        </w:rPr>
        <w:t>3. Розрахунок витрат суб’єктів малого підприємництва на виконання вимог регулювання.</w:t>
      </w:r>
    </w:p>
    <w:p w:rsidR="00784988" w:rsidRPr="005A3EF3" w:rsidRDefault="00784988" w:rsidP="005A3EF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tbl>
      <w:tblPr>
        <w:tblW w:w="9492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3202"/>
        <w:gridCol w:w="2260"/>
        <w:gridCol w:w="6"/>
        <w:gridCol w:w="1703"/>
        <w:gridCol w:w="1701"/>
      </w:tblGrid>
      <w:tr w:rsidR="00784988" w:rsidRPr="005A3EF3" w:rsidTr="004A3A56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b/>
                <w:bCs/>
                <w:kern w:val="3"/>
                <w:lang w:eastAsia="zh-CN" w:bidi="hi-IN"/>
              </w:rPr>
            </w:pPr>
            <w:r w:rsidRPr="005A3EF3">
              <w:rPr>
                <w:rFonts w:eastAsia="Arial"/>
                <w:b/>
                <w:bCs/>
                <w:kern w:val="3"/>
                <w:lang w:eastAsia="zh-CN" w:bidi="hi-IN"/>
              </w:rPr>
              <w:t>№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rPr>
                <w:rFonts w:eastAsia="Arial"/>
                <w:b/>
                <w:bCs/>
                <w:kern w:val="3"/>
                <w:lang w:eastAsia="zh-CN" w:bidi="hi-IN"/>
              </w:rPr>
            </w:pPr>
            <w:r w:rsidRPr="005A3EF3">
              <w:rPr>
                <w:rFonts w:eastAsia="Arial"/>
                <w:b/>
                <w:bCs/>
                <w:kern w:val="3"/>
                <w:lang w:eastAsia="zh-CN" w:bidi="hi-IN"/>
              </w:rPr>
              <w:t>Найменування оцінки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b/>
                <w:bCs/>
                <w:kern w:val="3"/>
                <w:lang w:eastAsia="zh-CN" w:bidi="hi-IN"/>
              </w:rPr>
            </w:pPr>
            <w:r w:rsidRPr="005A3EF3">
              <w:rPr>
                <w:rFonts w:eastAsia="Arial"/>
                <w:b/>
                <w:bCs/>
                <w:kern w:val="3"/>
                <w:lang w:eastAsia="zh-CN" w:bidi="hi-IN"/>
              </w:rPr>
              <w:t>У перший рік (стартовий рік впровадження регулювання)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b/>
                <w:bCs/>
                <w:kern w:val="3"/>
                <w:lang w:eastAsia="zh-CN" w:bidi="hi-IN"/>
              </w:rPr>
            </w:pPr>
            <w:r w:rsidRPr="005A3EF3">
              <w:rPr>
                <w:rFonts w:eastAsia="Arial"/>
                <w:b/>
                <w:bCs/>
                <w:kern w:val="3"/>
                <w:lang w:eastAsia="zh-CN" w:bidi="hi-IN"/>
              </w:rPr>
              <w:t>Періодичні (за наступний рік)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b/>
                <w:bCs/>
                <w:kern w:val="3"/>
                <w:lang w:eastAsia="zh-CN" w:bidi="hi-IN"/>
              </w:rPr>
            </w:pPr>
            <w:r w:rsidRPr="005A3EF3">
              <w:rPr>
                <w:rFonts w:eastAsia="Arial"/>
                <w:b/>
                <w:bCs/>
                <w:kern w:val="3"/>
                <w:lang w:eastAsia="zh-CN" w:bidi="hi-IN"/>
              </w:rPr>
              <w:t>Витрати за</w:t>
            </w:r>
          </w:p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b/>
                <w:bCs/>
                <w:kern w:val="3"/>
                <w:lang w:eastAsia="zh-CN" w:bidi="hi-IN"/>
              </w:rPr>
            </w:pPr>
            <w:r w:rsidRPr="005A3EF3">
              <w:rPr>
                <w:rFonts w:eastAsia="Arial"/>
                <w:b/>
                <w:bCs/>
                <w:kern w:val="3"/>
                <w:lang w:eastAsia="zh-CN" w:bidi="hi-IN"/>
              </w:rPr>
              <w:t>три роки</w:t>
            </w:r>
          </w:p>
        </w:tc>
      </w:tr>
      <w:tr w:rsidR="00784988" w:rsidRPr="005A3EF3" w:rsidTr="004A3A56">
        <w:tc>
          <w:tcPr>
            <w:tcW w:w="949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b/>
                <w:bCs/>
                <w:color w:val="FF0000"/>
                <w:kern w:val="3"/>
                <w:lang w:eastAsia="zh-CN" w:bidi="hi-IN"/>
              </w:rPr>
            </w:pPr>
            <w:r w:rsidRPr="005A3EF3">
              <w:rPr>
                <w:rFonts w:eastAsia="Arial"/>
                <w:b/>
                <w:bCs/>
                <w:kern w:val="3"/>
                <w:lang w:eastAsia="zh-CN" w:bidi="hi-IN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784988" w:rsidRPr="005A3EF3" w:rsidTr="004A3A56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</w:tr>
      <w:tr w:rsidR="00784988" w:rsidRPr="005A3EF3" w:rsidTr="004A3A56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</w:tr>
      <w:tr w:rsidR="00784988" w:rsidRPr="005A3EF3" w:rsidTr="004A3A56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Calibri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</w:tr>
      <w:tr w:rsidR="00784988" w:rsidRPr="005A3EF3" w:rsidTr="004A3A56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</w:tr>
      <w:tr w:rsidR="00784988" w:rsidRPr="005A3EF3" w:rsidTr="004A3A56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5.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lang w:eastAsia="uk-UA"/>
              </w:rPr>
              <w:t>Витрати</w:t>
            </w:r>
            <w:r w:rsidRPr="005A3EF3">
              <w:rPr>
                <w:lang w:val="ru-RU" w:eastAsia="uk-UA"/>
              </w:rPr>
              <w:t xml:space="preserve"> </w:t>
            </w:r>
            <w:r w:rsidRPr="005A3EF3">
              <w:rPr>
                <w:color w:val="000000"/>
              </w:rPr>
              <w:t>на ознайомлення учасників освітнього процесу із умовами Порядку;</w:t>
            </w:r>
            <w:r w:rsidRPr="005A3EF3">
              <w:rPr>
                <w:color w:val="000000"/>
                <w:lang w:val="ru-RU"/>
              </w:rPr>
              <w:t xml:space="preserve"> </w:t>
            </w:r>
            <w:r w:rsidRPr="005A3EF3">
              <w:rPr>
                <w:color w:val="000000"/>
              </w:rPr>
              <w:t>проведення інформаційно-роз’яснювальної роботи. оприлюднення  нормативного акт</w:t>
            </w:r>
            <w:r w:rsidRPr="005A3EF3">
              <w:rPr>
                <w:color w:val="000000"/>
                <w:lang w:val="ru-RU"/>
              </w:rPr>
              <w:t>а</w:t>
            </w:r>
            <w:r w:rsidRPr="005A3EF3">
              <w:rPr>
                <w:color w:val="000000"/>
              </w:rPr>
              <w:t>.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4988" w:rsidRPr="005A3EF3" w:rsidRDefault="00784988" w:rsidP="005A3EF3">
            <w:pPr>
              <w:tabs>
                <w:tab w:val="left" w:pos="851"/>
              </w:tabs>
              <w:jc w:val="center"/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 Unicode MS"/>
                <w:lang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</w:tr>
      <w:tr w:rsidR="00784988" w:rsidRPr="005A3EF3" w:rsidTr="004A3A56"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6.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 xml:space="preserve">Разом, гривень </w:t>
            </w:r>
            <w:r w:rsidRPr="005A3EF3">
              <w:rPr>
                <w:rFonts w:eastAsia="Arial"/>
                <w:kern w:val="3"/>
                <w:lang w:eastAsia="zh-CN" w:bidi="hi-IN"/>
              </w:rPr>
              <w:br/>
              <w:t>Формула:</w:t>
            </w:r>
          </w:p>
          <w:p w:rsidR="00784988" w:rsidRPr="005A3EF3" w:rsidRDefault="00784988" w:rsidP="005A3EF3">
            <w:pPr>
              <w:suppressAutoHyphens/>
              <w:autoSpaceDN w:val="0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 xml:space="preserve">(сума рядків 1+2+3+4+5) 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4988" w:rsidRPr="005A3EF3" w:rsidRDefault="00B6015F" w:rsidP="005A3EF3">
            <w:pPr>
              <w:tabs>
                <w:tab w:val="left" w:pos="851"/>
              </w:tabs>
              <w:jc w:val="center"/>
            </w:pPr>
            <w:r w:rsidRPr="005A3EF3">
              <w:rPr>
                <w:rFonts w:eastAsia="Arial"/>
                <w:kern w:val="3"/>
                <w:lang w:eastAsia="zh-CN" w:bidi="hi-IN"/>
              </w:rPr>
              <w:t>н</w:t>
            </w:r>
            <w:r w:rsidR="00784988" w:rsidRPr="005A3EF3">
              <w:rPr>
                <w:rFonts w:eastAsia="Arial"/>
                <w:kern w:val="3"/>
                <w:lang w:eastAsia="zh-CN" w:bidi="hi-IN"/>
              </w:rPr>
              <w:t>е</w:t>
            </w:r>
            <w:r w:rsidRPr="005A3EF3">
              <w:rPr>
                <w:rFonts w:eastAsia="Arial"/>
                <w:kern w:val="3"/>
                <w:lang w:eastAsia="zh-CN" w:bidi="hi-IN"/>
              </w:rPr>
              <w:t xml:space="preserve"> </w:t>
            </w:r>
            <w:r w:rsidR="00784988" w:rsidRPr="005A3EF3">
              <w:rPr>
                <w:rFonts w:eastAsia="Arial"/>
                <w:kern w:val="3"/>
                <w:lang w:eastAsia="zh-CN" w:bidi="hi-IN"/>
              </w:rPr>
              <w:t>передбачені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 Unicode MS"/>
                <w:lang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4988" w:rsidRPr="005A3EF3" w:rsidRDefault="00B6015F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н</w:t>
            </w:r>
            <w:r w:rsidR="00784988" w:rsidRPr="005A3EF3">
              <w:rPr>
                <w:rFonts w:eastAsia="Arial"/>
                <w:kern w:val="3"/>
                <w:lang w:eastAsia="zh-CN" w:bidi="hi-IN"/>
              </w:rPr>
              <w:t>е</w:t>
            </w:r>
            <w:r w:rsidRPr="005A3EF3">
              <w:rPr>
                <w:rFonts w:eastAsia="Arial"/>
                <w:kern w:val="3"/>
                <w:lang w:eastAsia="zh-CN" w:bidi="hi-IN"/>
              </w:rPr>
              <w:t xml:space="preserve"> </w:t>
            </w:r>
            <w:r w:rsidR="00784988" w:rsidRPr="005A3EF3">
              <w:rPr>
                <w:rFonts w:eastAsia="Arial"/>
                <w:kern w:val="3"/>
                <w:lang w:eastAsia="zh-CN" w:bidi="hi-IN"/>
              </w:rPr>
              <w:t>передбачені</w:t>
            </w:r>
          </w:p>
        </w:tc>
      </w:tr>
      <w:tr w:rsidR="00784988" w:rsidRPr="005A3EF3" w:rsidTr="004A3A5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B6015F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н</w:t>
            </w:r>
            <w:r w:rsidR="00784988" w:rsidRPr="005A3EF3">
              <w:rPr>
                <w:rFonts w:eastAsia="Arial"/>
                <w:kern w:val="3"/>
                <w:lang w:eastAsia="zh-CN" w:bidi="hi-IN"/>
              </w:rPr>
              <w:t>е</w:t>
            </w:r>
            <w:r w:rsidRPr="005A3EF3">
              <w:rPr>
                <w:rFonts w:eastAsia="Arial"/>
                <w:kern w:val="3"/>
                <w:lang w:eastAsia="zh-CN" w:bidi="hi-IN"/>
              </w:rPr>
              <w:t xml:space="preserve"> </w:t>
            </w:r>
            <w:r w:rsidR="00784988" w:rsidRPr="005A3EF3">
              <w:rPr>
                <w:rFonts w:eastAsia="Arial"/>
                <w:kern w:val="3"/>
                <w:lang w:eastAsia="zh-CN" w:bidi="hi-IN"/>
              </w:rPr>
              <w:t>передбачені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не передбачені</w:t>
            </w:r>
          </w:p>
        </w:tc>
      </w:tr>
      <w:tr w:rsidR="00784988" w:rsidRPr="005A3EF3" w:rsidTr="004A3A56">
        <w:trPr>
          <w:trHeight w:val="2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8.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rPr>
                <w:rFonts w:eastAsia="Arial"/>
                <w:b/>
                <w:kern w:val="3"/>
                <w:lang w:eastAsia="zh-CN" w:bidi="hi-IN"/>
              </w:rPr>
            </w:pPr>
            <w:r w:rsidRPr="005A3EF3">
              <w:rPr>
                <w:rFonts w:eastAsia="Arial"/>
                <w:b/>
                <w:kern w:val="3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tabs>
                <w:tab w:val="left" w:pos="851"/>
              </w:tabs>
              <w:jc w:val="center"/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 Unicode MS"/>
                <w:lang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 Unicode MS"/>
                <w:lang w:bidi="uk-UA"/>
              </w:rPr>
              <w:t xml:space="preserve">не передбачені  </w:t>
            </w:r>
          </w:p>
        </w:tc>
      </w:tr>
      <w:tr w:rsidR="00784988" w:rsidRPr="005A3EF3" w:rsidTr="004A3A56">
        <w:tc>
          <w:tcPr>
            <w:tcW w:w="9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b/>
                <w:bCs/>
                <w:kern w:val="3"/>
                <w:lang w:eastAsia="zh-CN" w:bidi="hi-IN"/>
              </w:rPr>
            </w:pPr>
            <w:r w:rsidRPr="005A3EF3">
              <w:rPr>
                <w:rFonts w:eastAsia="Arial"/>
                <w:b/>
                <w:bCs/>
                <w:kern w:val="3"/>
                <w:lang w:eastAsia="zh-CN" w:bidi="hi-IN"/>
              </w:rPr>
              <w:lastRenderedPageBreak/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784988" w:rsidRPr="005A3EF3" w:rsidTr="004A3A56"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9.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Процедури отримання первинної інформації про вимоги регулювання.</w:t>
            </w:r>
          </w:p>
          <w:p w:rsidR="00784988" w:rsidRPr="005A3EF3" w:rsidRDefault="00784988" w:rsidP="005A3EF3">
            <w:pPr>
              <w:suppressAutoHyphens/>
              <w:autoSpaceDN w:val="0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bidi="hi-IN"/>
              </w:rPr>
              <w:t xml:space="preserve">Формула: витрати часу  на отримання необхідних форм та заявок </w:t>
            </w:r>
            <w:r w:rsidRPr="005A3EF3">
              <w:t>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не передбачені</w:t>
            </w:r>
          </w:p>
        </w:tc>
      </w:tr>
      <w:tr w:rsidR="00784988" w:rsidRPr="005A3EF3" w:rsidTr="004A3A56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10.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tabs>
                <w:tab w:val="left" w:pos="851"/>
              </w:tabs>
              <w:rPr>
                <w:rFonts w:eastAsia="Arial Unicode MS"/>
                <w:lang w:eastAsia="uk-UA" w:bidi="uk-UA"/>
              </w:rPr>
            </w:pPr>
            <w:r w:rsidRPr="005A3EF3">
              <w:rPr>
                <w:rFonts w:eastAsia="Arial Unicode MS"/>
                <w:lang w:eastAsia="uk-UA" w:bidi="uk-UA"/>
              </w:rPr>
              <w:t>Процедури організації виконання вимог регулювання.</w:t>
            </w:r>
          </w:p>
          <w:p w:rsidR="00784988" w:rsidRPr="005A3EF3" w:rsidRDefault="00784988" w:rsidP="005A3EF3">
            <w:pPr>
              <w:tabs>
                <w:tab w:val="left" w:pos="851"/>
              </w:tabs>
              <w:rPr>
                <w:rFonts w:eastAsia="Arial Unicode MS"/>
                <w:lang w:eastAsia="uk-UA" w:bidi="uk-UA"/>
              </w:rPr>
            </w:pPr>
            <w:r w:rsidRPr="005A3EF3">
              <w:rPr>
                <w:rFonts w:eastAsia="Arial Unicode MS"/>
                <w:lang w:eastAsia="uk-UA" w:bidi="uk-UA"/>
              </w:rPr>
              <w:t>Формула:</w:t>
            </w:r>
          </w:p>
          <w:p w:rsidR="00784988" w:rsidRPr="005A3EF3" w:rsidRDefault="00784988" w:rsidP="005A3EF3">
            <w:pPr>
              <w:tabs>
                <w:tab w:val="left" w:pos="851"/>
              </w:tabs>
              <w:rPr>
                <w:rFonts w:eastAsia="Arial Unicode MS"/>
                <w:lang w:eastAsia="uk-UA" w:bidi="uk-UA"/>
              </w:rPr>
            </w:pPr>
            <w:r w:rsidRPr="005A3EF3">
              <w:rPr>
                <w:rFonts w:eastAsia="Arial Unicode MS"/>
                <w:lang w:eastAsia="uk-UA" w:bidi="uk-UA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не передбачені</w:t>
            </w:r>
          </w:p>
        </w:tc>
      </w:tr>
      <w:tr w:rsidR="00784988" w:rsidRPr="005A3EF3" w:rsidTr="004A3A56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11.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Процедури офіційного звітування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</w:tr>
      <w:tr w:rsidR="00784988" w:rsidRPr="005A3EF3" w:rsidTr="004A3A56">
        <w:tc>
          <w:tcPr>
            <w:tcW w:w="620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12.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Процедури щодо забезпечення процесу перевірок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</w:tr>
      <w:tr w:rsidR="00784988" w:rsidRPr="005A3EF3" w:rsidTr="004A3A56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13.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color w:val="000000"/>
              </w:rPr>
              <w:t xml:space="preserve">Ознайомлення учасників освітнього процесу із Положенням; проведення інформаційно-роз’яснювальної роботи; оприлюднення  нормативного </w:t>
            </w:r>
            <w:proofErr w:type="spellStart"/>
            <w:r w:rsidRPr="005A3EF3">
              <w:rPr>
                <w:color w:val="000000"/>
              </w:rPr>
              <w:t>акта</w:t>
            </w:r>
            <w:proofErr w:type="spellEnd"/>
            <w:r w:rsidRPr="005A3EF3">
              <w:rPr>
                <w:color w:val="000000"/>
              </w:rPr>
              <w:t xml:space="preserve">. 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1 год х 48 грн/год х  1151 закладів = 55248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1 год х 48 грн/год х  1151 закладів = 55248 грн</w:t>
            </w:r>
          </w:p>
        </w:tc>
      </w:tr>
      <w:tr w:rsidR="00784988" w:rsidRPr="005A3EF3" w:rsidTr="004A3A56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14.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val="ru-RU" w:bidi="uk-UA"/>
              </w:rPr>
            </w:pPr>
            <w:r w:rsidRPr="005A3EF3">
              <w:rPr>
                <w:rFonts w:eastAsia="Arial Unicode MS"/>
                <w:lang w:val="ru-RU" w:bidi="uk-UA"/>
              </w:rPr>
              <w:t xml:space="preserve">не </w:t>
            </w:r>
            <w:proofErr w:type="spellStart"/>
            <w:r w:rsidRPr="005A3EF3">
              <w:rPr>
                <w:rFonts w:eastAsia="Arial Unicode MS"/>
                <w:lang w:val="ru-RU" w:bidi="uk-UA"/>
              </w:rPr>
              <w:t>передбачені</w:t>
            </w:r>
            <w:proofErr w:type="spellEnd"/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bidi="uk-UA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</w:tr>
      <w:tr w:rsidR="00784988" w:rsidRPr="005A3EF3" w:rsidTr="004A3A56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15.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Разом, гривень</w:t>
            </w:r>
          </w:p>
          <w:p w:rsidR="00784988" w:rsidRPr="005A3EF3" w:rsidRDefault="00784988" w:rsidP="005A3EF3">
            <w:pPr>
              <w:suppressAutoHyphens/>
              <w:autoSpaceDN w:val="0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Формула:</w:t>
            </w:r>
          </w:p>
          <w:p w:rsidR="00784988" w:rsidRPr="005A3EF3" w:rsidRDefault="00784988" w:rsidP="005A3EF3">
            <w:pPr>
              <w:suppressAutoHyphens/>
              <w:autoSpaceDN w:val="0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(сума рядків 9+10+11+12+13)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eastAsia="uk-UA" w:bidi="uk-UA"/>
              </w:rPr>
            </w:pPr>
            <w:r w:rsidRPr="005A3EF3">
              <w:rPr>
                <w:rFonts w:eastAsia="Arial Unicode MS"/>
                <w:lang w:bidi="uk-UA"/>
              </w:rPr>
              <w:t>55248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4988" w:rsidRPr="005A3EF3" w:rsidRDefault="00784988" w:rsidP="005A3EF3">
            <w:pPr>
              <w:widowControl w:val="0"/>
              <w:ind w:left="-54"/>
              <w:jc w:val="center"/>
              <w:rPr>
                <w:rFonts w:eastAsia="Arial Unicode MS"/>
                <w:lang w:eastAsia="uk-UA" w:bidi="uk-UA"/>
              </w:rPr>
            </w:pPr>
            <w:r w:rsidRPr="005A3EF3">
              <w:rPr>
                <w:rFonts w:eastAsia="Arial Unicode MS"/>
                <w:lang w:bidi="uk-UA"/>
              </w:rPr>
              <w:t>55248 грн</w:t>
            </w:r>
          </w:p>
        </w:tc>
      </w:tr>
      <w:tr w:rsidR="00784988" w:rsidRPr="005A3EF3" w:rsidTr="004A3A56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16.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4988" w:rsidRPr="005A3EF3" w:rsidRDefault="00784988" w:rsidP="005A3EF3">
            <w:pPr>
              <w:suppressAutoHyphens/>
              <w:autoSpaceDN w:val="0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"/>
                <w:kern w:val="3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4988" w:rsidRPr="005A3EF3" w:rsidRDefault="00784988" w:rsidP="005A3EF3">
            <w:pPr>
              <w:widowControl w:val="0"/>
              <w:jc w:val="center"/>
              <w:rPr>
                <w:rFonts w:eastAsia="Arial Unicode MS"/>
                <w:lang w:eastAsia="uk-UA" w:bidi="uk-UA"/>
              </w:rPr>
            </w:pPr>
            <w:r w:rsidRPr="005A3EF3">
              <w:rPr>
                <w:rFonts w:eastAsia="Arial Unicode MS"/>
                <w:lang w:bidi="uk-UA"/>
              </w:rPr>
              <w:t>55248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4988" w:rsidRPr="005A3EF3" w:rsidRDefault="00784988" w:rsidP="005A3EF3">
            <w:pPr>
              <w:suppressAutoHyphens/>
              <w:autoSpaceDN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5A3EF3">
              <w:rPr>
                <w:rFonts w:eastAsia="Arial Unicode MS"/>
                <w:lang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4988" w:rsidRPr="005A3EF3" w:rsidRDefault="00784988" w:rsidP="005A3EF3">
            <w:pPr>
              <w:widowControl w:val="0"/>
              <w:ind w:left="-54"/>
              <w:jc w:val="center"/>
              <w:rPr>
                <w:rFonts w:eastAsia="Arial Unicode MS"/>
                <w:lang w:eastAsia="uk-UA" w:bidi="uk-UA"/>
              </w:rPr>
            </w:pPr>
            <w:r w:rsidRPr="005A3EF3">
              <w:rPr>
                <w:rFonts w:eastAsia="Arial Unicode MS"/>
                <w:lang w:bidi="uk-UA"/>
              </w:rPr>
              <w:t>55248 грн</w:t>
            </w:r>
          </w:p>
        </w:tc>
      </w:tr>
    </w:tbl>
    <w:p w:rsidR="00784988" w:rsidRPr="005A3EF3" w:rsidRDefault="00784988" w:rsidP="005A3EF3">
      <w:pPr>
        <w:tabs>
          <w:tab w:val="left" w:pos="851"/>
        </w:tabs>
        <w:jc w:val="both"/>
        <w:rPr>
          <w:color w:val="FF0000"/>
          <w:sz w:val="28"/>
          <w:szCs w:val="28"/>
        </w:rPr>
      </w:pPr>
    </w:p>
    <w:p w:rsidR="00784988" w:rsidRPr="005A3EF3" w:rsidRDefault="00784988" w:rsidP="005A3EF3">
      <w:pPr>
        <w:tabs>
          <w:tab w:val="left" w:pos="851"/>
        </w:tabs>
        <w:rPr>
          <w:b/>
          <w:sz w:val="28"/>
          <w:szCs w:val="28"/>
          <w:lang w:val="ru-RU"/>
        </w:rPr>
      </w:pPr>
    </w:p>
    <w:p w:rsidR="00F27574" w:rsidRDefault="00F27574" w:rsidP="005A3EF3">
      <w:pPr>
        <w:tabs>
          <w:tab w:val="left" w:pos="851"/>
        </w:tabs>
        <w:jc w:val="center"/>
        <w:rPr>
          <w:b/>
          <w:sz w:val="28"/>
          <w:szCs w:val="28"/>
        </w:rPr>
      </w:pPr>
    </w:p>
    <w:p w:rsidR="00784988" w:rsidRPr="005A3EF3" w:rsidRDefault="00784988" w:rsidP="005A3EF3">
      <w:pPr>
        <w:tabs>
          <w:tab w:val="left" w:pos="851"/>
        </w:tabs>
        <w:jc w:val="center"/>
        <w:rPr>
          <w:b/>
          <w:sz w:val="28"/>
          <w:szCs w:val="28"/>
        </w:rPr>
      </w:pPr>
      <w:r w:rsidRPr="005A3EF3">
        <w:rPr>
          <w:b/>
          <w:sz w:val="28"/>
          <w:szCs w:val="28"/>
        </w:rPr>
        <w:t>Бюджетні витрати на адміністрування регулювання суб’єктів малого підприємництва</w:t>
      </w:r>
    </w:p>
    <w:p w:rsidR="00784988" w:rsidRPr="005A3EF3" w:rsidRDefault="00784988" w:rsidP="005A3EF3">
      <w:pPr>
        <w:tabs>
          <w:tab w:val="left" w:pos="851"/>
        </w:tabs>
        <w:jc w:val="both"/>
        <w:rPr>
          <w:sz w:val="28"/>
          <w:szCs w:val="28"/>
        </w:rPr>
      </w:pPr>
    </w:p>
    <w:p w:rsidR="00784988" w:rsidRPr="005A3EF3" w:rsidRDefault="00784988" w:rsidP="005A3EF3">
      <w:pPr>
        <w:tabs>
          <w:tab w:val="left" w:pos="851"/>
        </w:tabs>
        <w:jc w:val="both"/>
        <w:rPr>
          <w:b/>
          <w:sz w:val="28"/>
          <w:szCs w:val="28"/>
        </w:rPr>
      </w:pPr>
      <w:r w:rsidRPr="005A3EF3">
        <w:rPr>
          <w:sz w:val="28"/>
          <w:szCs w:val="28"/>
        </w:rPr>
        <w:tab/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784988" w:rsidRPr="005A3EF3" w:rsidRDefault="00784988" w:rsidP="005A3EF3">
      <w:pPr>
        <w:ind w:firstLine="450"/>
        <w:jc w:val="both"/>
        <w:rPr>
          <w:sz w:val="28"/>
          <w:szCs w:val="28"/>
          <w:lang w:eastAsia="uk-UA"/>
        </w:rPr>
      </w:pPr>
      <w:r w:rsidRPr="005A3EF3">
        <w:rPr>
          <w:sz w:val="28"/>
          <w:szCs w:val="28"/>
          <w:lang w:eastAsia="uk-UA"/>
        </w:rPr>
        <w:t>Бюджетні витрати органів державної влади чи органів місцевого самоврядування для реалізації положень акт</w:t>
      </w:r>
      <w:r w:rsidRPr="005A3EF3">
        <w:rPr>
          <w:sz w:val="28"/>
          <w:szCs w:val="28"/>
          <w:lang w:val="ru-RU" w:eastAsia="uk-UA"/>
        </w:rPr>
        <w:t>а</w:t>
      </w:r>
      <w:r w:rsidRPr="005A3EF3">
        <w:rPr>
          <w:sz w:val="28"/>
          <w:szCs w:val="28"/>
          <w:lang w:eastAsia="uk-UA"/>
        </w:rPr>
        <w:t xml:space="preserve"> не передбачені.</w:t>
      </w:r>
    </w:p>
    <w:p w:rsidR="00784988" w:rsidRPr="005A3EF3" w:rsidRDefault="00784988" w:rsidP="005A3EF3">
      <w:pPr>
        <w:tabs>
          <w:tab w:val="left" w:pos="851"/>
        </w:tabs>
        <w:jc w:val="center"/>
        <w:rPr>
          <w:b/>
          <w:sz w:val="28"/>
          <w:szCs w:val="28"/>
          <w:lang w:val="ru-RU"/>
        </w:rPr>
      </w:pPr>
      <w:bookmarkStart w:id="13" w:name="n213"/>
      <w:bookmarkEnd w:id="13"/>
    </w:p>
    <w:p w:rsidR="00784988" w:rsidRPr="005A3EF3" w:rsidRDefault="00784988" w:rsidP="005A3EF3">
      <w:pPr>
        <w:tabs>
          <w:tab w:val="left" w:pos="851"/>
        </w:tabs>
        <w:jc w:val="center"/>
        <w:rPr>
          <w:b/>
          <w:sz w:val="28"/>
          <w:szCs w:val="28"/>
        </w:rPr>
      </w:pPr>
      <w:r w:rsidRPr="005A3EF3">
        <w:rPr>
          <w:b/>
          <w:sz w:val="28"/>
          <w:szCs w:val="28"/>
        </w:rPr>
        <w:t>4. Розрахунок сумарних витрат суб’єктів малого підприємництва, що виникають на виконання вимог регулювання</w:t>
      </w:r>
    </w:p>
    <w:p w:rsidR="00784988" w:rsidRPr="005A3EF3" w:rsidRDefault="00784988" w:rsidP="005A3EF3">
      <w:pPr>
        <w:widowControl w:val="0"/>
        <w:ind w:firstLine="709"/>
        <w:jc w:val="both"/>
        <w:rPr>
          <w:color w:val="FF0000"/>
          <w:sz w:val="28"/>
          <w:szCs w:val="28"/>
          <w:lang w:eastAsia="uk-UA" w:bidi="uk-UA"/>
        </w:rPr>
      </w:pPr>
    </w:p>
    <w:tbl>
      <w:tblPr>
        <w:tblStyle w:val="14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693"/>
        <w:gridCol w:w="1985"/>
      </w:tblGrid>
      <w:tr w:rsidR="00784988" w:rsidRPr="005A3EF3" w:rsidTr="004A3A56">
        <w:tc>
          <w:tcPr>
            <w:tcW w:w="568" w:type="dxa"/>
          </w:tcPr>
          <w:p w:rsidR="00784988" w:rsidRPr="005A3EF3" w:rsidRDefault="00784988" w:rsidP="005A3EF3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5A3EF3">
              <w:rPr>
                <w:rFonts w:ascii="Times New Roman" w:hAnsi="Times New Roman"/>
              </w:rPr>
              <w:t>№ з/п</w:t>
            </w:r>
          </w:p>
        </w:tc>
        <w:tc>
          <w:tcPr>
            <w:tcW w:w="4536" w:type="dxa"/>
          </w:tcPr>
          <w:p w:rsidR="00784988" w:rsidRPr="005A3EF3" w:rsidRDefault="00784988" w:rsidP="005A3EF3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5A3EF3">
              <w:rPr>
                <w:rFonts w:ascii="Times New Roman" w:hAnsi="Times New Roman"/>
              </w:rPr>
              <w:t>Показник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4988" w:rsidRPr="005A3EF3" w:rsidRDefault="00784988" w:rsidP="005A3EF3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5A3EF3">
              <w:rPr>
                <w:rFonts w:ascii="Times New Roman" w:hAnsi="Times New Roman"/>
              </w:rPr>
              <w:t>Перший рік регулювання (стартовий)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4988" w:rsidRPr="005A3EF3" w:rsidRDefault="00784988" w:rsidP="005A3EF3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5A3EF3">
              <w:rPr>
                <w:rFonts w:ascii="Times New Roman" w:hAnsi="Times New Roman"/>
              </w:rPr>
              <w:t>За п’ять років</w:t>
            </w:r>
          </w:p>
        </w:tc>
      </w:tr>
      <w:tr w:rsidR="00784988" w:rsidRPr="005A3EF3" w:rsidTr="004A3A56">
        <w:tc>
          <w:tcPr>
            <w:tcW w:w="568" w:type="dxa"/>
          </w:tcPr>
          <w:p w:rsidR="00784988" w:rsidRPr="005A3EF3" w:rsidRDefault="00784988" w:rsidP="005A3EF3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5A3EF3">
              <w:rPr>
                <w:rFonts w:ascii="Times New Roman" w:hAnsi="Times New Roman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84988" w:rsidRPr="005A3EF3" w:rsidRDefault="00784988" w:rsidP="005A3EF3">
            <w:pPr>
              <w:tabs>
                <w:tab w:val="left" w:pos="851"/>
              </w:tabs>
              <w:rPr>
                <w:rFonts w:ascii="Times New Roman" w:hAnsi="Times New Roman"/>
              </w:rPr>
            </w:pPr>
            <w:r w:rsidRPr="005A3EF3">
              <w:rPr>
                <w:rFonts w:ascii="Times New Roman" w:hAnsi="Times New Roman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88" w:rsidRPr="005A3EF3" w:rsidRDefault="00784988" w:rsidP="005A3EF3">
            <w:pPr>
              <w:jc w:val="center"/>
              <w:rPr>
                <w:rFonts w:ascii="Times New Roman" w:hAnsi="Times New Roman"/>
                <w:bCs/>
              </w:rPr>
            </w:pPr>
            <w:r w:rsidRPr="005A3EF3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88" w:rsidRPr="005A3EF3" w:rsidRDefault="00784988" w:rsidP="005A3EF3">
            <w:pPr>
              <w:jc w:val="center"/>
              <w:rPr>
                <w:rFonts w:ascii="Times New Roman" w:hAnsi="Times New Roman"/>
                <w:bCs/>
              </w:rPr>
            </w:pPr>
            <w:r w:rsidRPr="005A3EF3">
              <w:rPr>
                <w:rFonts w:ascii="Times New Roman" w:hAnsi="Times New Roman"/>
                <w:bCs/>
              </w:rPr>
              <w:t>-</w:t>
            </w:r>
          </w:p>
        </w:tc>
      </w:tr>
      <w:tr w:rsidR="00784988" w:rsidRPr="005A3EF3" w:rsidTr="004A3A56">
        <w:tc>
          <w:tcPr>
            <w:tcW w:w="568" w:type="dxa"/>
          </w:tcPr>
          <w:p w:rsidR="00784988" w:rsidRPr="005A3EF3" w:rsidRDefault="00784988" w:rsidP="005A3EF3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5A3EF3">
              <w:rPr>
                <w:rFonts w:ascii="Times New Roman" w:hAnsi="Times New Roman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84988" w:rsidRPr="005A3EF3" w:rsidRDefault="00784988" w:rsidP="005A3EF3">
            <w:pPr>
              <w:tabs>
                <w:tab w:val="left" w:pos="851"/>
              </w:tabs>
              <w:rPr>
                <w:rFonts w:ascii="Times New Roman" w:hAnsi="Times New Roman"/>
              </w:rPr>
            </w:pPr>
            <w:r w:rsidRPr="005A3EF3">
              <w:rPr>
                <w:rFonts w:ascii="Times New Roman" w:hAnsi="Times New Roman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88" w:rsidRPr="005A3EF3" w:rsidRDefault="00784988" w:rsidP="005A3EF3">
            <w:pPr>
              <w:jc w:val="center"/>
              <w:rPr>
                <w:rFonts w:ascii="Times New Roman" w:hAnsi="Times New Roman"/>
                <w:bCs/>
              </w:rPr>
            </w:pPr>
            <w:r w:rsidRPr="005A3EF3">
              <w:rPr>
                <w:rFonts w:ascii="Times New Roman" w:eastAsia="Arial Unicode MS" w:hAnsi="Times New Roman"/>
                <w:lang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88" w:rsidRPr="005A3EF3" w:rsidRDefault="00784988" w:rsidP="005A3EF3">
            <w:pPr>
              <w:jc w:val="center"/>
              <w:rPr>
                <w:rFonts w:ascii="Times New Roman" w:eastAsia="Arial Unicode MS" w:hAnsi="Times New Roman"/>
                <w:b/>
                <w:lang w:eastAsia="uk-UA" w:bidi="uk-UA"/>
              </w:rPr>
            </w:pPr>
            <w:r w:rsidRPr="005A3EF3">
              <w:rPr>
                <w:rFonts w:ascii="Times New Roman" w:eastAsia="Arial Unicode MS" w:hAnsi="Times New Roman"/>
                <w:lang w:bidi="uk-UA"/>
              </w:rPr>
              <w:t>-</w:t>
            </w:r>
          </w:p>
        </w:tc>
      </w:tr>
      <w:tr w:rsidR="00784988" w:rsidRPr="005A3EF3" w:rsidTr="004A3A56">
        <w:tc>
          <w:tcPr>
            <w:tcW w:w="568" w:type="dxa"/>
          </w:tcPr>
          <w:p w:rsidR="00784988" w:rsidRPr="005A3EF3" w:rsidRDefault="00784988" w:rsidP="005A3EF3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5A3EF3">
              <w:rPr>
                <w:rFonts w:ascii="Times New Roman" w:hAnsi="Times New Roman"/>
              </w:rPr>
              <w:t>3.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84988" w:rsidRPr="005A3EF3" w:rsidRDefault="00784988" w:rsidP="005A3EF3">
            <w:pPr>
              <w:tabs>
                <w:tab w:val="left" w:pos="851"/>
              </w:tabs>
              <w:rPr>
                <w:rFonts w:ascii="Times New Roman" w:hAnsi="Times New Roman"/>
              </w:rPr>
            </w:pPr>
            <w:r w:rsidRPr="005A3EF3">
              <w:rPr>
                <w:rFonts w:ascii="Times New Roman" w:hAnsi="Times New Roman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88" w:rsidRPr="005A3EF3" w:rsidRDefault="00784988" w:rsidP="005A3EF3">
            <w:pPr>
              <w:jc w:val="center"/>
              <w:rPr>
                <w:rFonts w:ascii="Times New Roman" w:hAnsi="Times New Roman"/>
                <w:i/>
              </w:rPr>
            </w:pPr>
            <w:r w:rsidRPr="005A3EF3">
              <w:rPr>
                <w:rFonts w:ascii="Times New Roman" w:eastAsia="Arial Unicode MS" w:hAnsi="Times New Roman"/>
                <w:lang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88" w:rsidRPr="005A3EF3" w:rsidRDefault="00784988" w:rsidP="005A3EF3">
            <w:pPr>
              <w:jc w:val="center"/>
              <w:rPr>
                <w:rFonts w:ascii="Times New Roman" w:hAnsi="Times New Roman"/>
                <w:i/>
              </w:rPr>
            </w:pPr>
            <w:r w:rsidRPr="005A3EF3">
              <w:rPr>
                <w:rFonts w:ascii="Times New Roman" w:hAnsi="Times New Roman"/>
                <w:bCs/>
              </w:rPr>
              <w:t>-</w:t>
            </w:r>
          </w:p>
        </w:tc>
      </w:tr>
      <w:tr w:rsidR="00784988" w:rsidRPr="005A3EF3" w:rsidTr="004A3A56">
        <w:tc>
          <w:tcPr>
            <w:tcW w:w="568" w:type="dxa"/>
          </w:tcPr>
          <w:p w:rsidR="00784988" w:rsidRPr="005A3EF3" w:rsidRDefault="00784988" w:rsidP="005A3EF3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5A3EF3">
              <w:rPr>
                <w:rFonts w:ascii="Times New Roman" w:hAnsi="Times New Roman"/>
              </w:rPr>
              <w:t>4.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84988" w:rsidRPr="005A3EF3" w:rsidRDefault="00784988" w:rsidP="005A3EF3">
            <w:pPr>
              <w:tabs>
                <w:tab w:val="left" w:pos="851"/>
              </w:tabs>
              <w:rPr>
                <w:rFonts w:ascii="Times New Roman" w:hAnsi="Times New Roman"/>
              </w:rPr>
            </w:pPr>
            <w:r w:rsidRPr="005A3EF3">
              <w:rPr>
                <w:rFonts w:ascii="Times New Roman" w:hAnsi="Times New Roman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988" w:rsidRPr="005A3EF3" w:rsidRDefault="00784988" w:rsidP="005A3EF3">
            <w:pPr>
              <w:jc w:val="center"/>
              <w:rPr>
                <w:rFonts w:ascii="Times New Roman" w:hAnsi="Times New Roman"/>
                <w:bCs/>
              </w:rPr>
            </w:pPr>
            <w:r w:rsidRPr="005A3EF3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88" w:rsidRPr="005A3EF3" w:rsidRDefault="00784988" w:rsidP="005A3EF3">
            <w:pPr>
              <w:jc w:val="center"/>
              <w:rPr>
                <w:rFonts w:ascii="Times New Roman" w:hAnsi="Times New Roman"/>
                <w:bCs/>
              </w:rPr>
            </w:pPr>
            <w:r w:rsidRPr="005A3EF3">
              <w:rPr>
                <w:rFonts w:ascii="Times New Roman" w:hAnsi="Times New Roman"/>
                <w:bCs/>
              </w:rPr>
              <w:t>-</w:t>
            </w:r>
          </w:p>
        </w:tc>
      </w:tr>
      <w:tr w:rsidR="00784988" w:rsidRPr="005A3EF3" w:rsidTr="004A3A56">
        <w:tc>
          <w:tcPr>
            <w:tcW w:w="568" w:type="dxa"/>
          </w:tcPr>
          <w:p w:rsidR="00784988" w:rsidRPr="005A3EF3" w:rsidRDefault="00784988" w:rsidP="005A3EF3">
            <w:pPr>
              <w:tabs>
                <w:tab w:val="left" w:pos="851"/>
              </w:tabs>
              <w:jc w:val="center"/>
              <w:rPr>
                <w:rFonts w:ascii="Times New Roman" w:hAnsi="Times New Roman"/>
              </w:rPr>
            </w:pPr>
            <w:r w:rsidRPr="005A3EF3">
              <w:rPr>
                <w:rFonts w:ascii="Times New Roman" w:hAnsi="Times New Roman"/>
              </w:rPr>
              <w:t>5.</w:t>
            </w:r>
          </w:p>
        </w:tc>
        <w:tc>
          <w:tcPr>
            <w:tcW w:w="4536" w:type="dxa"/>
          </w:tcPr>
          <w:p w:rsidR="00784988" w:rsidRPr="005A3EF3" w:rsidRDefault="00784988" w:rsidP="005A3EF3">
            <w:pPr>
              <w:tabs>
                <w:tab w:val="left" w:pos="851"/>
              </w:tabs>
              <w:rPr>
                <w:rFonts w:ascii="Times New Roman" w:hAnsi="Times New Roman"/>
              </w:rPr>
            </w:pPr>
            <w:r w:rsidRPr="005A3EF3">
              <w:rPr>
                <w:rFonts w:ascii="Times New Roman" w:hAnsi="Times New Roman"/>
              </w:rPr>
              <w:t>Сумарні витрати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988" w:rsidRPr="005A3EF3" w:rsidRDefault="00784988" w:rsidP="005A3EF3">
            <w:pPr>
              <w:jc w:val="center"/>
              <w:rPr>
                <w:rFonts w:ascii="Times New Roman" w:hAnsi="Times New Roman"/>
              </w:rPr>
            </w:pPr>
            <w:r w:rsidRPr="005A3EF3"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88" w:rsidRPr="005A3EF3" w:rsidRDefault="00784988" w:rsidP="005A3EF3">
            <w:pPr>
              <w:jc w:val="center"/>
              <w:rPr>
                <w:rFonts w:ascii="Times New Roman" w:hAnsi="Times New Roman"/>
                <w:b/>
              </w:rPr>
            </w:pPr>
            <w:r w:rsidRPr="005A3EF3">
              <w:rPr>
                <w:rFonts w:ascii="Times New Roman" w:hAnsi="Times New Roman"/>
                <w:bCs/>
              </w:rPr>
              <w:t>-</w:t>
            </w:r>
          </w:p>
        </w:tc>
      </w:tr>
    </w:tbl>
    <w:p w:rsidR="00784988" w:rsidRPr="005A3EF3" w:rsidRDefault="00784988" w:rsidP="005A3EF3">
      <w:pPr>
        <w:widowControl w:val="0"/>
        <w:ind w:firstLine="709"/>
        <w:jc w:val="both"/>
        <w:rPr>
          <w:color w:val="FF0000"/>
          <w:sz w:val="28"/>
          <w:szCs w:val="28"/>
          <w:lang w:eastAsia="uk-UA" w:bidi="uk-UA"/>
        </w:rPr>
      </w:pPr>
    </w:p>
    <w:p w:rsidR="00784988" w:rsidRPr="005A3EF3" w:rsidRDefault="00784988" w:rsidP="005A3EF3">
      <w:pPr>
        <w:widowControl w:val="0"/>
        <w:ind w:firstLine="709"/>
        <w:jc w:val="both"/>
        <w:rPr>
          <w:sz w:val="28"/>
          <w:szCs w:val="28"/>
          <w:lang w:eastAsia="uk-UA"/>
        </w:rPr>
      </w:pPr>
      <w:r w:rsidRPr="005A3EF3">
        <w:rPr>
          <w:sz w:val="28"/>
          <w:szCs w:val="28"/>
          <w:lang w:eastAsia="uk-UA" w:bidi="uk-UA"/>
        </w:rPr>
        <w:t>5. Розроблення коригуючих (пом’якшувальних) заходів для малого підприємництва щодо запропонованого регулювання</w:t>
      </w:r>
    </w:p>
    <w:p w:rsidR="00784988" w:rsidRPr="005A3EF3" w:rsidRDefault="00784988" w:rsidP="005A3EF3">
      <w:pPr>
        <w:widowControl w:val="0"/>
        <w:ind w:firstLine="709"/>
        <w:jc w:val="both"/>
        <w:rPr>
          <w:rFonts w:eastAsia="Arial Unicode MS"/>
          <w:color w:val="FF0000"/>
          <w:sz w:val="28"/>
          <w:szCs w:val="28"/>
          <w:lang w:eastAsia="uk-UA" w:bidi="uk-UA"/>
        </w:rPr>
      </w:pPr>
      <w:r w:rsidRPr="005A3EF3">
        <w:rPr>
          <w:sz w:val="28"/>
          <w:szCs w:val="28"/>
          <w:lang w:eastAsia="uk-UA" w:bidi="uk-UA"/>
        </w:rPr>
        <w:t>Запропоноване регулювання планується без розроблення компенсаторів (коригуючих (пом’якшувальних) заходів) для малого підприємництва.</w:t>
      </w:r>
    </w:p>
    <w:p w:rsidR="00784988" w:rsidRDefault="00784988" w:rsidP="00784988"/>
    <w:p w:rsidR="00BD1F89" w:rsidRPr="00F27574" w:rsidRDefault="00F27574" w:rsidP="007206EE">
      <w:pPr>
        <w:tabs>
          <w:tab w:val="left" w:pos="567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____________________________</w:t>
      </w:r>
      <w:bookmarkStart w:id="14" w:name="_GoBack"/>
      <w:bookmarkEnd w:id="14"/>
      <w:r>
        <w:rPr>
          <w:b/>
          <w:sz w:val="28"/>
          <w:szCs w:val="28"/>
          <w:lang w:val="en-US"/>
        </w:rPr>
        <w:t>_____________________</w:t>
      </w:r>
    </w:p>
    <w:sectPr w:rsidR="00BD1F89" w:rsidRPr="00F27574" w:rsidSect="009D5226">
      <w:headerReference w:type="default" r:id="rId10"/>
      <w:pgSz w:w="11906" w:h="16838"/>
      <w:pgMar w:top="1134" w:right="709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866" w:rsidRDefault="00306866">
      <w:r>
        <w:separator/>
      </w:r>
    </w:p>
  </w:endnote>
  <w:endnote w:type="continuationSeparator" w:id="0">
    <w:p w:rsidR="00306866" w:rsidRDefault="0030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866" w:rsidRDefault="00306866">
      <w:r>
        <w:separator/>
      </w:r>
    </w:p>
  </w:footnote>
  <w:footnote w:type="continuationSeparator" w:id="0">
    <w:p w:rsidR="00306866" w:rsidRDefault="0030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011" w:rsidRDefault="001970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120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7206EE">
      <w:rPr>
        <w:noProof/>
        <w:color w:val="000000"/>
        <w:sz w:val="28"/>
        <w:szCs w:val="28"/>
      </w:rPr>
      <w:t>12</w:t>
    </w:r>
    <w:r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F16"/>
    <w:multiLevelType w:val="multilevel"/>
    <w:tmpl w:val="9480867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266E05"/>
    <w:multiLevelType w:val="multilevel"/>
    <w:tmpl w:val="FC66A0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70FFD"/>
    <w:multiLevelType w:val="multilevel"/>
    <w:tmpl w:val="0EEA9A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B5A"/>
    <w:multiLevelType w:val="multilevel"/>
    <w:tmpl w:val="5B122BF2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6E2C14"/>
    <w:multiLevelType w:val="hybridMultilevel"/>
    <w:tmpl w:val="56C2B2CC"/>
    <w:lvl w:ilvl="0" w:tplc="9A0C6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A228C"/>
    <w:multiLevelType w:val="multilevel"/>
    <w:tmpl w:val="38E893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89"/>
    <w:rsid w:val="00197011"/>
    <w:rsid w:val="002677F7"/>
    <w:rsid w:val="00306866"/>
    <w:rsid w:val="003250CB"/>
    <w:rsid w:val="004720B7"/>
    <w:rsid w:val="005A3EF3"/>
    <w:rsid w:val="00704E07"/>
    <w:rsid w:val="007206EE"/>
    <w:rsid w:val="00784988"/>
    <w:rsid w:val="00784BAA"/>
    <w:rsid w:val="00826569"/>
    <w:rsid w:val="00986490"/>
    <w:rsid w:val="009A13C2"/>
    <w:rsid w:val="009C221C"/>
    <w:rsid w:val="009D4CB5"/>
    <w:rsid w:val="009D5226"/>
    <w:rsid w:val="00A829A6"/>
    <w:rsid w:val="00B6015F"/>
    <w:rsid w:val="00BD1F89"/>
    <w:rsid w:val="00E87AC0"/>
    <w:rsid w:val="00F2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3506"/>
  <w15:docId w15:val="{2E6DDC66-03F5-463D-8D39-82A3E3D6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FD"/>
    <w:rPr>
      <w:lang w:eastAsia="ru-RU"/>
    </w:rPr>
  </w:style>
  <w:style w:type="paragraph" w:styleId="1">
    <w:name w:val="heading 1"/>
    <w:basedOn w:val="a"/>
    <w:next w:val="a"/>
    <w:link w:val="10"/>
    <w:qFormat/>
    <w:rsid w:val="00F62FFD"/>
    <w:pPr>
      <w:keepNext/>
      <w:keepLines/>
      <w:jc w:val="center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F62F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qFormat/>
    <w:rsid w:val="00F62FFD"/>
    <w:pPr>
      <w:keepNext/>
      <w:keepLines/>
      <w:spacing w:before="40" w:line="276" w:lineRule="auto"/>
      <w:outlineLvl w:val="2"/>
    </w:pPr>
    <w:rPr>
      <w:color w:val="243F60" w:themeColor="accent1" w:themeShade="7F"/>
      <w:lang w:eastAsia="en-US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qFormat/>
    <w:rsid w:val="00F62FFD"/>
    <w:rPr>
      <w:rFonts w:ascii="Calibri" w:hAnsi="Calibri"/>
      <w:sz w:val="22"/>
    </w:rPr>
  </w:style>
  <w:style w:type="paragraph" w:styleId="HTML">
    <w:name w:val="HTML Preformatted"/>
    <w:basedOn w:val="a"/>
    <w:link w:val="HTML0"/>
    <w:rsid w:val="00F62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uiPriority w:val="99"/>
    <w:rsid w:val="00F62FF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F62FF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F62FFD"/>
    <w:pPr>
      <w:spacing w:before="100" w:beforeAutospacing="1" w:after="100" w:afterAutospacing="1"/>
    </w:pPr>
  </w:style>
  <w:style w:type="paragraph" w:styleId="aa">
    <w:name w:val="List Paragraph"/>
    <w:basedOn w:val="a"/>
    <w:link w:val="ab"/>
    <w:uiPriority w:val="34"/>
    <w:qFormat/>
    <w:rsid w:val="00F62F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vps2">
    <w:name w:val="rvps2"/>
    <w:basedOn w:val="a"/>
    <w:rsid w:val="00F62FFD"/>
    <w:pPr>
      <w:spacing w:before="100" w:beforeAutospacing="1" w:after="100" w:afterAutospacing="1"/>
    </w:pPr>
    <w:rPr>
      <w:lang w:eastAsia="uk-UA"/>
    </w:rPr>
  </w:style>
  <w:style w:type="paragraph" w:customStyle="1" w:styleId="rvps21">
    <w:name w:val="rvps21"/>
    <w:basedOn w:val="a"/>
    <w:rsid w:val="00F62FFD"/>
    <w:pPr>
      <w:spacing w:after="125"/>
      <w:ind w:firstLine="376"/>
      <w:jc w:val="both"/>
    </w:pPr>
  </w:style>
  <w:style w:type="paragraph" w:customStyle="1" w:styleId="rvps6">
    <w:name w:val="rvps6"/>
    <w:basedOn w:val="a"/>
    <w:rsid w:val="00F62FFD"/>
    <w:pPr>
      <w:spacing w:before="100" w:beforeAutospacing="1" w:after="100" w:afterAutospacing="1"/>
    </w:pPr>
    <w:rPr>
      <w:lang w:eastAsia="uk-UA"/>
    </w:rPr>
  </w:style>
  <w:style w:type="paragraph" w:customStyle="1" w:styleId="11">
    <w:name w:val="Без інтервалів1"/>
    <w:rsid w:val="00F62FFD"/>
    <w:rPr>
      <w:rFonts w:ascii="Calibri" w:hAnsi="Calibri"/>
      <w:sz w:val="22"/>
    </w:rPr>
  </w:style>
  <w:style w:type="paragraph" w:styleId="ac">
    <w:name w:val="Balloon Text"/>
    <w:basedOn w:val="a"/>
    <w:link w:val="ad"/>
    <w:semiHidden/>
    <w:rsid w:val="00F62FFD"/>
    <w:rPr>
      <w:rFonts w:ascii="Segoe UI" w:hAnsi="Segoe UI"/>
      <w:sz w:val="18"/>
      <w:szCs w:val="18"/>
    </w:rPr>
  </w:style>
  <w:style w:type="paragraph" w:styleId="12">
    <w:name w:val="toc 1"/>
    <w:basedOn w:val="a"/>
    <w:next w:val="a"/>
    <w:rsid w:val="00F62FFD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rvps12">
    <w:name w:val="rvps12"/>
    <w:basedOn w:val="a"/>
    <w:rsid w:val="00F62FFD"/>
    <w:pPr>
      <w:spacing w:before="100" w:beforeAutospacing="1" w:after="100" w:afterAutospacing="1"/>
    </w:pPr>
    <w:rPr>
      <w:lang w:eastAsia="uk-UA"/>
    </w:rPr>
  </w:style>
  <w:style w:type="paragraph" w:styleId="ae">
    <w:name w:val="footnote text"/>
    <w:basedOn w:val="a"/>
    <w:link w:val="af"/>
    <w:semiHidden/>
    <w:rsid w:val="00F62FFD"/>
    <w:rPr>
      <w:rFonts w:ascii="Calibri" w:hAnsi="Calibri"/>
      <w:sz w:val="20"/>
      <w:szCs w:val="20"/>
      <w:lang w:eastAsia="en-US"/>
    </w:rPr>
  </w:style>
  <w:style w:type="paragraph" w:customStyle="1" w:styleId="Standard">
    <w:name w:val="Standard"/>
    <w:rsid w:val="00F62FFD"/>
    <w:pPr>
      <w:suppressAutoHyphens/>
      <w:spacing w:line="276" w:lineRule="auto"/>
    </w:pPr>
    <w:rPr>
      <w:rFonts w:ascii="Arial" w:hAnsi="Arial"/>
      <w:color w:val="000000"/>
      <w:kern w:val="3"/>
      <w:sz w:val="22"/>
      <w:lang w:val="en-US" w:eastAsia="zh-CN" w:bidi="hi-IN"/>
    </w:rPr>
  </w:style>
  <w:style w:type="paragraph" w:styleId="af0">
    <w:name w:val="endnote text"/>
    <w:link w:val="af1"/>
    <w:semiHidden/>
    <w:rsid w:val="00F62FFD"/>
    <w:rPr>
      <w:sz w:val="20"/>
      <w:szCs w:val="20"/>
    </w:rPr>
  </w:style>
  <w:style w:type="character" w:styleId="af2">
    <w:name w:val="line number"/>
    <w:basedOn w:val="a0"/>
    <w:semiHidden/>
    <w:rsid w:val="00F62FFD"/>
  </w:style>
  <w:style w:type="character" w:styleId="af3">
    <w:name w:val="Hyperlink"/>
    <w:basedOn w:val="a0"/>
    <w:rsid w:val="00F62F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2FFD"/>
  </w:style>
  <w:style w:type="character" w:customStyle="1" w:styleId="HTML0">
    <w:name w:val="Стандартний HTML Знак"/>
    <w:basedOn w:val="a0"/>
    <w:link w:val="HTML"/>
    <w:rsid w:val="00F62FFD"/>
    <w:rPr>
      <w:rFonts w:ascii="Courier New" w:hAnsi="Courier New"/>
      <w:sz w:val="20"/>
      <w:szCs w:val="20"/>
      <w:lang w:eastAsia="ru-RU"/>
    </w:rPr>
  </w:style>
  <w:style w:type="character" w:customStyle="1" w:styleId="a6">
    <w:name w:val="Верхній колонтитул Знак"/>
    <w:basedOn w:val="a0"/>
    <w:link w:val="a5"/>
    <w:uiPriority w:val="99"/>
    <w:rsid w:val="00F62FFD"/>
    <w:rPr>
      <w:rFonts w:ascii="Calibri" w:hAnsi="Calibri"/>
      <w:sz w:val="22"/>
      <w:lang w:val="uk-UA"/>
    </w:rPr>
  </w:style>
  <w:style w:type="character" w:customStyle="1" w:styleId="a8">
    <w:name w:val="Нижній колонтитул Знак"/>
    <w:basedOn w:val="a0"/>
    <w:link w:val="a7"/>
    <w:rsid w:val="00F62FFD"/>
    <w:rPr>
      <w:rFonts w:ascii="Calibri" w:hAnsi="Calibri"/>
      <w:sz w:val="22"/>
      <w:lang w:val="uk-UA"/>
    </w:rPr>
  </w:style>
  <w:style w:type="character" w:customStyle="1" w:styleId="20">
    <w:name w:val="Заголовок 2 Знак"/>
    <w:basedOn w:val="a0"/>
    <w:link w:val="2"/>
    <w:rsid w:val="00F62FFD"/>
    <w:rPr>
      <w:b/>
      <w:bCs/>
      <w:sz w:val="36"/>
      <w:szCs w:val="36"/>
      <w:lang w:eastAsia="ru-RU"/>
    </w:rPr>
  </w:style>
  <w:style w:type="character" w:customStyle="1" w:styleId="rvts44">
    <w:name w:val="rvts44"/>
    <w:basedOn w:val="a0"/>
    <w:rsid w:val="00F62FFD"/>
  </w:style>
  <w:style w:type="character" w:customStyle="1" w:styleId="FontStyle44">
    <w:name w:val="Font Style44"/>
    <w:rsid w:val="00F62FFD"/>
    <w:rPr>
      <w:rFonts w:ascii="Times New Roman" w:hAnsi="Times New Roman"/>
      <w:sz w:val="24"/>
      <w:szCs w:val="24"/>
    </w:rPr>
  </w:style>
  <w:style w:type="character" w:customStyle="1" w:styleId="ad">
    <w:name w:val="Текст у виносці Знак"/>
    <w:basedOn w:val="a0"/>
    <w:link w:val="ac"/>
    <w:semiHidden/>
    <w:rsid w:val="00F62FFD"/>
    <w:rPr>
      <w:rFonts w:ascii="Segoe UI" w:hAnsi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rsid w:val="00F62FFD"/>
    <w:rPr>
      <w:b/>
      <w:bCs/>
      <w:szCs w:val="28"/>
      <w:lang w:val="uk-UA"/>
    </w:rPr>
  </w:style>
  <w:style w:type="character" w:styleId="af4">
    <w:name w:val="Strong"/>
    <w:basedOn w:val="a0"/>
    <w:qFormat/>
    <w:rsid w:val="00F62FFD"/>
    <w:rPr>
      <w:b/>
      <w:bCs/>
    </w:rPr>
  </w:style>
  <w:style w:type="character" w:customStyle="1" w:styleId="30">
    <w:name w:val="Заголовок 3 Знак"/>
    <w:basedOn w:val="a0"/>
    <w:link w:val="3"/>
    <w:semiHidden/>
    <w:rsid w:val="00F62FFD"/>
    <w:rPr>
      <w:color w:val="243F60" w:themeColor="accent1" w:themeShade="7F"/>
      <w:sz w:val="24"/>
      <w:szCs w:val="24"/>
      <w:lang w:val="uk-UA"/>
    </w:rPr>
  </w:style>
  <w:style w:type="character" w:customStyle="1" w:styleId="rvts9">
    <w:name w:val="rvts9"/>
    <w:basedOn w:val="a0"/>
    <w:rsid w:val="00F62FFD"/>
  </w:style>
  <w:style w:type="character" w:customStyle="1" w:styleId="af">
    <w:name w:val="Текст виноски Знак"/>
    <w:basedOn w:val="a0"/>
    <w:link w:val="ae"/>
    <w:semiHidden/>
    <w:rsid w:val="00F62FFD"/>
    <w:rPr>
      <w:rFonts w:ascii="Calibri" w:hAnsi="Calibri"/>
      <w:sz w:val="20"/>
      <w:szCs w:val="20"/>
      <w:lang w:val="uk-UA"/>
    </w:rPr>
  </w:style>
  <w:style w:type="character" w:styleId="af5">
    <w:name w:val="footnote reference"/>
    <w:basedOn w:val="a0"/>
    <w:semiHidden/>
    <w:rsid w:val="00F62FFD"/>
    <w:rPr>
      <w:vertAlign w:val="superscript"/>
    </w:rPr>
  </w:style>
  <w:style w:type="character" w:customStyle="1" w:styleId="rvts0">
    <w:name w:val="rvts0"/>
    <w:basedOn w:val="a0"/>
    <w:rsid w:val="00F62FFD"/>
  </w:style>
  <w:style w:type="character" w:customStyle="1" w:styleId="FootnoteTextChar">
    <w:name w:val="Footnote Text Char"/>
    <w:semiHidden/>
    <w:rsid w:val="00F62FFD"/>
    <w:rPr>
      <w:sz w:val="20"/>
      <w:szCs w:val="20"/>
    </w:rPr>
  </w:style>
  <w:style w:type="character" w:styleId="af6">
    <w:name w:val="endnote reference"/>
    <w:semiHidden/>
    <w:rsid w:val="00F62FFD"/>
    <w:rPr>
      <w:vertAlign w:val="superscript"/>
    </w:rPr>
  </w:style>
  <w:style w:type="character" w:customStyle="1" w:styleId="af1">
    <w:name w:val="Текст кінцевої виноски Знак"/>
    <w:link w:val="af0"/>
    <w:semiHidden/>
    <w:rsid w:val="00F62FFD"/>
    <w:rPr>
      <w:sz w:val="20"/>
      <w:szCs w:val="20"/>
    </w:rPr>
  </w:style>
  <w:style w:type="table" w:styleId="13">
    <w:name w:val="Table Simple 1"/>
    <w:basedOn w:val="a1"/>
    <w:rsid w:val="00F62F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uiPriority w:val="59"/>
    <w:rsid w:val="00F62F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Сітка таблиці1"/>
    <w:basedOn w:val="a1"/>
    <w:uiPriority w:val="39"/>
    <w:rsid w:val="00F62FFD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1896"/>
    <w:pPr>
      <w:autoSpaceDE w:val="0"/>
      <w:autoSpaceDN w:val="0"/>
      <w:adjustRightInd w:val="0"/>
    </w:pPr>
    <w:rPr>
      <w:color w:val="000000"/>
    </w:rPr>
  </w:style>
  <w:style w:type="paragraph" w:customStyle="1" w:styleId="15">
    <w:name w:val="Абзац списка1"/>
    <w:basedOn w:val="a"/>
    <w:qFormat/>
    <w:rsid w:val="00DF3ADA"/>
    <w:pPr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0"/>
      <w:lang w:eastAsia="uk-UA"/>
    </w:rPr>
  </w:style>
  <w:style w:type="paragraph" w:customStyle="1" w:styleId="16">
    <w:name w:val="Обычный1"/>
    <w:qFormat/>
    <w:rsid w:val="007F229D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Calibri" w:eastAsia="Calibri" w:hAnsi="Calibri" w:cs="Calibri"/>
      <w:sz w:val="22"/>
      <w:szCs w:val="20"/>
    </w:rPr>
  </w:style>
  <w:style w:type="paragraph" w:customStyle="1" w:styleId="17">
    <w:name w:val="Верхний колонтитул1"/>
    <w:basedOn w:val="16"/>
    <w:rsid w:val="00A50A6D"/>
    <w:pPr>
      <w:tabs>
        <w:tab w:val="center" w:pos="4819"/>
        <w:tab w:val="right" w:pos="9639"/>
      </w:tabs>
      <w:spacing w:line="240" w:lineRule="auto"/>
    </w:pPr>
  </w:style>
  <w:style w:type="paragraph" w:customStyle="1" w:styleId="Textbody">
    <w:name w:val="Text body"/>
    <w:basedOn w:val="Standard"/>
    <w:rsid w:val="00EF0807"/>
    <w:pPr>
      <w:autoSpaceDN w:val="0"/>
      <w:spacing w:after="140" w:line="288" w:lineRule="auto"/>
      <w:textAlignment w:val="baseline"/>
    </w:pPr>
    <w:rPr>
      <w:rFonts w:eastAsia="Arial" w:cs="Arial"/>
    </w:rPr>
  </w:style>
  <w:style w:type="paragraph" w:customStyle="1" w:styleId="TableContents">
    <w:name w:val="Table Contents"/>
    <w:basedOn w:val="Standard"/>
    <w:rsid w:val="00DF5416"/>
    <w:pPr>
      <w:autoSpaceDN w:val="0"/>
      <w:textAlignment w:val="baseline"/>
    </w:pPr>
    <w:rPr>
      <w:rFonts w:eastAsia="Arial" w:cs="Arial"/>
    </w:rPr>
  </w:style>
  <w:style w:type="character" w:customStyle="1" w:styleId="ab">
    <w:name w:val="Абзац списку Знак"/>
    <w:link w:val="aa"/>
    <w:uiPriority w:val="34"/>
    <w:rsid w:val="00DF5416"/>
    <w:rPr>
      <w:rFonts w:ascii="Calibri" w:hAnsi="Calibri"/>
      <w:sz w:val="22"/>
      <w:lang w:val="uk-UA"/>
    </w:rPr>
  </w:style>
  <w:style w:type="character" w:customStyle="1" w:styleId="fontstyle01">
    <w:name w:val="fontstyle01"/>
    <w:rsid w:val="00DF5416"/>
    <w:rPr>
      <w:rFonts w:ascii="TimesNewRomanPS-BoldMT" w:hAnsi="TimesNewRomanPS-BoldMT" w:hint="default"/>
      <w:b/>
      <w:bCs/>
      <w:i w:val="0"/>
      <w:iCs w:val="0"/>
      <w:color w:val="333333"/>
      <w:sz w:val="24"/>
      <w:szCs w:val="24"/>
    </w:rPr>
  </w:style>
  <w:style w:type="character" w:customStyle="1" w:styleId="ng-binding">
    <w:name w:val="ng-binding"/>
    <w:basedOn w:val="a0"/>
    <w:rsid w:val="003C5261"/>
  </w:style>
  <w:style w:type="paragraph" w:customStyle="1" w:styleId="rvps14">
    <w:name w:val="rvps14"/>
    <w:basedOn w:val="a"/>
    <w:rsid w:val="008E2FF0"/>
    <w:pPr>
      <w:spacing w:before="100" w:beforeAutospacing="1" w:after="100" w:afterAutospacing="1"/>
    </w:pPr>
    <w:rPr>
      <w:lang w:eastAsia="uk-UA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eop">
    <w:name w:val="eop"/>
    <w:basedOn w:val="a0"/>
    <w:rsid w:val="009D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on.gov.ua/news/mon-proponuie-dlia-hromadskoho-obhovorennia-proiekt-polozhennia-pro-pochesni-zvannia-narodnyi-khudozhnii-kolektyv-i-zrazkovyi-khudozhnii-kolekty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+4Xakvaj/ky8jjIhZ63SnGq4Tw==">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56D28A-55DC-4AC7-85D4-E7EABF51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13</Pages>
  <Words>15923</Words>
  <Characters>9077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Клясен Наталія</cp:lastModifiedBy>
  <cp:revision>5</cp:revision>
  <cp:lastPrinted>2025-04-28T11:46:00Z</cp:lastPrinted>
  <dcterms:created xsi:type="dcterms:W3CDTF">2025-04-18T05:00:00Z</dcterms:created>
  <dcterms:modified xsi:type="dcterms:W3CDTF">2025-05-14T12:41:00Z</dcterms:modified>
</cp:coreProperties>
</file>