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E"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АНАЛІЗ РЕГУЛЯТОРНОГО ВПЛИВУ</w:t>
      </w:r>
    </w:p>
    <w:p w:rsidR="009C0407"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 xml:space="preserve">проєкту Закону України «Про внесення змін до деяких законів України </w:t>
      </w:r>
    </w:p>
    <w:p w:rsid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(щодо створення передумов для модернізації мережі закладів освіти)»</w:t>
      </w:r>
    </w:p>
    <w:p w:rsidR="009C0407" w:rsidRDefault="009C0407" w:rsidP="009C0407">
      <w:pPr>
        <w:spacing w:after="0"/>
        <w:jc w:val="both"/>
        <w:rPr>
          <w:rFonts w:ascii="Times New Roman" w:hAnsi="Times New Roman" w:cs="Times New Roman"/>
          <w:b/>
          <w:sz w:val="28"/>
          <w:szCs w:val="28"/>
        </w:rPr>
      </w:pPr>
    </w:p>
    <w:p w:rsidR="009C0407" w:rsidRDefault="009C0407" w:rsidP="009C0407">
      <w:pPr>
        <w:spacing w:after="0"/>
        <w:jc w:val="center"/>
        <w:rPr>
          <w:rFonts w:ascii="Times New Roman" w:hAnsi="Times New Roman" w:cs="Times New Roman"/>
          <w:b/>
          <w:sz w:val="28"/>
          <w:szCs w:val="28"/>
        </w:rPr>
      </w:pPr>
      <w:r>
        <w:rPr>
          <w:rFonts w:ascii="Times New Roman" w:hAnsi="Times New Roman" w:cs="Times New Roman"/>
          <w:b/>
          <w:sz w:val="28"/>
          <w:szCs w:val="28"/>
        </w:rPr>
        <w:t>І. Визначення проблеми</w:t>
      </w:r>
    </w:p>
    <w:p w:rsidR="009C0407" w:rsidRPr="009C0407" w:rsidRDefault="009C0407" w:rsidP="009C0407">
      <w:pPr>
        <w:spacing w:after="0"/>
        <w:jc w:val="both"/>
        <w:rPr>
          <w:rFonts w:ascii="Times New Roman" w:hAnsi="Times New Roman" w:cs="Times New Roman"/>
          <w:sz w:val="28"/>
          <w:szCs w:val="28"/>
        </w:rPr>
      </w:pPr>
    </w:p>
    <w:p w:rsidR="00D240A6" w:rsidRPr="00796D25"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lang w:val="uk-UA"/>
        </w:rPr>
        <w:t xml:space="preserve">Мережа закладів вищої освіти в Україні є великою за кількістю закладів та широкою за географічним розташуванням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без урахування відокремлених структурних підрозділів на початок повномасштабного вторгнення на 1 млн. населення припадало близько семи закладів вищої освіти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університетів, академій та інститутів. Демографічні тенденції скорочення кількості вступників, починаючи з кінця нульових років, посилювали концентрацію здобувачів вищої освіти у невеликій кількості провідних закладів вищої освіти мм. Києва, Львова та Харкова. Проблема скорочення контингенту погіршувалася дублюванням напрямів підготовки, що призводило до розпорошення вступників серед закладів в межах одного невеликого міста, утворення неповних академічних груп та, відповідно, до перенавантаження </w:t>
      </w:r>
      <w:r w:rsidRPr="00796D25">
        <w:rPr>
          <w:rFonts w:ascii="Times New Roman" w:hAnsi="Times New Roman" w:cs="Times New Roman"/>
          <w:color w:val="000000" w:themeColor="text1"/>
          <w:sz w:val="28"/>
          <w:szCs w:val="28"/>
          <w:shd w:val="clear" w:color="auto" w:fill="FFFFFF"/>
          <w:lang w:val="uk-UA"/>
        </w:rPr>
        <w:t>наукового, науково-педагогічних та</w:t>
      </w:r>
      <w:r w:rsidRPr="00796D25">
        <w:rPr>
          <w:rFonts w:ascii="Times New Roman" w:hAnsi="Times New Roman" w:cs="Times New Roman"/>
          <w:color w:val="000000" w:themeColor="text1"/>
          <w:sz w:val="28"/>
          <w:szCs w:val="28"/>
          <w:shd w:val="clear" w:color="auto" w:fill="FFFFFF"/>
          <w:lang w:val="ru-RU"/>
        </w:rPr>
        <w:t xml:space="preserve"> </w:t>
      </w:r>
      <w:r w:rsidRPr="00796D25">
        <w:rPr>
          <w:rFonts w:ascii="Times New Roman" w:hAnsi="Times New Roman" w:cs="Times New Roman"/>
          <w:color w:val="000000" w:themeColor="text1"/>
          <w:sz w:val="28"/>
          <w:szCs w:val="28"/>
          <w:shd w:val="clear" w:color="auto" w:fill="FFFFFF"/>
          <w:lang w:val="uk-UA"/>
        </w:rPr>
        <w:t>педагогічних працівників. Обмежен</w:t>
      </w:r>
      <w:r>
        <w:rPr>
          <w:rFonts w:ascii="Times New Roman" w:hAnsi="Times New Roman" w:cs="Times New Roman"/>
          <w:color w:val="000000" w:themeColor="text1"/>
          <w:sz w:val="28"/>
          <w:szCs w:val="28"/>
          <w:shd w:val="clear" w:color="auto" w:fill="FFFFFF"/>
          <w:lang w:val="uk-UA"/>
        </w:rPr>
        <w:t>ня</w:t>
      </w:r>
      <w:r w:rsidRPr="00796D25">
        <w:rPr>
          <w:rFonts w:ascii="Times New Roman" w:hAnsi="Times New Roman" w:cs="Times New Roman"/>
          <w:color w:val="000000" w:themeColor="text1"/>
          <w:sz w:val="28"/>
          <w:szCs w:val="28"/>
          <w:shd w:val="clear" w:color="auto" w:fill="FFFFFF"/>
          <w:lang w:val="uk-UA"/>
        </w:rPr>
        <w:t xml:space="preserve">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 Наявна проблема вимагає стратегічних та системних кроків щодо її вирішення, які мають очевидну прерогативу у порівнянні із ситуативними та поодинокими кейсами щодо реорганізації окремих конкретних закладів освіти.</w:t>
      </w:r>
    </w:p>
    <w:p w:rsidR="00D240A6" w:rsidRPr="00796D25"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shd w:val="clear" w:color="auto" w:fill="FFFFFF"/>
          <w:lang w:val="uk-UA"/>
        </w:rPr>
        <w:t xml:space="preserve">Законодавчі підвалини модернізації мережі закладів вищої освіти відповідно до законопроєкту охоплюють декілька її системоутворюючих елементів: </w:t>
      </w:r>
      <w:r w:rsidRPr="00796D25">
        <w:rPr>
          <w:rFonts w:ascii="Times New Roman" w:hAnsi="Times New Roman" w:cs="Times New Roman"/>
          <w:color w:val="000000" w:themeColor="text1"/>
          <w:sz w:val="28"/>
          <w:lang w:val="uk-UA"/>
        </w:rPr>
        <w:t>територіально відокремлені структурні підрозділи, органи управління, коледжі як заклади вищої освіти, фахові коледжі в структурі закладів вищої освіти та умови набору на освітньо-наукові програми третього рівня освіти.</w:t>
      </w:r>
    </w:p>
    <w:p w:rsidR="00D240A6" w:rsidRPr="00796D25"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lang w:val="uk-UA"/>
        </w:rPr>
      </w:pPr>
      <w:r w:rsidRPr="00796D25">
        <w:rPr>
          <w:rFonts w:ascii="Times New Roman" w:hAnsi="Times New Roman" w:cs="Times New Roman"/>
          <w:color w:val="000000" w:themeColor="text1"/>
          <w:sz w:val="28"/>
          <w:lang w:val="uk-UA"/>
        </w:rPr>
        <w:t xml:space="preserve">Найбільш суперечливою частиною системи вищої освіти є територіально відокремлені структурні підрозділи (ТВСП) закладів вищої освіти. Їх створення було виправдано наближенням освітніх послуг до місця проживання здобувачів освіти. Сучасний розвиток інформаційних технологій та досвід організації дистанційного навчання в 2020-2023 роках довели доступність освітніх послуг закладів вищої освіти в будь-якій точці України та світу. Коледжі в системі вищої освіти не отримали значного поширення порівняно з закладами фахової передвищої освіти. </w:t>
      </w:r>
      <w:r w:rsidRPr="00C925FB">
        <w:rPr>
          <w:rFonts w:ascii="Times New Roman" w:hAnsi="Times New Roman" w:cs="Times New Roman"/>
          <w:color w:val="000000" w:themeColor="text1"/>
          <w:sz w:val="28"/>
          <w:lang w:val="uk-UA"/>
        </w:rPr>
        <w:t xml:space="preserve">Більшість ТВСП і коледжів є невеликими, дублюють </w:t>
      </w:r>
      <w:r w:rsidRPr="00C925FB">
        <w:rPr>
          <w:rFonts w:ascii="Times New Roman" w:hAnsi="Times New Roman" w:cs="Times New Roman"/>
          <w:color w:val="000000" w:themeColor="text1"/>
          <w:sz w:val="28"/>
          <w:lang w:val="uk-UA"/>
        </w:rPr>
        <w:lastRenderedPageBreak/>
        <w:t xml:space="preserve">спеціальності місцевих закладів вищої освіти та мають обмежені кадрові і матеріально-технічні ресурси для забезпечення високої якості вищої освіти. </w:t>
      </w:r>
      <w:r w:rsidRPr="00C925FB">
        <w:rPr>
          <w:rFonts w:ascii="Times New Roman" w:hAnsi="Times New Roman" w:cs="Times New Roman"/>
          <w:color w:val="000000" w:themeColor="text1"/>
          <w:sz w:val="28"/>
          <w:szCs w:val="28"/>
          <w:shd w:val="clear" w:color="auto" w:fill="FFFFFF"/>
          <w:lang w:val="uk-UA"/>
        </w:rPr>
        <w:t xml:space="preserve">Для вирішення цієї проблеми в законопроєкті пропонується </w:t>
      </w:r>
      <w:r w:rsidRPr="00C925FB">
        <w:rPr>
          <w:rFonts w:ascii="Times New Roman" w:hAnsi="Times New Roman" w:cs="Times New Roman"/>
          <w:color w:val="000000" w:themeColor="text1"/>
          <w:sz w:val="28"/>
          <w:lang w:val="uk-UA"/>
        </w:rPr>
        <w:t>реорганізація або припинення ТВСП, які здійснюють освітню діяльність у сфері вищої та фахової передвищої освіти, з одно-дворічним перехідним періодом, що дозволить трансформувати найбільш розвинені ТВСП і коледжі в самостійні та відповідальні університети, академії чи інститути, решту трансформувати в заклади фахової передвищої освіти, приєднати до місцевих ЗВО або припинити</w:t>
      </w:r>
      <w:r w:rsidR="00506147" w:rsidRPr="00C925FB">
        <w:rPr>
          <w:rFonts w:ascii="Times New Roman" w:hAnsi="Times New Roman" w:cs="Times New Roman"/>
          <w:color w:val="000000" w:themeColor="text1"/>
          <w:sz w:val="28"/>
          <w:lang w:val="uk-UA"/>
        </w:rPr>
        <w:t xml:space="preserve"> їх </w:t>
      </w:r>
      <w:r w:rsidR="00E35251" w:rsidRPr="00C925FB">
        <w:rPr>
          <w:rFonts w:ascii="Times New Roman" w:hAnsi="Times New Roman" w:cs="Times New Roman"/>
          <w:color w:val="000000" w:themeColor="text1"/>
          <w:sz w:val="28"/>
          <w:lang w:val="uk-UA"/>
        </w:rPr>
        <w:t>діяльність</w:t>
      </w:r>
      <w:r w:rsidRPr="00C925FB">
        <w:rPr>
          <w:rFonts w:ascii="Times New Roman" w:hAnsi="Times New Roman" w:cs="Times New Roman"/>
          <w:color w:val="000000" w:themeColor="text1"/>
          <w:sz w:val="28"/>
          <w:lang w:val="uk-UA"/>
        </w:rPr>
        <w:t>.</w:t>
      </w:r>
    </w:p>
    <w:p w:rsidR="00D240A6" w:rsidRPr="008816AB" w:rsidRDefault="00D240A6" w:rsidP="00ED421B">
      <w:pPr>
        <w:spacing w:after="0"/>
        <w:ind w:firstLine="709"/>
        <w:jc w:val="both"/>
        <w:rPr>
          <w:rFonts w:ascii="Times New Roman" w:hAnsi="Times New Roman" w:cs="Times New Roman"/>
          <w:sz w:val="28"/>
        </w:rPr>
      </w:pPr>
      <w:r w:rsidRPr="00C925FB">
        <w:rPr>
          <w:rFonts w:ascii="Times New Roman" w:hAnsi="Times New Roman" w:cs="Times New Roman"/>
          <w:sz w:val="28"/>
        </w:rPr>
        <w:t>На початок 202</w:t>
      </w:r>
      <w:r w:rsidR="00C925FB" w:rsidRPr="00C925FB">
        <w:rPr>
          <w:rFonts w:ascii="Times New Roman" w:hAnsi="Times New Roman" w:cs="Times New Roman"/>
          <w:sz w:val="28"/>
        </w:rPr>
        <w:t>4</w:t>
      </w:r>
      <w:r w:rsidRPr="00C925FB">
        <w:rPr>
          <w:rFonts w:ascii="Times New Roman" w:hAnsi="Times New Roman" w:cs="Times New Roman"/>
          <w:sz w:val="28"/>
        </w:rPr>
        <w:t xml:space="preserve"> року</w:t>
      </w:r>
      <w:r w:rsidRPr="008816AB">
        <w:rPr>
          <w:rFonts w:ascii="Times New Roman" w:hAnsi="Times New Roman" w:cs="Times New Roman"/>
          <w:sz w:val="28"/>
        </w:rPr>
        <w:t xml:space="preserve"> в Україні налічувалось </w:t>
      </w:r>
      <w:r w:rsidRPr="00021BDE">
        <w:rPr>
          <w:rFonts w:ascii="Times New Roman" w:hAnsi="Times New Roman" w:cs="Times New Roman"/>
          <w:sz w:val="28"/>
        </w:rPr>
        <w:t>47</w:t>
      </w:r>
      <w:r w:rsidR="00453FF9">
        <w:rPr>
          <w:rFonts w:ascii="Times New Roman" w:hAnsi="Times New Roman" w:cs="Times New Roman"/>
          <w:sz w:val="28"/>
        </w:rPr>
        <w:t>2</w:t>
      </w:r>
      <w:r w:rsidRPr="008816AB">
        <w:rPr>
          <w:rFonts w:ascii="Times New Roman" w:hAnsi="Times New Roman" w:cs="Times New Roman"/>
          <w:sz w:val="28"/>
        </w:rPr>
        <w:t xml:space="preserve"> суб’єкт</w:t>
      </w:r>
      <w:r w:rsidR="00453FF9">
        <w:rPr>
          <w:rFonts w:ascii="Times New Roman" w:hAnsi="Times New Roman" w:cs="Times New Roman"/>
          <w:sz w:val="28"/>
        </w:rPr>
        <w:t>и</w:t>
      </w:r>
      <w:r w:rsidRPr="008816AB">
        <w:rPr>
          <w:rFonts w:ascii="Times New Roman" w:hAnsi="Times New Roman" w:cs="Times New Roman"/>
          <w:sz w:val="28"/>
        </w:rPr>
        <w:t xml:space="preserve">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 і 4 ТВСП ЗВО із специфічними умовами навчання. Середня чисельність здобувачів, які навчаються на базі одного ТВСП – 385 осіб (державного ТВСП – 448, приватного – 230). Така кількість здобувачів позначається на навантаженні викладачів, оскільки в середньому тільки 7 здобувач</w:t>
      </w:r>
      <w:r w:rsidR="00E35251">
        <w:rPr>
          <w:rFonts w:ascii="Times New Roman" w:hAnsi="Times New Roman" w:cs="Times New Roman"/>
          <w:sz w:val="28"/>
        </w:rPr>
        <w:t>ів припадає на одного викладача</w:t>
      </w:r>
      <w:r w:rsidRPr="008816AB">
        <w:rPr>
          <w:rFonts w:ascii="Times New Roman" w:hAnsi="Times New Roman" w:cs="Times New Roman"/>
          <w:sz w:val="28"/>
        </w:rPr>
        <w:t xml:space="preserve">, що не може не впливати на якість освіти та створення освітнього простору для навчання. Щодо ситуації з коледжами, слід зазначити, що в цих закладах вищої освіти здобувають освіту 2,5 тис. здобувачів, зокрема вищу освіту </w:t>
      </w:r>
      <w:r w:rsidR="00BA6B78">
        <w:rPr>
          <w:rFonts w:ascii="Times New Roman" w:hAnsi="Times New Roman" w:cs="Times New Roman"/>
          <w:sz w:val="28"/>
        </w:rPr>
        <w:t>–</w:t>
      </w:r>
      <w:r w:rsidRPr="008816AB">
        <w:rPr>
          <w:rFonts w:ascii="Times New Roman" w:hAnsi="Times New Roman" w:cs="Times New Roman"/>
          <w:sz w:val="28"/>
        </w:rPr>
        <w:t xml:space="preserve"> 43 %, фахову передвищу – 57 % контингенту здобувачів (в державних коледжах частка здобувачів вищої освіти є меншою – 39%).</w:t>
      </w:r>
    </w:p>
    <w:p w:rsidR="00D240A6" w:rsidRPr="00D240A6" w:rsidRDefault="00D240A6" w:rsidP="00ED421B">
      <w:pPr>
        <w:spacing w:after="0"/>
        <w:ind w:firstLine="709"/>
        <w:jc w:val="both"/>
        <w:rPr>
          <w:rFonts w:ascii="Times New Roman" w:hAnsi="Times New Roman" w:cs="Times New Roman"/>
          <w:sz w:val="28"/>
        </w:rPr>
      </w:pPr>
      <w:r w:rsidRPr="008816AB">
        <w:rPr>
          <w:rFonts w:ascii="Times New Roman" w:hAnsi="Times New Roman" w:cs="Times New Roman"/>
          <w:sz w:val="28"/>
        </w:rPr>
        <w:t>Створення та функціонування фахових коледжів</w:t>
      </w:r>
      <w:r w:rsidRPr="00D240A6">
        <w:rPr>
          <w:rFonts w:ascii="Times New Roman" w:hAnsi="Times New Roman" w:cs="Times New Roman"/>
          <w:sz w:val="28"/>
        </w:rPr>
        <w:t xml:space="preserve"> за своєю ідеєю передусім має забезпечувати регіональний ринок праці та задовольняти відповідні потреби регіону у підготовці кадрів на основі </w:t>
      </w:r>
      <w:r w:rsidR="00E35251" w:rsidRPr="00D240A6">
        <w:rPr>
          <w:rFonts w:ascii="Times New Roman" w:hAnsi="Times New Roman" w:cs="Times New Roman"/>
          <w:sz w:val="28"/>
        </w:rPr>
        <w:t>практико</w:t>
      </w:r>
      <w:r w:rsidR="00E35251">
        <w:rPr>
          <w:rFonts w:ascii="Times New Roman" w:hAnsi="Times New Roman" w:cs="Times New Roman"/>
          <w:sz w:val="28"/>
        </w:rPr>
        <w:t>-</w:t>
      </w:r>
      <w:r w:rsidR="00E35251" w:rsidRPr="00D240A6">
        <w:rPr>
          <w:rFonts w:ascii="Times New Roman" w:hAnsi="Times New Roman" w:cs="Times New Roman"/>
          <w:sz w:val="28"/>
        </w:rPr>
        <w:t>орієнтованого</w:t>
      </w:r>
      <w:r w:rsidRPr="00D240A6">
        <w:rPr>
          <w:rFonts w:ascii="Times New Roman" w:hAnsi="Times New Roman" w:cs="Times New Roman"/>
          <w:sz w:val="28"/>
        </w:rPr>
        <w:t xml:space="preserve"> навчання. Наявний поділ фахових коледжів на самостійні юридичні особи (</w:t>
      </w:r>
      <w:r w:rsidR="000D7C4E">
        <w:rPr>
          <w:rFonts w:ascii="Times New Roman" w:hAnsi="Times New Roman" w:cs="Times New Roman"/>
          <w:sz w:val="28"/>
        </w:rPr>
        <w:t>362</w:t>
      </w:r>
      <w:r w:rsidRPr="00D240A6">
        <w:rPr>
          <w:rFonts w:ascii="Times New Roman" w:hAnsi="Times New Roman" w:cs="Times New Roman"/>
          <w:sz w:val="28"/>
        </w:rPr>
        <w:t>) та фахові коледжі в структурі університетів (</w:t>
      </w:r>
      <w:r w:rsidR="000D7C4E">
        <w:rPr>
          <w:rFonts w:ascii="Times New Roman" w:hAnsi="Times New Roman" w:cs="Times New Roman"/>
          <w:sz w:val="28"/>
        </w:rPr>
        <w:t>37</w:t>
      </w:r>
      <w:r w:rsidR="00021BDE">
        <w:rPr>
          <w:rFonts w:ascii="Times New Roman" w:hAnsi="Times New Roman" w:cs="Times New Roman"/>
          <w:sz w:val="28"/>
        </w:rPr>
        <w:t>7</w:t>
      </w:r>
      <w:r w:rsidRPr="00D240A6">
        <w:rPr>
          <w:rFonts w:ascii="Times New Roman" w:hAnsi="Times New Roman" w:cs="Times New Roman"/>
          <w:sz w:val="28"/>
        </w:rPr>
        <w:t>)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w:t>
      </w:r>
      <w:r w:rsidR="00715576">
        <w:rPr>
          <w:rFonts w:ascii="Times New Roman" w:hAnsi="Times New Roman" w:cs="Times New Roman"/>
          <w:sz w:val="28"/>
        </w:rPr>
        <w:t>і</w:t>
      </w:r>
      <w:r w:rsidRPr="00D240A6">
        <w:rPr>
          <w:rFonts w:ascii="Times New Roman" w:hAnsi="Times New Roman" w:cs="Times New Roman"/>
          <w:sz w:val="28"/>
        </w:rPr>
        <w:t xml:space="preserve"> закладів вищої та фахової передвищої освіти буде виокремлення фахових коледжів із структури закладів вищої освіти в самостійні юридичні особи з перспективою передачі до комунальної власності. Водночас, виникає необхідність внесення змін до Закону України «Про фахову передвищу освіту» з метою спрощення процедури виокремлення фахових коледжів із структури закладів вищої освіти, зокрема зі статусом національного, в самостійні юридичні особи.</w:t>
      </w:r>
    </w:p>
    <w:p w:rsidR="00D240A6"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lang w:val="uk-UA"/>
        </w:rPr>
        <w:lastRenderedPageBreak/>
        <w:t>Найбільш чисельною складовою системи вищої освіти є цивільні державні заклади вищої освіти</w:t>
      </w:r>
      <w:r w:rsidR="00715576">
        <w:rPr>
          <w:rFonts w:ascii="Times New Roman" w:hAnsi="Times New Roman" w:cs="Times New Roman"/>
          <w:color w:val="000000" w:themeColor="text1"/>
          <w:sz w:val="28"/>
          <w:lang w:val="uk-UA"/>
        </w:rPr>
        <w:t>, я</w:t>
      </w:r>
      <w:r w:rsidRPr="00796D25">
        <w:rPr>
          <w:rFonts w:ascii="Times New Roman" w:hAnsi="Times New Roman" w:cs="Times New Roman"/>
          <w:color w:val="000000" w:themeColor="text1"/>
          <w:sz w:val="28"/>
          <w:lang w:val="uk-UA"/>
        </w:rPr>
        <w:t>ких налічується 172. Саме укрупнення цих закладів має стати центральним пунктом модернізації мережі закладів вищої освіти. Проте, перепоною на цьому шляху є подрібненість між сферами управління різних державних органів, що унеможливлює значну частину трансформацій. Більшість ЗВО знаходиться у сфері управління МОН (1</w:t>
      </w:r>
      <w:r w:rsidR="00BC2AB3">
        <w:rPr>
          <w:rFonts w:ascii="Times New Roman" w:hAnsi="Times New Roman" w:cs="Times New Roman"/>
          <w:color w:val="000000" w:themeColor="text1"/>
          <w:sz w:val="28"/>
          <w:lang w:val="uk-UA"/>
        </w:rPr>
        <w:t>28</w:t>
      </w:r>
      <w:r w:rsidRPr="00796D25">
        <w:rPr>
          <w:rFonts w:ascii="Times New Roman" w:hAnsi="Times New Roman" w:cs="Times New Roman"/>
          <w:color w:val="000000" w:themeColor="text1"/>
          <w:sz w:val="28"/>
          <w:lang w:val="uk-UA"/>
        </w:rPr>
        <w:t>), але власні мережі ЗВО мають також МК</w:t>
      </w:r>
      <w:r w:rsidR="004B4B84">
        <w:rPr>
          <w:rFonts w:ascii="Times New Roman" w:hAnsi="Times New Roman" w:cs="Times New Roman"/>
          <w:color w:val="000000" w:themeColor="text1"/>
          <w:sz w:val="28"/>
          <w:lang w:val="uk-UA"/>
        </w:rPr>
        <w:t>СК</w:t>
      </w:r>
      <w:r w:rsidRPr="00796D25">
        <w:rPr>
          <w:rFonts w:ascii="Times New Roman" w:hAnsi="Times New Roman" w:cs="Times New Roman"/>
          <w:color w:val="000000" w:themeColor="text1"/>
          <w:sz w:val="28"/>
          <w:lang w:val="uk-UA"/>
        </w:rPr>
        <w:t xml:space="preserve"> (13) та МОЗ (1</w:t>
      </w:r>
      <w:r w:rsidR="00BC2AB3">
        <w:rPr>
          <w:rFonts w:ascii="Times New Roman" w:hAnsi="Times New Roman" w:cs="Times New Roman"/>
          <w:color w:val="000000" w:themeColor="text1"/>
          <w:sz w:val="28"/>
          <w:lang w:val="uk-UA"/>
        </w:rPr>
        <w:t>5</w:t>
      </w:r>
      <w:r w:rsidRPr="00796D25">
        <w:rPr>
          <w:rFonts w:ascii="Times New Roman" w:hAnsi="Times New Roman" w:cs="Times New Roman"/>
          <w:color w:val="000000" w:themeColor="text1"/>
          <w:sz w:val="28"/>
          <w:lang w:val="uk-UA"/>
        </w:rPr>
        <w:t>). Окремі заклади вищої освіти знаходяться у сфері управління Міністерства фінансів, Державної служби статистики, Національної академії педагогічних наук. Найкращим рішенням видається 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 уникнення спекулятивних управлінських дій у межах системи, а до цього делегувати цьому органу повноваження щодо внесення до Кабінету Міністрів України пропозицій стосовно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p>
    <w:p w:rsidR="00E702FC" w:rsidRDefault="008A7093" w:rsidP="00ED421B">
      <w:pPr>
        <w:pStyle w:val="a9"/>
        <w:shd w:val="clear" w:color="auto" w:fill="FFFFFF"/>
        <w:spacing w:before="0" w:beforeAutospacing="0" w:after="0" w:afterAutospacing="0" w:line="259" w:lineRule="auto"/>
        <w:ind w:firstLine="709"/>
        <w:jc w:val="both"/>
        <w:rPr>
          <w:color w:val="000000" w:themeColor="text1"/>
          <w:sz w:val="28"/>
        </w:rPr>
      </w:pPr>
      <w:r>
        <w:rPr>
          <w:color w:val="000000" w:themeColor="text1"/>
          <w:sz w:val="28"/>
        </w:rPr>
        <w:t>Наразі мережа</w:t>
      </w:r>
      <w:r w:rsidR="005E3923">
        <w:rPr>
          <w:color w:val="000000" w:themeColor="text1"/>
          <w:sz w:val="28"/>
        </w:rPr>
        <w:t xml:space="preserve"> закладів</w:t>
      </w:r>
      <w:r>
        <w:rPr>
          <w:color w:val="000000" w:themeColor="text1"/>
          <w:sz w:val="28"/>
        </w:rPr>
        <w:t xml:space="preserve"> вищої освіти містить</w:t>
      </w:r>
      <w:r w:rsidR="005E3923">
        <w:rPr>
          <w:color w:val="000000" w:themeColor="text1"/>
          <w:sz w:val="28"/>
        </w:rPr>
        <w:t xml:space="preserve"> </w:t>
      </w:r>
      <w:r w:rsidR="00DA389E">
        <w:rPr>
          <w:color w:val="000000" w:themeColor="text1"/>
          <w:sz w:val="28"/>
        </w:rPr>
        <w:t>ЗВО типу університет (</w:t>
      </w:r>
      <w:r w:rsidR="009A2779">
        <w:rPr>
          <w:color w:val="000000" w:themeColor="text1"/>
          <w:sz w:val="28"/>
        </w:rPr>
        <w:t>63</w:t>
      </w:r>
      <w:r w:rsidR="00DA389E">
        <w:rPr>
          <w:color w:val="000000" w:themeColor="text1"/>
          <w:sz w:val="28"/>
        </w:rPr>
        <w:t>%</w:t>
      </w:r>
      <w:r>
        <w:rPr>
          <w:color w:val="000000" w:themeColor="text1"/>
          <w:sz w:val="28"/>
        </w:rPr>
        <w:t>), академія (</w:t>
      </w:r>
      <w:r w:rsidR="009A2779">
        <w:rPr>
          <w:color w:val="000000" w:themeColor="text1"/>
          <w:sz w:val="28"/>
        </w:rPr>
        <w:t>20</w:t>
      </w:r>
      <w:r w:rsidR="00DA389E">
        <w:rPr>
          <w:color w:val="000000" w:themeColor="text1"/>
          <w:sz w:val="28"/>
        </w:rPr>
        <w:t>%</w:t>
      </w:r>
      <w:r w:rsidR="009A2779">
        <w:rPr>
          <w:color w:val="000000" w:themeColor="text1"/>
          <w:sz w:val="28"/>
        </w:rPr>
        <w:t>) та інститут (16</w:t>
      </w:r>
      <w:r w:rsidR="00DA389E">
        <w:rPr>
          <w:color w:val="000000" w:themeColor="text1"/>
          <w:sz w:val="28"/>
        </w:rPr>
        <w:t>%</w:t>
      </w:r>
      <w:r>
        <w:rPr>
          <w:color w:val="000000" w:themeColor="text1"/>
          <w:sz w:val="28"/>
        </w:rPr>
        <w:t>)</w:t>
      </w:r>
      <w:r w:rsidR="001979B9">
        <w:rPr>
          <w:color w:val="000000" w:themeColor="text1"/>
          <w:sz w:val="28"/>
        </w:rPr>
        <w:t>.</w:t>
      </w:r>
      <w:r w:rsidR="001418BB">
        <w:rPr>
          <w:color w:val="000000" w:themeColor="text1"/>
          <w:sz w:val="28"/>
        </w:rPr>
        <w:t xml:space="preserve"> При цьому не завжди </w:t>
      </w:r>
      <w:r w:rsidR="004050CD">
        <w:rPr>
          <w:color w:val="000000" w:themeColor="text1"/>
          <w:sz w:val="28"/>
        </w:rPr>
        <w:t xml:space="preserve">найменування </w:t>
      </w:r>
      <w:r w:rsidR="001418BB">
        <w:rPr>
          <w:color w:val="000000" w:themeColor="text1"/>
          <w:sz w:val="28"/>
        </w:rPr>
        <w:t>закладу освіти відобража</w:t>
      </w:r>
      <w:r w:rsidR="004050CD">
        <w:rPr>
          <w:color w:val="000000" w:themeColor="text1"/>
          <w:sz w:val="28"/>
        </w:rPr>
        <w:t xml:space="preserve">є </w:t>
      </w:r>
      <w:r w:rsidR="00E702FC">
        <w:rPr>
          <w:color w:val="000000" w:themeColor="text1"/>
          <w:sz w:val="28"/>
        </w:rPr>
        <w:t>статус</w:t>
      </w:r>
      <w:r w:rsidR="001418BB">
        <w:rPr>
          <w:color w:val="000000" w:themeColor="text1"/>
          <w:sz w:val="28"/>
        </w:rPr>
        <w:t xml:space="preserve"> закладу вищої освіти та особливості його структури об’єктивно. </w:t>
      </w:r>
      <w:r w:rsidR="00DD4F00">
        <w:rPr>
          <w:color w:val="000000" w:themeColor="text1"/>
          <w:sz w:val="28"/>
        </w:rPr>
        <w:t xml:space="preserve">Саме у визначенні </w:t>
      </w:r>
      <w:r w:rsidR="004050CD">
        <w:rPr>
          <w:color w:val="000000" w:themeColor="text1"/>
          <w:sz w:val="28"/>
        </w:rPr>
        <w:t xml:space="preserve">вимог </w:t>
      </w:r>
      <w:r w:rsidR="00DD4F00">
        <w:rPr>
          <w:color w:val="000000" w:themeColor="text1"/>
          <w:sz w:val="28"/>
        </w:rPr>
        <w:t>до того чи іншого типу</w:t>
      </w:r>
      <w:r w:rsidR="004050CD">
        <w:rPr>
          <w:color w:val="000000" w:themeColor="text1"/>
          <w:sz w:val="28"/>
        </w:rPr>
        <w:t xml:space="preserve"> ЗВО</w:t>
      </w:r>
      <w:r w:rsidR="00DD4F00">
        <w:rPr>
          <w:color w:val="000000" w:themeColor="text1"/>
          <w:sz w:val="28"/>
        </w:rPr>
        <w:t xml:space="preserve"> і полягає ключова відм</w:t>
      </w:r>
      <w:r w:rsidR="00E702FC">
        <w:rPr>
          <w:color w:val="000000" w:themeColor="text1"/>
          <w:sz w:val="28"/>
        </w:rPr>
        <w:t>інність статусу закладу освіти.</w:t>
      </w:r>
    </w:p>
    <w:p w:rsidR="00CA62D9" w:rsidRPr="00796D25" w:rsidRDefault="00CA62D9" w:rsidP="00ED421B">
      <w:pPr>
        <w:spacing w:after="0"/>
        <w:ind w:firstLine="709"/>
        <w:jc w:val="both"/>
        <w:rPr>
          <w:rFonts w:ascii="Times New Roman" w:hAnsi="Times New Roman" w:cs="Times New Roman"/>
          <w:color w:val="000000" w:themeColor="text1"/>
          <w:sz w:val="28"/>
        </w:rPr>
      </w:pPr>
      <w:r w:rsidRPr="004B4B84">
        <w:rPr>
          <w:rFonts w:ascii="Times New Roman" w:hAnsi="Times New Roman" w:cs="Times New Roman"/>
          <w:sz w:val="28"/>
          <w:szCs w:val="28"/>
        </w:rPr>
        <w:t xml:space="preserve">Наступною проблемою, на вирішення якої спрямовано законопроєкт, є </w:t>
      </w:r>
      <w:r w:rsidRPr="004B4B84">
        <w:rPr>
          <w:rFonts w:ascii="Times New Roman" w:hAnsi="Times New Roman" w:cs="Times New Roman"/>
          <w:sz w:val="28"/>
        </w:rPr>
        <w:t xml:space="preserve">забезпечення якісного виконання освітньої складової освітньо-наукових та освітньо-творчих програм третього рівня вищої освіти. На </w:t>
      </w:r>
      <w:r w:rsidR="00021BDE">
        <w:rPr>
          <w:rFonts w:ascii="Times New Roman" w:hAnsi="Times New Roman" w:cs="Times New Roman"/>
          <w:sz w:val="28"/>
        </w:rPr>
        <w:t>початок</w:t>
      </w:r>
      <w:r w:rsidRPr="004B4B84">
        <w:rPr>
          <w:rFonts w:ascii="Times New Roman" w:hAnsi="Times New Roman" w:cs="Times New Roman"/>
          <w:sz w:val="28"/>
        </w:rPr>
        <w:t xml:space="preserve"> 202</w:t>
      </w:r>
      <w:r w:rsidR="00021BDE">
        <w:rPr>
          <w:rFonts w:ascii="Times New Roman" w:hAnsi="Times New Roman" w:cs="Times New Roman"/>
          <w:sz w:val="28"/>
        </w:rPr>
        <w:t>4</w:t>
      </w:r>
      <w:r w:rsidRPr="004B4B84">
        <w:rPr>
          <w:rFonts w:ascii="Times New Roman" w:hAnsi="Times New Roman" w:cs="Times New Roman"/>
          <w:sz w:val="28"/>
        </w:rPr>
        <w:t xml:space="preserve"> року існувало майже </w:t>
      </w:r>
      <w:r w:rsidR="00C05C28" w:rsidRPr="004B4B84">
        <w:rPr>
          <w:rFonts w:ascii="Times New Roman" w:hAnsi="Times New Roman" w:cs="Times New Roman"/>
          <w:sz w:val="28"/>
        </w:rPr>
        <w:t>1</w:t>
      </w:r>
      <w:r w:rsidRPr="004B4B84">
        <w:rPr>
          <w:rFonts w:ascii="Times New Roman" w:hAnsi="Times New Roman" w:cs="Times New Roman"/>
          <w:sz w:val="28"/>
        </w:rPr>
        <w:t>70</w:t>
      </w:r>
      <w:r w:rsidR="00CD33F4" w:rsidRPr="004B4B84">
        <w:rPr>
          <w:rFonts w:ascii="Times New Roman" w:hAnsi="Times New Roman" w:cs="Times New Roman"/>
          <w:sz w:val="28"/>
        </w:rPr>
        <w:t xml:space="preserve"> </w:t>
      </w:r>
      <w:r w:rsidRPr="004B4B84">
        <w:rPr>
          <w:rFonts w:ascii="Times New Roman" w:hAnsi="Times New Roman" w:cs="Times New Roman"/>
          <w:sz w:val="28"/>
        </w:rPr>
        <w:t xml:space="preserve">освітньо-наукових програм рівня доктора філософії зі спеціальностей, за якими не відкриті освітні програми магістерського рівня освіти, з них майже 40% - це освітньо-наукові програми наукових установ. Найчастіше, за цими програмами здобувають освіту від 1 до 4 здобувачів, що суттєво ускладнює якісне забезпечення її освітньої компоненти. Проєктом акта  пропонується встановити умовою прийому на навчання для здобуття ступеня доктора філософії або доктора мистецтва наявність акредитованих за другим (магістерським) рівнем освітніх програми відповідної спеціальності (усіх спеціальностей галузі або спеціальностей, що входять до міждисциплінарної освітньо-наукової програми). Заклади вищої освіти та наукові установи, що не </w:t>
      </w:r>
      <w:r w:rsidRPr="004B4B84">
        <w:rPr>
          <w:rFonts w:ascii="Times New Roman" w:hAnsi="Times New Roman" w:cs="Times New Roman"/>
          <w:color w:val="000000" w:themeColor="text1"/>
          <w:sz w:val="28"/>
        </w:rPr>
        <w:t>здійснюють відповідну підготовку магістрів, 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закладами вищої освіти, відповідно до абзацу четвертого частини шостої статті 5 цього Закону.</w:t>
      </w:r>
    </w:p>
    <w:p w:rsidR="00D55A06" w:rsidRDefault="00D55A06" w:rsidP="00ED421B">
      <w:pPr>
        <w:pStyle w:val="a9"/>
        <w:shd w:val="clear" w:color="auto" w:fill="FFFFFF"/>
        <w:spacing w:before="0" w:beforeAutospacing="0" w:after="0" w:afterAutospacing="0" w:line="259" w:lineRule="auto"/>
        <w:ind w:firstLine="709"/>
        <w:jc w:val="both"/>
        <w:rPr>
          <w:sz w:val="28"/>
          <w:szCs w:val="28"/>
        </w:rPr>
      </w:pPr>
      <w:r w:rsidRPr="00D55A06">
        <w:rPr>
          <w:sz w:val="28"/>
          <w:szCs w:val="28"/>
        </w:rPr>
        <w:lastRenderedPageBreak/>
        <w:t>Розробку проєкту акта передбачено Плано</w:t>
      </w:r>
      <w:r>
        <w:rPr>
          <w:sz w:val="28"/>
          <w:szCs w:val="28"/>
        </w:rPr>
        <w:t xml:space="preserve">м пріоритетних дій </w:t>
      </w:r>
      <w:r w:rsidR="00B077AF">
        <w:rPr>
          <w:sz w:val="28"/>
          <w:szCs w:val="28"/>
        </w:rPr>
        <w:t>У</w:t>
      </w:r>
      <w:r>
        <w:rPr>
          <w:sz w:val="28"/>
          <w:szCs w:val="28"/>
        </w:rPr>
        <w:t>ряду на 2024</w:t>
      </w:r>
      <w:r w:rsidRPr="00D55A06">
        <w:rPr>
          <w:sz w:val="28"/>
          <w:szCs w:val="28"/>
        </w:rPr>
        <w:t xml:space="preserve"> рік, затвердженим </w:t>
      </w:r>
      <w:r w:rsidR="00B077AF">
        <w:rPr>
          <w:sz w:val="28"/>
          <w:szCs w:val="28"/>
        </w:rPr>
        <w:t>р</w:t>
      </w:r>
      <w:r w:rsidRPr="00D55A06">
        <w:rPr>
          <w:sz w:val="28"/>
          <w:szCs w:val="28"/>
        </w:rPr>
        <w:t>озпорядженням Кабінету Міністрів України від 1</w:t>
      </w:r>
      <w:r>
        <w:rPr>
          <w:sz w:val="28"/>
          <w:szCs w:val="28"/>
        </w:rPr>
        <w:t>6</w:t>
      </w:r>
      <w:r w:rsidRPr="00D55A06">
        <w:rPr>
          <w:sz w:val="28"/>
          <w:szCs w:val="28"/>
        </w:rPr>
        <w:t xml:space="preserve"> </w:t>
      </w:r>
      <w:r>
        <w:rPr>
          <w:sz w:val="28"/>
          <w:szCs w:val="28"/>
        </w:rPr>
        <w:t>лютого</w:t>
      </w:r>
      <w:r w:rsidRPr="00D55A06">
        <w:rPr>
          <w:sz w:val="28"/>
          <w:szCs w:val="28"/>
        </w:rPr>
        <w:t xml:space="preserve"> 202</w:t>
      </w:r>
      <w:r>
        <w:rPr>
          <w:sz w:val="28"/>
          <w:szCs w:val="28"/>
        </w:rPr>
        <w:t>4</w:t>
      </w:r>
      <w:r w:rsidRPr="00D55A06">
        <w:rPr>
          <w:sz w:val="28"/>
          <w:szCs w:val="28"/>
        </w:rPr>
        <w:t xml:space="preserve"> р. № </w:t>
      </w:r>
      <w:r>
        <w:rPr>
          <w:sz w:val="28"/>
          <w:szCs w:val="28"/>
        </w:rPr>
        <w:t>137</w:t>
      </w:r>
      <w:r w:rsidRPr="00D55A06">
        <w:rPr>
          <w:sz w:val="28"/>
          <w:szCs w:val="28"/>
        </w:rPr>
        <w:t xml:space="preserve">-р (пункт </w:t>
      </w:r>
      <w:r>
        <w:rPr>
          <w:sz w:val="28"/>
          <w:szCs w:val="28"/>
        </w:rPr>
        <w:t>139</w:t>
      </w:r>
      <w:r w:rsidRPr="00D55A06">
        <w:rPr>
          <w:sz w:val="28"/>
          <w:szCs w:val="28"/>
        </w:rPr>
        <w:t>). Крім того, розробка проєкту акта відповідає рекомендаціям Європейської комісії в рамках Пакету розширення 2023, що передбачають імплементацію плану опт</w:t>
      </w:r>
      <w:r>
        <w:rPr>
          <w:sz w:val="28"/>
          <w:szCs w:val="28"/>
        </w:rPr>
        <w:t xml:space="preserve">имізації мережі закладів освіти </w:t>
      </w:r>
      <w:r w:rsidRPr="002E4085">
        <w:rPr>
          <w:sz w:val="28"/>
          <w:szCs w:val="28"/>
        </w:rPr>
        <w:t>(пункт 92.1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 133-р).</w:t>
      </w:r>
    </w:p>
    <w:p w:rsidR="009C0407" w:rsidRPr="00186CC6" w:rsidRDefault="0021302D" w:rsidP="00866469">
      <w:pPr>
        <w:spacing w:before="160" w:after="120"/>
        <w:jc w:val="both"/>
        <w:rPr>
          <w:rFonts w:ascii="Times New Roman" w:hAnsi="Times New Roman" w:cs="Times New Roman"/>
          <w:b/>
          <w:sz w:val="28"/>
          <w:szCs w:val="28"/>
        </w:rPr>
      </w:pPr>
      <w:r w:rsidRPr="00186CC6">
        <w:rPr>
          <w:rFonts w:ascii="Times New Roman" w:hAnsi="Times New Roman" w:cs="Times New Roman"/>
          <w:b/>
          <w:sz w:val="28"/>
          <w:szCs w:val="28"/>
        </w:rPr>
        <w:t>Основні групи</w:t>
      </w:r>
      <w:r w:rsidR="00186CC6" w:rsidRPr="00186CC6">
        <w:rPr>
          <w:rFonts w:ascii="Times New Roman" w:hAnsi="Times New Roman" w:cs="Times New Roman"/>
          <w:b/>
          <w:sz w:val="28"/>
          <w:szCs w:val="28"/>
        </w:rPr>
        <w:t xml:space="preserve"> (підгрупи), на які проблема справляє вплив:</w:t>
      </w:r>
    </w:p>
    <w:tbl>
      <w:tblPr>
        <w:tblStyle w:val="a3"/>
        <w:tblW w:w="0" w:type="auto"/>
        <w:tblLook w:val="04A0" w:firstRow="1" w:lastRow="0" w:firstColumn="1" w:lastColumn="0" w:noHBand="0" w:noVBand="1"/>
      </w:tblPr>
      <w:tblGrid>
        <w:gridCol w:w="3539"/>
        <w:gridCol w:w="3044"/>
        <w:gridCol w:w="3044"/>
      </w:tblGrid>
      <w:tr w:rsidR="00186CC6" w:rsidTr="008816AB">
        <w:trPr>
          <w:trHeight w:val="451"/>
        </w:trPr>
        <w:tc>
          <w:tcPr>
            <w:tcW w:w="3539" w:type="dxa"/>
          </w:tcPr>
          <w:p w:rsidR="00186CC6" w:rsidRPr="002E6F51" w:rsidRDefault="00186CC6" w:rsidP="009C0407">
            <w:pPr>
              <w:jc w:val="both"/>
              <w:rPr>
                <w:rFonts w:ascii="Times New Roman" w:hAnsi="Times New Roman" w:cs="Times New Roman"/>
                <w:b/>
                <w:sz w:val="24"/>
                <w:szCs w:val="24"/>
              </w:rPr>
            </w:pPr>
            <w:r w:rsidRPr="002E6F51">
              <w:rPr>
                <w:rFonts w:ascii="Times New Roman" w:hAnsi="Times New Roman" w:cs="Times New Roman"/>
                <w:b/>
                <w:sz w:val="24"/>
                <w:szCs w:val="24"/>
              </w:rPr>
              <w:t>Групи (підгрупи)</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Так</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Ні</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Pr>
                <w:rFonts w:ascii="Times New Roman" w:hAnsi="Times New Roman" w:cs="Times New Roman"/>
                <w:sz w:val="24"/>
                <w:szCs w:val="24"/>
              </w:rPr>
              <w:t>Громадяни</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sidRPr="002E6F51">
              <w:rPr>
                <w:rFonts w:ascii="Times New Roman" w:hAnsi="Times New Roman" w:cs="Times New Roman"/>
                <w:sz w:val="24"/>
                <w:szCs w:val="24"/>
              </w:rPr>
              <w:t>Держава</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186CC6" w:rsidP="009C0407">
            <w:pPr>
              <w:jc w:val="both"/>
              <w:rPr>
                <w:rFonts w:ascii="Times New Roman" w:hAnsi="Times New Roman" w:cs="Times New Roman"/>
                <w:sz w:val="24"/>
                <w:szCs w:val="24"/>
              </w:rPr>
            </w:pPr>
            <w:r w:rsidRPr="002E6F51">
              <w:rPr>
                <w:rFonts w:ascii="Times New Roman" w:hAnsi="Times New Roman" w:cs="Times New Roman"/>
                <w:sz w:val="24"/>
                <w:szCs w:val="24"/>
              </w:rPr>
              <w:t>Суб’єкти господарювання</w:t>
            </w:r>
            <w:r w:rsidR="00DF606F">
              <w:rPr>
                <w:rFonts w:ascii="Times New Roman" w:hAnsi="Times New Roman" w:cs="Times New Roman"/>
                <w:sz w:val="24"/>
                <w:szCs w:val="24"/>
              </w:rPr>
              <w:t>,</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DF606F" w:rsidTr="008816AB">
        <w:trPr>
          <w:trHeight w:val="412"/>
        </w:trPr>
        <w:tc>
          <w:tcPr>
            <w:tcW w:w="3539" w:type="dxa"/>
          </w:tcPr>
          <w:p w:rsidR="00DF606F" w:rsidRPr="00DF606F" w:rsidRDefault="00DF606F" w:rsidP="009C0407">
            <w:pPr>
              <w:jc w:val="both"/>
              <w:rPr>
                <w:rFonts w:ascii="Times New Roman" w:hAnsi="Times New Roman" w:cs="Times New Roman"/>
                <w:sz w:val="24"/>
                <w:szCs w:val="24"/>
              </w:rPr>
            </w:pPr>
            <w:r w:rsidRPr="00DF606F">
              <w:rPr>
                <w:rFonts w:ascii="Times New Roman" w:hAnsi="Times New Roman" w:cs="Times New Roman"/>
                <w:sz w:val="24"/>
                <w:szCs w:val="24"/>
              </w:rPr>
              <w:t>у тому числі суб’єкти малого підприємництва</w:t>
            </w:r>
          </w:p>
        </w:tc>
        <w:tc>
          <w:tcPr>
            <w:tcW w:w="3045" w:type="dxa"/>
          </w:tcPr>
          <w:p w:rsidR="00DF606F" w:rsidRPr="002E6F51" w:rsidRDefault="000F0E17" w:rsidP="00186CC6">
            <w:pPr>
              <w:jc w:val="center"/>
              <w:rPr>
                <w:rFonts w:ascii="Times New Roman" w:hAnsi="Times New Roman" w:cs="Times New Roman"/>
                <w:sz w:val="24"/>
                <w:szCs w:val="24"/>
              </w:rPr>
            </w:pPr>
            <w:r>
              <w:rPr>
                <w:rFonts w:ascii="Times New Roman" w:hAnsi="Times New Roman" w:cs="Times New Roman"/>
                <w:sz w:val="24"/>
                <w:szCs w:val="24"/>
              </w:rPr>
              <w:t>-</w:t>
            </w:r>
          </w:p>
        </w:tc>
        <w:tc>
          <w:tcPr>
            <w:tcW w:w="3045" w:type="dxa"/>
          </w:tcPr>
          <w:p w:rsidR="00DF606F"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bl>
    <w:p w:rsidR="00186CC6" w:rsidRDefault="00186CC6" w:rsidP="009C0407">
      <w:pPr>
        <w:spacing w:after="0"/>
        <w:jc w:val="both"/>
        <w:rPr>
          <w:rFonts w:ascii="Times New Roman" w:hAnsi="Times New Roman" w:cs="Times New Roman"/>
          <w:sz w:val="28"/>
          <w:szCs w:val="28"/>
        </w:rPr>
      </w:pPr>
    </w:p>
    <w:p w:rsidR="00186CC6" w:rsidRPr="00186CC6" w:rsidRDefault="00186CC6" w:rsidP="00866469">
      <w:pPr>
        <w:spacing w:before="240" w:after="0"/>
        <w:ind w:firstLine="709"/>
        <w:jc w:val="both"/>
        <w:rPr>
          <w:rFonts w:ascii="Times New Roman" w:hAnsi="Times New Roman" w:cs="Times New Roman"/>
          <w:b/>
          <w:sz w:val="28"/>
          <w:szCs w:val="28"/>
        </w:rPr>
      </w:pPr>
      <w:r w:rsidRPr="00186CC6">
        <w:rPr>
          <w:rFonts w:ascii="Times New Roman" w:hAnsi="Times New Roman" w:cs="Times New Roman"/>
          <w:b/>
          <w:sz w:val="28"/>
          <w:szCs w:val="28"/>
        </w:rPr>
        <w:t xml:space="preserve">Обґрунтування неможливості вирішення проблеми за допомогою ринкових механізмів: </w:t>
      </w:r>
    </w:p>
    <w:p w:rsidR="00186CC6" w:rsidRDefault="00186CC6" w:rsidP="00ED421B">
      <w:pPr>
        <w:spacing w:after="0"/>
        <w:ind w:firstLine="709"/>
        <w:jc w:val="both"/>
        <w:rPr>
          <w:rFonts w:ascii="Times New Roman" w:hAnsi="Times New Roman" w:cs="Times New Roman"/>
          <w:sz w:val="28"/>
          <w:szCs w:val="28"/>
        </w:rPr>
      </w:pPr>
      <w:r w:rsidRPr="00186CC6">
        <w:rPr>
          <w:rFonts w:ascii="Times New Roman" w:hAnsi="Times New Roman" w:cs="Times New Roman"/>
          <w:sz w:val="28"/>
          <w:szCs w:val="28"/>
        </w:rPr>
        <w:t>Проблема не може бути розв’язана за допомогою ринкових механізмів, оскільки мережа закладів вищої освіти як ключовий елемент ринку освітніх послуг не може бути об’єктом впливу суто ринкових сил і механізмів внаслідок опосередкованого характеру попиту на освітні послуги (з боку роботодавців через споживачів – здобувачів о</w:t>
      </w:r>
      <w:r>
        <w:rPr>
          <w:rFonts w:ascii="Times New Roman" w:hAnsi="Times New Roman" w:cs="Times New Roman"/>
          <w:sz w:val="28"/>
          <w:szCs w:val="28"/>
        </w:rPr>
        <w:t>світи, які мають свої інтереси</w:t>
      </w:r>
      <w:r w:rsidRPr="00186CC6">
        <w:rPr>
          <w:rFonts w:ascii="Times New Roman" w:hAnsi="Times New Roman" w:cs="Times New Roman"/>
          <w:sz w:val="28"/>
          <w:szCs w:val="28"/>
        </w:rPr>
        <w:t xml:space="preserve"> часто не сфокусовані на якості здобутої освіти), негнучкості ринку праці для НПП, що породжує модель пристосування до перенавантаження та лояльної поведінки, наявним значним попитом в Україні на суто формальні ознаки здобутої вищої освіти – диплом, суттєвий публічний ефект від недоброчесної конкуренції з боку окремих закладів вищої освіти у вигляді недовіри до системи в цілому, значною залежністю держави від результатів функціонування мережі внаслідок одночасного виконання нею функцій споживача та надавача (засновн</w:t>
      </w:r>
      <w:r w:rsidR="00961371">
        <w:rPr>
          <w:rFonts w:ascii="Times New Roman" w:hAnsi="Times New Roman" w:cs="Times New Roman"/>
          <w:sz w:val="28"/>
          <w:szCs w:val="28"/>
        </w:rPr>
        <w:t xml:space="preserve">ика) на ринку освітніх послуг. Як </w:t>
      </w:r>
      <w:r w:rsidRPr="00186CC6">
        <w:rPr>
          <w:rFonts w:ascii="Times New Roman" w:hAnsi="Times New Roman" w:cs="Times New Roman"/>
          <w:sz w:val="28"/>
          <w:szCs w:val="28"/>
        </w:rPr>
        <w:t>наслідок питання мережі</w:t>
      </w:r>
      <w:r>
        <w:rPr>
          <w:rFonts w:ascii="Times New Roman" w:hAnsi="Times New Roman" w:cs="Times New Roman"/>
          <w:sz w:val="28"/>
          <w:szCs w:val="28"/>
        </w:rPr>
        <w:t xml:space="preserve"> закладів вищої освіти</w:t>
      </w:r>
      <w:r w:rsidRPr="00186CC6">
        <w:rPr>
          <w:rFonts w:ascii="Times New Roman" w:hAnsi="Times New Roman" w:cs="Times New Roman"/>
          <w:sz w:val="28"/>
          <w:szCs w:val="28"/>
        </w:rPr>
        <w:t xml:space="preserve"> потребують законодавчого унормування умов та стимулів для її модернізації з урахуванням інтересів усіх залучених сторін. </w:t>
      </w:r>
    </w:p>
    <w:p w:rsidR="00961371" w:rsidRDefault="00186CC6" w:rsidP="00866469">
      <w:pPr>
        <w:spacing w:before="240" w:after="0"/>
        <w:ind w:firstLine="709"/>
        <w:jc w:val="both"/>
        <w:rPr>
          <w:rFonts w:ascii="Times New Roman" w:hAnsi="Times New Roman" w:cs="Times New Roman"/>
          <w:sz w:val="28"/>
          <w:szCs w:val="28"/>
        </w:rPr>
      </w:pPr>
      <w:r w:rsidRPr="00961371">
        <w:rPr>
          <w:rFonts w:ascii="Times New Roman" w:hAnsi="Times New Roman" w:cs="Times New Roman"/>
          <w:b/>
          <w:sz w:val="28"/>
          <w:szCs w:val="28"/>
        </w:rPr>
        <w:t>Обґрунтування неможливості вирішення проблеми за допомогою діючих регуляторних актів:</w:t>
      </w:r>
      <w:r w:rsidRPr="00186CC6">
        <w:rPr>
          <w:rFonts w:ascii="Times New Roman" w:hAnsi="Times New Roman" w:cs="Times New Roman"/>
          <w:sz w:val="28"/>
          <w:szCs w:val="28"/>
        </w:rPr>
        <w:t xml:space="preserve"> </w:t>
      </w:r>
    </w:p>
    <w:p w:rsidR="00186CC6" w:rsidRDefault="00186CC6" w:rsidP="00ED421B">
      <w:pPr>
        <w:tabs>
          <w:tab w:val="left" w:pos="301"/>
          <w:tab w:val="left" w:pos="915"/>
        </w:tabs>
        <w:spacing w:after="0"/>
        <w:ind w:firstLine="709"/>
        <w:jc w:val="both"/>
        <w:rPr>
          <w:rFonts w:ascii="Arial" w:hAnsi="Arial" w:cs="Arial"/>
          <w:color w:val="000000"/>
          <w:sz w:val="21"/>
          <w:szCs w:val="21"/>
          <w:shd w:val="clear" w:color="auto" w:fill="E7EEF8"/>
        </w:rPr>
      </w:pPr>
      <w:r w:rsidRPr="00186CC6">
        <w:rPr>
          <w:rFonts w:ascii="Times New Roman" w:hAnsi="Times New Roman" w:cs="Times New Roman"/>
          <w:sz w:val="28"/>
          <w:szCs w:val="28"/>
        </w:rPr>
        <w:lastRenderedPageBreak/>
        <w:t>Проблема не може бути розв’язана за допомогою чинних актів, оскільки системний підхід до модернізації мережі ЗВО, що стосується функціонування ТВСП, закладів фахової передвищої освіти в структурі ЗВО, коледжів як ЗВО, органів управління вищої освіти</w:t>
      </w:r>
      <w:r w:rsidR="005E3204">
        <w:rPr>
          <w:rFonts w:ascii="Times New Roman" w:hAnsi="Times New Roman" w:cs="Times New Roman"/>
          <w:sz w:val="28"/>
          <w:szCs w:val="28"/>
        </w:rPr>
        <w:t xml:space="preserve">, визначення критеріїв належності ЗВО до того </w:t>
      </w:r>
      <w:r w:rsidRPr="00186CC6">
        <w:rPr>
          <w:rFonts w:ascii="Times New Roman" w:hAnsi="Times New Roman" w:cs="Times New Roman"/>
          <w:sz w:val="28"/>
          <w:szCs w:val="28"/>
        </w:rPr>
        <w:t xml:space="preserve"> </w:t>
      </w:r>
      <w:r w:rsidR="00E702FC">
        <w:rPr>
          <w:rFonts w:ascii="Times New Roman" w:hAnsi="Times New Roman" w:cs="Times New Roman"/>
          <w:sz w:val="28"/>
          <w:szCs w:val="28"/>
        </w:rPr>
        <w:t xml:space="preserve">чи іншого типу </w:t>
      </w:r>
      <w:r w:rsidRPr="00186CC6">
        <w:rPr>
          <w:rFonts w:ascii="Times New Roman" w:hAnsi="Times New Roman" w:cs="Times New Roman"/>
          <w:sz w:val="28"/>
          <w:szCs w:val="28"/>
        </w:rPr>
        <w:t xml:space="preserve">передбачає внесення змін у Закон України «Про вищу </w:t>
      </w:r>
      <w:r w:rsidRPr="005E3204">
        <w:rPr>
          <w:rFonts w:ascii="Times New Roman" w:hAnsi="Times New Roman" w:cs="Times New Roman"/>
          <w:sz w:val="28"/>
          <w:szCs w:val="28"/>
        </w:rPr>
        <w:t>освіту».</w:t>
      </w:r>
      <w:r w:rsidR="003675F0" w:rsidRPr="005E3204">
        <w:rPr>
          <w:rFonts w:ascii="Arial" w:hAnsi="Arial" w:cs="Arial"/>
          <w:color w:val="000000"/>
          <w:sz w:val="21"/>
          <w:szCs w:val="21"/>
          <w:shd w:val="clear" w:color="auto" w:fill="E7EEF8"/>
        </w:rPr>
        <w:t xml:space="preserve"> </w:t>
      </w:r>
    </w:p>
    <w:p w:rsidR="00ED290F" w:rsidRPr="00F4016D" w:rsidRDefault="00ED290F" w:rsidP="00ED421B">
      <w:pPr>
        <w:tabs>
          <w:tab w:val="left" w:pos="301"/>
          <w:tab w:val="left" w:pos="915"/>
        </w:tabs>
        <w:spacing w:after="0"/>
        <w:ind w:firstLine="709"/>
        <w:jc w:val="both"/>
        <w:rPr>
          <w:rFonts w:ascii="Times New Roman" w:hAnsi="Times New Roman" w:cs="Times New Roman"/>
          <w:sz w:val="28"/>
          <w:szCs w:val="28"/>
        </w:rPr>
      </w:pPr>
    </w:p>
    <w:p w:rsidR="009C0407" w:rsidRDefault="009C0407" w:rsidP="00ED290F">
      <w:pPr>
        <w:spacing w:after="0"/>
        <w:ind w:firstLine="709"/>
        <w:jc w:val="center"/>
        <w:rPr>
          <w:rFonts w:ascii="Times New Roman" w:hAnsi="Times New Roman" w:cs="Times New Roman"/>
          <w:b/>
          <w:sz w:val="28"/>
          <w:szCs w:val="28"/>
        </w:rPr>
      </w:pPr>
      <w:r w:rsidRPr="00186CC6">
        <w:rPr>
          <w:rFonts w:ascii="Times New Roman" w:hAnsi="Times New Roman" w:cs="Times New Roman"/>
          <w:b/>
          <w:sz w:val="28"/>
          <w:szCs w:val="28"/>
        </w:rPr>
        <w:t>ІІ</w:t>
      </w:r>
      <w:r>
        <w:rPr>
          <w:rFonts w:ascii="Times New Roman" w:hAnsi="Times New Roman" w:cs="Times New Roman"/>
          <w:b/>
          <w:sz w:val="28"/>
          <w:szCs w:val="28"/>
        </w:rPr>
        <w:t>. Цілі державного регулювання</w:t>
      </w:r>
    </w:p>
    <w:p w:rsidR="00ED290F" w:rsidRDefault="00ED290F" w:rsidP="00ED290F">
      <w:pPr>
        <w:spacing w:after="0"/>
        <w:ind w:firstLine="709"/>
        <w:jc w:val="center"/>
        <w:rPr>
          <w:rFonts w:ascii="Times New Roman" w:hAnsi="Times New Roman" w:cs="Times New Roman"/>
          <w:b/>
          <w:sz w:val="28"/>
          <w:szCs w:val="28"/>
        </w:rPr>
      </w:pPr>
    </w:p>
    <w:p w:rsidR="00407A8B" w:rsidRDefault="00407A8B" w:rsidP="00ED421B">
      <w:pPr>
        <w:spacing w:after="0"/>
        <w:ind w:firstLine="709"/>
        <w:jc w:val="both"/>
        <w:rPr>
          <w:rFonts w:ascii="Times New Roman" w:hAnsi="Times New Roman" w:cs="Times New Roman"/>
          <w:sz w:val="28"/>
          <w:szCs w:val="28"/>
        </w:rPr>
      </w:pPr>
      <w:r w:rsidRPr="00407A8B">
        <w:rPr>
          <w:rFonts w:ascii="Times New Roman" w:hAnsi="Times New Roman" w:cs="Times New Roman"/>
          <w:sz w:val="28"/>
          <w:szCs w:val="28"/>
        </w:rPr>
        <w:t xml:space="preserve">Проєкт Закону України «Про внесення змін до деяких законів України (щодо створення передумов для модернізації мережі закладів вищої освіти)» розроблено з метою: </w:t>
      </w:r>
    </w:p>
    <w:p w:rsidR="00407A8B" w:rsidRDefault="00352569" w:rsidP="00ED421B">
      <w:pPr>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407A8B" w:rsidRPr="00407A8B">
        <w:rPr>
          <w:rFonts w:ascii="Times New Roman" w:hAnsi="Times New Roman" w:cs="Times New Roman"/>
          <w:sz w:val="28"/>
          <w:szCs w:val="28"/>
        </w:rPr>
        <w:t xml:space="preserve">унормування підстав реорганізації або припинення ТВСП, які здійснюють освітню діяльність у сфері вищої та фахової передвищої освіти (крім </w:t>
      </w:r>
      <w:r w:rsidR="00E179D2">
        <w:rPr>
          <w:rFonts w:ascii="Times New Roman" w:hAnsi="Times New Roman" w:cs="Times New Roman"/>
          <w:sz w:val="28"/>
          <w:szCs w:val="28"/>
        </w:rPr>
        <w:t>закладів фахової передвищої освіти</w:t>
      </w:r>
      <w:r w:rsidR="00407A8B" w:rsidRPr="00407A8B">
        <w:rPr>
          <w:rFonts w:ascii="Times New Roman" w:hAnsi="Times New Roman" w:cs="Times New Roman"/>
          <w:sz w:val="28"/>
          <w:szCs w:val="28"/>
        </w:rPr>
        <w:t xml:space="preserve">, які знаходяться в одній територіальній громаді з закладом вищої освіти), з одно-дворічним перехідним періодом; </w:t>
      </w:r>
    </w:p>
    <w:p w:rsidR="00407A8B" w:rsidRDefault="00352569" w:rsidP="00ED421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407A8B" w:rsidRPr="00407A8B">
        <w:rPr>
          <w:rFonts w:ascii="Times New Roman" w:hAnsi="Times New Roman" w:cs="Times New Roman"/>
          <w:sz w:val="28"/>
          <w:szCs w:val="28"/>
        </w:rPr>
        <w:t xml:space="preserve">унормування умов реорганізації коледжів у інші види закладів вищої освіти, фахової передвищої освіти або припинення їх діяльності; </w:t>
      </w:r>
    </w:p>
    <w:p w:rsidR="00E702FC" w:rsidRDefault="00352569" w:rsidP="00ED421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113836" w:rsidRPr="001A3C19">
        <w:rPr>
          <w:rFonts w:ascii="Times New Roman" w:hAnsi="Times New Roman" w:cs="Times New Roman"/>
          <w:sz w:val="28"/>
          <w:szCs w:val="28"/>
        </w:rPr>
        <w:t>вдосконалення тип</w:t>
      </w:r>
      <w:r w:rsidR="001A3C19" w:rsidRPr="001A3C19">
        <w:rPr>
          <w:rFonts w:ascii="Times New Roman" w:hAnsi="Times New Roman" w:cs="Times New Roman"/>
          <w:sz w:val="28"/>
          <w:szCs w:val="28"/>
        </w:rPr>
        <w:t>ів</w:t>
      </w:r>
      <w:r w:rsidR="00113836" w:rsidRPr="001A3C19">
        <w:rPr>
          <w:rFonts w:ascii="Times New Roman" w:hAnsi="Times New Roman" w:cs="Times New Roman"/>
          <w:sz w:val="28"/>
          <w:szCs w:val="28"/>
        </w:rPr>
        <w:t xml:space="preserve"> закладів в структурі мережі закладів вищої освіти</w:t>
      </w:r>
      <w:r w:rsidR="005E3204" w:rsidRPr="001A3C19">
        <w:rPr>
          <w:rFonts w:ascii="Times New Roman" w:hAnsi="Times New Roman" w:cs="Times New Roman"/>
          <w:sz w:val="28"/>
          <w:szCs w:val="28"/>
        </w:rPr>
        <w:t xml:space="preserve"> та визначення</w:t>
      </w:r>
      <w:r w:rsidR="00E702FC">
        <w:rPr>
          <w:rFonts w:ascii="Times New Roman" w:hAnsi="Times New Roman" w:cs="Times New Roman"/>
          <w:sz w:val="28"/>
          <w:szCs w:val="28"/>
        </w:rPr>
        <w:t xml:space="preserve"> вимог до </w:t>
      </w:r>
      <w:r w:rsidR="005E3204" w:rsidRPr="001A3C19">
        <w:rPr>
          <w:rFonts w:ascii="Times New Roman" w:hAnsi="Times New Roman" w:cs="Times New Roman"/>
          <w:sz w:val="28"/>
          <w:szCs w:val="28"/>
        </w:rPr>
        <w:t xml:space="preserve"> </w:t>
      </w:r>
      <w:r w:rsidR="00FB48EC">
        <w:rPr>
          <w:rFonts w:ascii="Times New Roman" w:hAnsi="Times New Roman" w:cs="Times New Roman"/>
          <w:sz w:val="28"/>
          <w:szCs w:val="28"/>
        </w:rPr>
        <w:t xml:space="preserve">того </w:t>
      </w:r>
      <w:r w:rsidR="005E3204" w:rsidRPr="001A3C19">
        <w:rPr>
          <w:rFonts w:ascii="Times New Roman" w:hAnsi="Times New Roman" w:cs="Times New Roman"/>
          <w:sz w:val="28"/>
          <w:szCs w:val="28"/>
        </w:rPr>
        <w:t>чи іншого типу</w:t>
      </w:r>
      <w:r w:rsidR="00E702FC">
        <w:rPr>
          <w:rFonts w:ascii="Times New Roman" w:hAnsi="Times New Roman" w:cs="Times New Roman"/>
          <w:sz w:val="28"/>
          <w:szCs w:val="28"/>
        </w:rPr>
        <w:t xml:space="preserve"> ЗВО;</w:t>
      </w:r>
    </w:p>
    <w:p w:rsidR="00407A8B" w:rsidRDefault="00352569" w:rsidP="00ED421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407A8B" w:rsidRPr="00407A8B">
        <w:rPr>
          <w:rFonts w:ascii="Times New Roman" w:hAnsi="Times New Roman" w:cs="Times New Roman"/>
          <w:sz w:val="28"/>
          <w:szCs w:val="28"/>
        </w:rPr>
        <w:t xml:space="preserve">нормативне забезпечення полегшення умов для виокремлення фахових коледжів із структури закладів вищої освіти в самостійні юридичні особи з перспективою передачі до комунальної власності; </w:t>
      </w:r>
    </w:p>
    <w:p w:rsidR="009C0407" w:rsidRDefault="00352569" w:rsidP="00ED421B">
      <w:pPr>
        <w:spacing w:after="0"/>
        <w:ind w:firstLine="709"/>
        <w:jc w:val="both"/>
        <w:rPr>
          <w:rFonts w:ascii="Times New Roman" w:hAnsi="Times New Roman" w:cs="Times New Roman"/>
          <w:sz w:val="28"/>
          <w:szCs w:val="28"/>
        </w:rPr>
      </w:pPr>
      <w:r>
        <w:rPr>
          <w:rFonts w:ascii="Times New Roman" w:hAnsi="Times New Roman" w:cs="Times New Roman"/>
          <w:sz w:val="28"/>
          <w:szCs w:val="28"/>
        </w:rPr>
        <w:t>- </w:t>
      </w:r>
      <w:r w:rsidR="00407A8B" w:rsidRPr="00407A8B">
        <w:rPr>
          <w:rFonts w:ascii="Times New Roman" w:hAnsi="Times New Roman" w:cs="Times New Roman"/>
          <w:sz w:val="28"/>
          <w:szCs w:val="28"/>
        </w:rPr>
        <w:t>консолідація управління цивільними закладами вищої освіти державної форми власності (крім управління медичними закладами вищої освіти) шляхом віднесення їх до сфери управління одного державного органу, що забезпечить єдність державного управління, необхідні умови маневру</w:t>
      </w:r>
      <w:r w:rsidR="00B865C3">
        <w:rPr>
          <w:rFonts w:ascii="Times New Roman" w:hAnsi="Times New Roman" w:cs="Times New Roman"/>
          <w:sz w:val="28"/>
          <w:szCs w:val="28"/>
        </w:rPr>
        <w:t>вання їх функціями та власністю;</w:t>
      </w:r>
    </w:p>
    <w:p w:rsidR="00B865C3" w:rsidRDefault="00352569" w:rsidP="00ED421B">
      <w:pPr>
        <w:pStyle w:val="a4"/>
        <w:spacing w:after="0"/>
        <w:ind w:left="42" w:firstLine="709"/>
        <w:jc w:val="both"/>
        <w:rPr>
          <w:rFonts w:ascii="Times New Roman" w:eastAsia="Times New Roman" w:hAnsi="Times New Roman"/>
          <w:color w:val="000000" w:themeColor="text1"/>
          <w:sz w:val="28"/>
        </w:rPr>
      </w:pPr>
      <w:r>
        <w:rPr>
          <w:rFonts w:ascii="Times New Roman" w:hAnsi="Times New Roman" w:cs="Times New Roman"/>
          <w:color w:val="000000" w:themeColor="text1"/>
          <w:sz w:val="28"/>
        </w:rPr>
        <w:t>- </w:t>
      </w:r>
      <w:r w:rsidR="00B865C3" w:rsidRPr="00796D25">
        <w:rPr>
          <w:rFonts w:ascii="Times New Roman" w:hAnsi="Times New Roman" w:cs="Times New Roman"/>
          <w:color w:val="000000" w:themeColor="text1"/>
          <w:sz w:val="28"/>
        </w:rPr>
        <w:t>забезпечення якісного виконання освітньої складової освітньо-наукових та освітньо-творчих програм третього рівня вищої освіти</w:t>
      </w:r>
      <w:r w:rsidR="00B865C3" w:rsidRPr="00796D25">
        <w:rPr>
          <w:rFonts w:ascii="Times New Roman" w:eastAsia="Times New Roman" w:hAnsi="Times New Roman"/>
          <w:color w:val="000000" w:themeColor="text1"/>
          <w:sz w:val="28"/>
        </w:rPr>
        <w:t>.</w:t>
      </w:r>
    </w:p>
    <w:p w:rsidR="00ED290F" w:rsidRPr="00796D25" w:rsidRDefault="00ED290F" w:rsidP="00ED421B">
      <w:pPr>
        <w:pStyle w:val="a4"/>
        <w:spacing w:after="0"/>
        <w:ind w:left="42" w:firstLine="709"/>
        <w:jc w:val="both"/>
        <w:rPr>
          <w:rFonts w:ascii="Times New Roman" w:hAnsi="Times New Roman" w:cs="Times New Roman"/>
          <w:iCs/>
          <w:color w:val="000000" w:themeColor="text1"/>
          <w:sz w:val="28"/>
          <w:szCs w:val="28"/>
          <w:lang w:eastAsia="uk-UA"/>
        </w:rPr>
      </w:pPr>
    </w:p>
    <w:p w:rsidR="009C0407" w:rsidRDefault="009C0407" w:rsidP="00ED290F">
      <w:pPr>
        <w:spacing w:after="0"/>
        <w:jc w:val="center"/>
        <w:rPr>
          <w:rFonts w:ascii="Times New Roman" w:hAnsi="Times New Roman" w:cs="Times New Roman"/>
          <w:b/>
          <w:sz w:val="28"/>
          <w:szCs w:val="28"/>
        </w:rPr>
      </w:pPr>
      <w:r>
        <w:rPr>
          <w:rFonts w:ascii="Times New Roman" w:hAnsi="Times New Roman" w:cs="Times New Roman"/>
          <w:b/>
          <w:sz w:val="28"/>
          <w:szCs w:val="28"/>
        </w:rPr>
        <w:t>ІІІ. Визначення та оцінка альтернативних способів досягнення цілей</w:t>
      </w:r>
    </w:p>
    <w:p w:rsidR="00ED290F" w:rsidRDefault="00ED290F" w:rsidP="00ED290F">
      <w:pPr>
        <w:spacing w:after="0"/>
        <w:jc w:val="center"/>
        <w:rPr>
          <w:rFonts w:ascii="Times New Roman" w:hAnsi="Times New Roman" w:cs="Times New Roman"/>
          <w:b/>
          <w:sz w:val="28"/>
          <w:szCs w:val="28"/>
        </w:rPr>
      </w:pPr>
    </w:p>
    <w:p w:rsidR="00D42DE4" w:rsidRPr="00D42DE4" w:rsidRDefault="00D42DE4" w:rsidP="00ED290F">
      <w:pPr>
        <w:pStyle w:val="a4"/>
        <w:numPr>
          <w:ilvl w:val="0"/>
          <w:numId w:val="1"/>
        </w:numPr>
        <w:spacing w:after="120"/>
        <w:ind w:left="714" w:hanging="357"/>
        <w:rPr>
          <w:rFonts w:ascii="Times New Roman" w:hAnsi="Times New Roman" w:cs="Times New Roman"/>
          <w:b/>
          <w:sz w:val="28"/>
          <w:szCs w:val="28"/>
        </w:rPr>
      </w:pPr>
      <w:r>
        <w:rPr>
          <w:rFonts w:ascii="Times New Roman" w:hAnsi="Times New Roman" w:cs="Times New Roman"/>
          <w:b/>
          <w:sz w:val="28"/>
          <w:szCs w:val="28"/>
        </w:rPr>
        <w:t>Визначення альтернативних способів</w:t>
      </w:r>
    </w:p>
    <w:tbl>
      <w:tblPr>
        <w:tblStyle w:val="a3"/>
        <w:tblW w:w="0" w:type="auto"/>
        <w:tblLook w:val="04A0" w:firstRow="1" w:lastRow="0" w:firstColumn="1" w:lastColumn="0" w:noHBand="0" w:noVBand="1"/>
      </w:tblPr>
      <w:tblGrid>
        <w:gridCol w:w="2249"/>
        <w:gridCol w:w="7378"/>
      </w:tblGrid>
      <w:tr w:rsidR="00506147" w:rsidTr="00807C50">
        <w:tc>
          <w:tcPr>
            <w:tcW w:w="2249"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7380"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Опис альтернативи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1</w:t>
            </w:r>
          </w:p>
        </w:tc>
        <w:tc>
          <w:tcPr>
            <w:tcW w:w="7380"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З</w:t>
            </w:r>
            <w:r w:rsidR="00FF7511">
              <w:rPr>
                <w:rFonts w:ascii="Times New Roman" w:hAnsi="Times New Roman" w:cs="Times New Roman"/>
                <w:sz w:val="24"/>
                <w:szCs w:val="24"/>
              </w:rPr>
              <w:t>алишення</w:t>
            </w:r>
            <w:r w:rsidRPr="002E6F51">
              <w:rPr>
                <w:rFonts w:ascii="Times New Roman" w:hAnsi="Times New Roman" w:cs="Times New Roman"/>
                <w:sz w:val="24"/>
                <w:szCs w:val="24"/>
              </w:rPr>
              <w:t xml:space="preserve"> існуючо</w:t>
            </w:r>
            <w:r w:rsidR="00FF7511">
              <w:rPr>
                <w:rFonts w:ascii="Times New Roman" w:hAnsi="Times New Roman" w:cs="Times New Roman"/>
                <w:sz w:val="24"/>
                <w:szCs w:val="24"/>
              </w:rPr>
              <w:t>ї</w:t>
            </w:r>
            <w:r w:rsidRPr="002E6F51">
              <w:rPr>
                <w:rFonts w:ascii="Times New Roman" w:hAnsi="Times New Roman" w:cs="Times New Roman"/>
                <w:sz w:val="24"/>
                <w:szCs w:val="24"/>
              </w:rPr>
              <w:t xml:space="preserve"> </w:t>
            </w:r>
            <w:r w:rsidR="00FF7511">
              <w:rPr>
                <w:rFonts w:ascii="Times New Roman" w:hAnsi="Times New Roman" w:cs="Times New Roman"/>
                <w:sz w:val="24"/>
                <w:szCs w:val="24"/>
              </w:rPr>
              <w:t>ситуації без змін.</w:t>
            </w:r>
            <w:r w:rsidRPr="002E6F51">
              <w:rPr>
                <w:rFonts w:ascii="Times New Roman" w:hAnsi="Times New Roman" w:cs="Times New Roman"/>
                <w:sz w:val="24"/>
                <w:szCs w:val="24"/>
              </w:rPr>
              <w:t xml:space="preserve"> </w:t>
            </w:r>
          </w:p>
          <w:p w:rsidR="0073054F" w:rsidRPr="0073054F" w:rsidRDefault="007608C4" w:rsidP="00BA6B78">
            <w:pPr>
              <w:spacing w:before="40" w:after="120"/>
              <w:jc w:val="both"/>
              <w:rPr>
                <w:rFonts w:ascii="Times New Roman" w:hAnsi="Times New Roman" w:cs="Times New Roman"/>
                <w:sz w:val="24"/>
                <w:szCs w:val="24"/>
              </w:rPr>
            </w:pPr>
            <w:r>
              <w:rPr>
                <w:rFonts w:ascii="Times New Roman" w:hAnsi="Times New Roman" w:cs="Times New Roman"/>
                <w:sz w:val="24"/>
                <w:szCs w:val="24"/>
              </w:rPr>
              <w:t xml:space="preserve">Не прийняття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w:t>
            </w:r>
            <w:r w:rsidRPr="002E6F51">
              <w:rPr>
                <w:rFonts w:ascii="Times New Roman" w:hAnsi="Times New Roman" w:cs="Times New Roman"/>
                <w:sz w:val="24"/>
                <w:szCs w:val="24"/>
              </w:rPr>
              <w:t>Закону України «Про внесення змін до деяких законів України (щодо створення передумов для модернізації мережі закладів освіти)»</w:t>
            </w:r>
            <w:r>
              <w:rPr>
                <w:rFonts w:ascii="Times New Roman" w:hAnsi="Times New Roman" w:cs="Times New Roman"/>
                <w:sz w:val="24"/>
                <w:szCs w:val="24"/>
              </w:rPr>
              <w:t xml:space="preserve"> призводить до невиконання рекомендацій Європейської комісії, представлених у Звіті</w:t>
            </w:r>
            <w:r w:rsidR="00A73437">
              <w:rPr>
                <w:rFonts w:ascii="Times New Roman" w:hAnsi="Times New Roman" w:cs="Times New Roman"/>
                <w:sz w:val="24"/>
                <w:szCs w:val="24"/>
              </w:rPr>
              <w:t xml:space="preserve"> про прогрес України в рамках Пакета розширення Європейського Союзу 2023 року, затвердженого розпорядженням Кабінету Міністрів України від 09 </w:t>
            </w:r>
            <w:r w:rsidR="00A73437">
              <w:rPr>
                <w:rFonts w:ascii="Times New Roman" w:hAnsi="Times New Roman" w:cs="Times New Roman"/>
                <w:sz w:val="24"/>
                <w:szCs w:val="24"/>
              </w:rPr>
              <w:lastRenderedPageBreak/>
              <w:t>лютого 2024 № 133-р</w:t>
            </w:r>
            <w:r w:rsidR="0001645E">
              <w:rPr>
                <w:rFonts w:ascii="Times New Roman" w:hAnsi="Times New Roman" w:cs="Times New Roman"/>
                <w:sz w:val="24"/>
                <w:szCs w:val="24"/>
              </w:rPr>
              <w:t xml:space="preserve">; </w:t>
            </w:r>
            <w:r w:rsidR="0073054F">
              <w:rPr>
                <w:rFonts w:ascii="Times New Roman" w:hAnsi="Times New Roman" w:cs="Times New Roman"/>
                <w:color w:val="000000" w:themeColor="text1"/>
                <w:sz w:val="24"/>
                <w:szCs w:val="24"/>
                <w:shd w:val="clear" w:color="auto" w:fill="FFFFFF"/>
              </w:rPr>
              <w:t>о</w:t>
            </w:r>
            <w:r w:rsidR="0073054F" w:rsidRPr="0073054F">
              <w:rPr>
                <w:rFonts w:ascii="Times New Roman" w:hAnsi="Times New Roman" w:cs="Times New Roman"/>
                <w:color w:val="000000" w:themeColor="text1"/>
                <w:sz w:val="24"/>
                <w:szCs w:val="24"/>
                <w:shd w:val="clear" w:color="auto" w:fill="FFFFFF"/>
              </w:rPr>
              <w:t>бмеження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w:t>
            </w:r>
            <w:r w:rsidR="00C360A8">
              <w:rPr>
                <w:rFonts w:ascii="Times New Roman" w:hAnsi="Times New Roman" w:cs="Times New Roman"/>
                <w:color w:val="000000" w:themeColor="text1"/>
                <w:sz w:val="24"/>
                <w:szCs w:val="24"/>
                <w:shd w:val="clear" w:color="auto" w:fill="FFFFFF"/>
              </w:rPr>
              <w:t>;</w:t>
            </w:r>
            <w:r w:rsidR="0073054F">
              <w:rPr>
                <w:rFonts w:ascii="Times New Roman" w:hAnsi="Times New Roman" w:cs="Times New Roman"/>
                <w:color w:val="000000" w:themeColor="text1"/>
                <w:sz w:val="24"/>
                <w:szCs w:val="24"/>
                <w:shd w:val="clear" w:color="auto" w:fill="FFFFFF"/>
              </w:rPr>
              <w:t xml:space="preserve"> </w:t>
            </w:r>
            <w:r w:rsidR="0001645E">
              <w:rPr>
                <w:rFonts w:ascii="Times New Roman" w:hAnsi="Times New Roman" w:cs="Times New Roman"/>
                <w:sz w:val="24"/>
                <w:szCs w:val="24"/>
              </w:rPr>
              <w:t xml:space="preserve">демографічні тенденції </w:t>
            </w:r>
            <w:r w:rsidR="00506147" w:rsidRPr="002E6F51">
              <w:rPr>
                <w:rFonts w:ascii="Times New Roman" w:hAnsi="Times New Roman" w:cs="Times New Roman"/>
                <w:sz w:val="24"/>
                <w:szCs w:val="24"/>
              </w:rPr>
              <w:t xml:space="preserve">скорочення контингенту </w:t>
            </w:r>
            <w:r w:rsidR="006F6BE8">
              <w:rPr>
                <w:rFonts w:ascii="Times New Roman" w:hAnsi="Times New Roman" w:cs="Times New Roman"/>
                <w:sz w:val="24"/>
                <w:szCs w:val="24"/>
              </w:rPr>
              <w:t>посилить проблему</w:t>
            </w:r>
            <w:r w:rsidR="00506147" w:rsidRPr="002E6F51">
              <w:rPr>
                <w:rFonts w:ascii="Times New Roman" w:hAnsi="Times New Roman" w:cs="Times New Roman"/>
                <w:sz w:val="24"/>
                <w:szCs w:val="24"/>
              </w:rPr>
              <w:t xml:space="preserve"> перенавантаження науков</w:t>
            </w:r>
            <w:r w:rsidR="0037731E">
              <w:rPr>
                <w:rFonts w:ascii="Times New Roman" w:hAnsi="Times New Roman" w:cs="Times New Roman"/>
                <w:sz w:val="24"/>
                <w:szCs w:val="24"/>
              </w:rPr>
              <w:t>их</w:t>
            </w:r>
            <w:r w:rsidR="00506147" w:rsidRPr="002E6F51">
              <w:rPr>
                <w:rFonts w:ascii="Times New Roman" w:hAnsi="Times New Roman" w:cs="Times New Roman"/>
                <w:sz w:val="24"/>
                <w:szCs w:val="24"/>
              </w:rPr>
              <w:t xml:space="preserve">, науково-педагогічних </w:t>
            </w:r>
            <w:r w:rsidR="00C360A8">
              <w:rPr>
                <w:rFonts w:ascii="Times New Roman" w:hAnsi="Times New Roman" w:cs="Times New Roman"/>
                <w:sz w:val="24"/>
                <w:szCs w:val="24"/>
              </w:rPr>
              <w:t xml:space="preserve">працівників </w:t>
            </w:r>
            <w:r w:rsidR="00506147" w:rsidRPr="002E6F51">
              <w:rPr>
                <w:rFonts w:ascii="Times New Roman" w:hAnsi="Times New Roman" w:cs="Times New Roman"/>
                <w:sz w:val="24"/>
                <w:szCs w:val="24"/>
              </w:rPr>
              <w:t>внаслідок утворення неповних академічних груп та дублювання напрямів підготовки кадрів у ЗВО</w:t>
            </w:r>
            <w:r w:rsidR="006F6BE8">
              <w:rPr>
                <w:rFonts w:ascii="Times New Roman" w:hAnsi="Times New Roman" w:cs="Times New Roman"/>
                <w:sz w:val="24"/>
                <w:szCs w:val="24"/>
              </w:rPr>
              <w:t>/ЗФПВО</w:t>
            </w:r>
            <w:r w:rsidR="00506147" w:rsidRPr="002E6F51">
              <w:rPr>
                <w:rFonts w:ascii="Times New Roman" w:hAnsi="Times New Roman" w:cs="Times New Roman"/>
                <w:sz w:val="24"/>
                <w:szCs w:val="24"/>
              </w:rPr>
              <w:t xml:space="preserve"> територіально, неефективності системи державного та регіонального замовлення, погірш</w:t>
            </w:r>
            <w:r w:rsidR="006F6BE8">
              <w:rPr>
                <w:rFonts w:ascii="Times New Roman" w:hAnsi="Times New Roman" w:cs="Times New Roman"/>
                <w:sz w:val="24"/>
                <w:szCs w:val="24"/>
              </w:rPr>
              <w:t>ує</w:t>
            </w:r>
            <w:r w:rsidR="00506147" w:rsidRPr="002E6F51">
              <w:rPr>
                <w:rFonts w:ascii="Times New Roman" w:hAnsi="Times New Roman" w:cs="Times New Roman"/>
                <w:sz w:val="24"/>
                <w:szCs w:val="24"/>
              </w:rPr>
              <w:t xml:space="preserve"> як</w:t>
            </w:r>
            <w:r w:rsidR="006F6BE8">
              <w:rPr>
                <w:rFonts w:ascii="Times New Roman" w:hAnsi="Times New Roman" w:cs="Times New Roman"/>
                <w:sz w:val="24"/>
                <w:szCs w:val="24"/>
              </w:rPr>
              <w:t>і</w:t>
            </w:r>
            <w:r w:rsidR="00506147" w:rsidRPr="002E6F51">
              <w:rPr>
                <w:rFonts w:ascii="Times New Roman" w:hAnsi="Times New Roman" w:cs="Times New Roman"/>
                <w:sz w:val="24"/>
                <w:szCs w:val="24"/>
              </w:rPr>
              <w:t>ст</w:t>
            </w:r>
            <w:r w:rsidR="006F6BE8">
              <w:rPr>
                <w:rFonts w:ascii="Times New Roman" w:hAnsi="Times New Roman" w:cs="Times New Roman"/>
                <w:sz w:val="24"/>
                <w:szCs w:val="24"/>
              </w:rPr>
              <w:t>ь</w:t>
            </w:r>
            <w:r w:rsidR="00506147" w:rsidRPr="002E6F51">
              <w:rPr>
                <w:rFonts w:ascii="Times New Roman" w:hAnsi="Times New Roman" w:cs="Times New Roman"/>
                <w:sz w:val="24"/>
                <w:szCs w:val="24"/>
              </w:rPr>
              <w:t xml:space="preserve"> вищої освіти.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lastRenderedPageBreak/>
              <w:t>Альтернатива 2</w:t>
            </w:r>
          </w:p>
        </w:tc>
        <w:tc>
          <w:tcPr>
            <w:tcW w:w="7380" w:type="dxa"/>
          </w:tcPr>
          <w:p w:rsidR="002E6F51" w:rsidRDefault="00506147" w:rsidP="00866469">
            <w:pPr>
              <w:jc w:val="both"/>
              <w:rPr>
                <w:rFonts w:ascii="Times New Roman" w:hAnsi="Times New Roman" w:cs="Times New Roman"/>
                <w:sz w:val="24"/>
                <w:szCs w:val="24"/>
              </w:rPr>
            </w:pPr>
            <w:r w:rsidRPr="002E6F51">
              <w:rPr>
                <w:rFonts w:ascii="Times New Roman" w:hAnsi="Times New Roman" w:cs="Times New Roman"/>
                <w:sz w:val="24"/>
                <w:szCs w:val="24"/>
              </w:rPr>
              <w:t xml:space="preserve">Прийняття Закону України «Про внесення змін до деяких законів України (щодо створення передумов для модернізації мережі закладів освіти)» </w:t>
            </w:r>
            <w:r w:rsidR="00FF7511">
              <w:rPr>
                <w:rFonts w:ascii="Times New Roman" w:hAnsi="Times New Roman" w:cs="Times New Roman"/>
                <w:sz w:val="24"/>
                <w:szCs w:val="24"/>
              </w:rPr>
              <w:t xml:space="preserve"> забезпечує досягнення цілей.</w:t>
            </w:r>
          </w:p>
          <w:p w:rsidR="00506147" w:rsidRDefault="00506147" w:rsidP="00866469">
            <w:pPr>
              <w:spacing w:before="40"/>
              <w:jc w:val="both"/>
              <w:rPr>
                <w:rFonts w:ascii="Times New Roman" w:hAnsi="Times New Roman" w:cs="Times New Roman"/>
                <w:sz w:val="24"/>
                <w:szCs w:val="24"/>
              </w:rPr>
            </w:pPr>
            <w:r w:rsidRPr="002E6F51">
              <w:rPr>
                <w:rFonts w:ascii="Times New Roman" w:hAnsi="Times New Roman" w:cs="Times New Roman"/>
                <w:sz w:val="24"/>
                <w:szCs w:val="24"/>
              </w:rPr>
              <w:t>Реорганізації ТВСП, коледжів із трансформацією найбільш розвинених в самостійні та відповідальні університети, академії чи інститути або в заклади фахової передвищої освіти з приєднанням до місцевих ЗВО, або припинення їх діяльності. За цією альтернативою принаймні 50% продовжать свою діяльність та 40% з них залишаться ЗВО. Виокремлення фахових коледжів із структури закладів вищої освіти в самостійні юридичні особи з перспективою їх передачі до комунальної власності – принаймні 80% продовжать свою діяльність як окремі юридичні особи або приєдна</w:t>
            </w:r>
            <w:r w:rsidR="003B6CEA" w:rsidRPr="002E6F51">
              <w:rPr>
                <w:rFonts w:ascii="Times New Roman" w:hAnsi="Times New Roman" w:cs="Times New Roman"/>
                <w:sz w:val="24"/>
                <w:szCs w:val="24"/>
              </w:rPr>
              <w:t>ються</w:t>
            </w:r>
            <w:r w:rsidRPr="002E6F51">
              <w:rPr>
                <w:rFonts w:ascii="Times New Roman" w:hAnsi="Times New Roman" w:cs="Times New Roman"/>
                <w:sz w:val="24"/>
                <w:szCs w:val="24"/>
              </w:rPr>
              <w:t xml:space="preserve"> до місцевих закладів освіти (крім </w:t>
            </w:r>
            <w:r w:rsidR="003B6CEA" w:rsidRPr="002E6F51">
              <w:rPr>
                <w:rFonts w:ascii="Times New Roman" w:hAnsi="Times New Roman" w:cs="Times New Roman"/>
                <w:sz w:val="24"/>
                <w:szCs w:val="24"/>
              </w:rPr>
              <w:t>закладів фахової передвищої освіти</w:t>
            </w:r>
            <w:r w:rsidRPr="002E6F51">
              <w:rPr>
                <w:rFonts w:ascii="Times New Roman" w:hAnsi="Times New Roman" w:cs="Times New Roman"/>
                <w:sz w:val="24"/>
                <w:szCs w:val="24"/>
              </w:rPr>
              <w:t>, що знаходяться в одній територіальній громаді з ЗВО). Випускники таких ЗФПО (80%), отримавши рівень фахового молодшого бакалавра, вийдуть на ринок праці та розпочнуть свою економічну активність, інші 20% вступлять у ЗВО для здобуття рівня вищої освіти. Крім того, єдність державного управління цивільними ЗВО та умов маневрування їх функціями та власністю буде забезпечено завдяки консолідації управління цивільними закладами вищої освіти державної форми власності (крім управління медичними закладами вищої освіти) на базі одного державного органу – центрального органу виконавчої влади у сфері освіти і науки. Це передбачає, що 13 ЗВО у сфері культури перейдуть під управління МОН України.</w:t>
            </w:r>
          </w:p>
          <w:p w:rsidR="00FB48EC" w:rsidRDefault="00FB48EC" w:rsidP="00866469">
            <w:pPr>
              <w:spacing w:before="40"/>
              <w:jc w:val="both"/>
              <w:rPr>
                <w:rFonts w:ascii="Times New Roman" w:hAnsi="Times New Roman" w:cs="Times New Roman"/>
                <w:sz w:val="24"/>
                <w:szCs w:val="24"/>
              </w:rPr>
            </w:pPr>
            <w:r w:rsidRPr="00E702FC">
              <w:rPr>
                <w:rFonts w:ascii="Times New Roman" w:hAnsi="Times New Roman" w:cs="Times New Roman"/>
                <w:sz w:val="24"/>
                <w:szCs w:val="24"/>
              </w:rPr>
              <w:t xml:space="preserve">Визначення </w:t>
            </w:r>
            <w:r w:rsidR="00E702FC" w:rsidRPr="00E702FC">
              <w:rPr>
                <w:rFonts w:ascii="Times New Roman" w:hAnsi="Times New Roman" w:cs="Times New Roman"/>
                <w:sz w:val="24"/>
                <w:szCs w:val="24"/>
              </w:rPr>
              <w:t>вимог</w:t>
            </w:r>
            <w:r w:rsidRPr="00E702FC">
              <w:rPr>
                <w:rFonts w:ascii="Times New Roman" w:hAnsi="Times New Roman" w:cs="Times New Roman"/>
                <w:sz w:val="24"/>
                <w:szCs w:val="24"/>
              </w:rPr>
              <w:t xml:space="preserve"> до </w:t>
            </w:r>
            <w:r w:rsidR="00E702FC" w:rsidRPr="00E702FC">
              <w:rPr>
                <w:rFonts w:ascii="Times New Roman" w:hAnsi="Times New Roman" w:cs="Times New Roman"/>
                <w:sz w:val="24"/>
                <w:szCs w:val="24"/>
              </w:rPr>
              <w:t>певного</w:t>
            </w:r>
            <w:r w:rsidRPr="00E702FC">
              <w:rPr>
                <w:rFonts w:ascii="Times New Roman" w:hAnsi="Times New Roman" w:cs="Times New Roman"/>
                <w:sz w:val="24"/>
                <w:szCs w:val="24"/>
              </w:rPr>
              <w:t xml:space="preserve"> типу</w:t>
            </w:r>
            <w:r w:rsidR="00347EA0" w:rsidRPr="00E702FC">
              <w:rPr>
                <w:rFonts w:ascii="Times New Roman" w:hAnsi="Times New Roman" w:cs="Times New Roman"/>
                <w:sz w:val="24"/>
                <w:szCs w:val="24"/>
              </w:rPr>
              <w:t xml:space="preserve"> </w:t>
            </w:r>
            <w:r w:rsidR="00E702FC" w:rsidRPr="00E702FC">
              <w:rPr>
                <w:rFonts w:ascii="Times New Roman" w:hAnsi="Times New Roman" w:cs="Times New Roman"/>
                <w:sz w:val="24"/>
                <w:szCs w:val="24"/>
              </w:rPr>
              <w:t xml:space="preserve">ЗВО </w:t>
            </w:r>
            <w:r w:rsidR="00347EA0" w:rsidRPr="00E702FC">
              <w:rPr>
                <w:rFonts w:ascii="Times New Roman" w:hAnsi="Times New Roman" w:cs="Times New Roman"/>
                <w:sz w:val="24"/>
                <w:szCs w:val="24"/>
              </w:rPr>
              <w:t>дозволить абітурієнтам обирати заклад освіти залежно від своїх цілей, амбіцій та зацікавленості професією. За цією альтернативою принаймні 40%</w:t>
            </w:r>
            <w:r w:rsidR="00AD1C4D" w:rsidRPr="00E702FC">
              <w:rPr>
                <w:rFonts w:ascii="Times New Roman" w:hAnsi="Times New Roman" w:cs="Times New Roman"/>
                <w:sz w:val="24"/>
                <w:szCs w:val="24"/>
              </w:rPr>
              <w:t xml:space="preserve"> ЗВО</w:t>
            </w:r>
            <w:r w:rsidR="00347EA0" w:rsidRPr="00E702FC">
              <w:rPr>
                <w:rFonts w:ascii="Times New Roman" w:hAnsi="Times New Roman" w:cs="Times New Roman"/>
                <w:sz w:val="24"/>
                <w:szCs w:val="24"/>
              </w:rPr>
              <w:t xml:space="preserve"> за</w:t>
            </w:r>
            <w:r w:rsidR="00AD1C4D" w:rsidRPr="00E702FC">
              <w:rPr>
                <w:rFonts w:ascii="Times New Roman" w:hAnsi="Times New Roman" w:cs="Times New Roman"/>
                <w:sz w:val="24"/>
                <w:szCs w:val="24"/>
              </w:rPr>
              <w:t>лишаться в статусі університету та 60%</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 xml:space="preserve">в статусі академії чи інституту. </w:t>
            </w:r>
            <w:r w:rsidR="00F84492" w:rsidRPr="00F84492">
              <w:rPr>
                <w:rFonts w:ascii="Times New Roman" w:hAnsi="Times New Roman" w:cs="Times New Roman"/>
                <w:sz w:val="24"/>
                <w:szCs w:val="24"/>
              </w:rPr>
              <w:t>Здобуття освіти в університетах відбувається за основними фундаментальними і прикладними науками, розвиток науки проявляється в науково-дослідній роботі. Українські університети будуть посідати більш високі позиції в міжнародних університетських рейтингах</w:t>
            </w:r>
            <w:r w:rsidR="00F84492">
              <w:rPr>
                <w:rFonts w:ascii="Times New Roman" w:hAnsi="Times New Roman" w:cs="Times New Roman"/>
                <w:sz w:val="24"/>
                <w:szCs w:val="24"/>
              </w:rPr>
              <w:t xml:space="preserve">. </w:t>
            </w:r>
            <w:r w:rsidR="00BA6B78">
              <w:rPr>
                <w:rFonts w:ascii="Times New Roman" w:hAnsi="Times New Roman" w:cs="Times New Roman"/>
                <w:sz w:val="24"/>
                <w:szCs w:val="24"/>
              </w:rPr>
              <w:t xml:space="preserve">Інститути </w:t>
            </w:r>
            <w:r w:rsidR="00E702FC">
              <w:rPr>
                <w:rFonts w:ascii="Times New Roman" w:hAnsi="Times New Roman" w:cs="Times New Roman"/>
                <w:sz w:val="24"/>
                <w:szCs w:val="24"/>
              </w:rPr>
              <w:t>готують</w:t>
            </w:r>
            <w:r w:rsidR="00F84492">
              <w:rPr>
                <w:rFonts w:ascii="Times New Roman" w:hAnsi="Times New Roman" w:cs="Times New Roman"/>
                <w:sz w:val="24"/>
                <w:szCs w:val="24"/>
              </w:rPr>
              <w:t xml:space="preserve"> сильних, творчих та конкурентоспроможних фахівців, що буде позитивно впливати на рівень та стан різних галузей країни та підвищувати престиж країни </w:t>
            </w:r>
            <w:r w:rsidR="00F84492">
              <w:rPr>
                <w:rFonts w:ascii="Times New Roman" w:hAnsi="Times New Roman" w:cs="Times New Roman"/>
                <w:sz w:val="24"/>
                <w:szCs w:val="24"/>
              </w:rPr>
              <w:lastRenderedPageBreak/>
              <w:t xml:space="preserve">на світовому ринку. </w:t>
            </w:r>
            <w:r w:rsidR="00E702FC" w:rsidRPr="00E702FC">
              <w:rPr>
                <w:rFonts w:ascii="Times New Roman" w:hAnsi="Times New Roman" w:cs="Times New Roman"/>
                <w:sz w:val="24"/>
                <w:szCs w:val="24"/>
              </w:rPr>
              <w:t>П</w:t>
            </w:r>
            <w:r w:rsidR="00347EA0" w:rsidRPr="00E702FC">
              <w:rPr>
                <w:rFonts w:ascii="Times New Roman" w:hAnsi="Times New Roman" w:cs="Times New Roman"/>
                <w:sz w:val="24"/>
                <w:szCs w:val="24"/>
              </w:rPr>
              <w:t>ри цьому</w:t>
            </w:r>
            <w:r w:rsidR="00AD1C4D" w:rsidRPr="00E702FC">
              <w:rPr>
                <w:rFonts w:ascii="Times New Roman" w:hAnsi="Times New Roman" w:cs="Times New Roman"/>
                <w:sz w:val="24"/>
                <w:szCs w:val="24"/>
              </w:rPr>
              <w:t xml:space="preserve"> спостерігається</w:t>
            </w:r>
            <w:r w:rsidR="00347EA0" w:rsidRPr="00E702FC">
              <w:rPr>
                <w:rFonts w:ascii="Times New Roman" w:hAnsi="Times New Roman" w:cs="Times New Roman"/>
                <w:sz w:val="24"/>
                <w:szCs w:val="24"/>
              </w:rPr>
              <w:t xml:space="preserve"> великий вибір спеціальностей,</w:t>
            </w:r>
            <w:r w:rsidR="00AD1C4D" w:rsidRPr="00E702FC">
              <w:rPr>
                <w:rFonts w:ascii="Times New Roman" w:hAnsi="Times New Roman" w:cs="Times New Roman"/>
                <w:sz w:val="24"/>
                <w:szCs w:val="24"/>
              </w:rPr>
              <w:t xml:space="preserve"> викладацький штат відповідає освітнім вимогам і потребам, що позначається на яко</w:t>
            </w:r>
            <w:r w:rsidR="00347EA0" w:rsidRPr="00E702FC">
              <w:rPr>
                <w:rFonts w:ascii="Times New Roman" w:hAnsi="Times New Roman" w:cs="Times New Roman"/>
                <w:sz w:val="24"/>
                <w:szCs w:val="24"/>
              </w:rPr>
              <w:t>ст</w:t>
            </w:r>
            <w:r w:rsidR="00AD1C4D" w:rsidRPr="00E702FC">
              <w:rPr>
                <w:rFonts w:ascii="Times New Roman" w:hAnsi="Times New Roman" w:cs="Times New Roman"/>
                <w:sz w:val="24"/>
                <w:szCs w:val="24"/>
              </w:rPr>
              <w:t>і</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освіти</w:t>
            </w:r>
            <w:r w:rsidR="00F84492">
              <w:rPr>
                <w:rFonts w:ascii="Times New Roman" w:hAnsi="Times New Roman" w:cs="Times New Roman"/>
                <w:sz w:val="24"/>
                <w:szCs w:val="24"/>
              </w:rPr>
              <w:t>.</w:t>
            </w:r>
          </w:p>
          <w:p w:rsidR="0001645E" w:rsidRPr="002E6F51" w:rsidRDefault="00CA62D9" w:rsidP="00864DDA">
            <w:pPr>
              <w:spacing w:before="40" w:after="240"/>
              <w:jc w:val="both"/>
              <w:rPr>
                <w:rFonts w:ascii="Times New Roman" w:hAnsi="Times New Roman" w:cs="Times New Roman"/>
                <w:sz w:val="24"/>
                <w:szCs w:val="24"/>
              </w:rPr>
            </w:pPr>
            <w:r w:rsidRPr="00796D25">
              <w:rPr>
                <w:rFonts w:ascii="Times New Roman" w:hAnsi="Times New Roman" w:cs="Times New Roman"/>
                <w:color w:val="000000" w:themeColor="text1"/>
                <w:sz w:val="24"/>
                <w:szCs w:val="24"/>
              </w:rPr>
              <w:t xml:space="preserve">Заклади вищої освіти та наукові установи будуть здійснювати </w:t>
            </w:r>
            <w:r w:rsidRPr="00796D25">
              <w:rPr>
                <w:rFonts w:ascii="Times New Roman" w:hAnsi="Times New Roman" w:cs="Times New Roman"/>
                <w:sz w:val="24"/>
                <w:szCs w:val="24"/>
              </w:rPr>
              <w:t xml:space="preserve">прийом на навчання для здобуття ступеня доктора філософії або доктора мистецтва за умови наявності акредитованих за другим (магістерським) рівнем освітніх програм відповідної спеціальності (усіх спеціальностей галузі або спеціальностей, що входять до міждисциплінарної освітньо-наукової програми). В іншому випадку ЗВО </w:t>
            </w:r>
            <w:r w:rsidRPr="00796D25">
              <w:rPr>
                <w:rFonts w:ascii="Times New Roman" w:hAnsi="Times New Roman" w:cs="Times New Roman"/>
                <w:color w:val="000000" w:themeColor="text1"/>
                <w:sz w:val="24"/>
                <w:szCs w:val="24"/>
              </w:rPr>
              <w:t xml:space="preserve">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ЗВО. Принаймні </w:t>
            </w:r>
            <w:r w:rsidRPr="00FF7511">
              <w:rPr>
                <w:rFonts w:ascii="Times New Roman" w:hAnsi="Times New Roman" w:cs="Times New Roman"/>
                <w:color w:val="000000" w:themeColor="text1"/>
                <w:sz w:val="24"/>
                <w:szCs w:val="24"/>
              </w:rPr>
              <w:t>60% освітньо-наукових програм</w:t>
            </w:r>
            <w:r w:rsidRPr="00796D25">
              <w:rPr>
                <w:rFonts w:ascii="Times New Roman" w:hAnsi="Times New Roman" w:cs="Times New Roman"/>
                <w:color w:val="000000" w:themeColor="text1"/>
                <w:sz w:val="24"/>
                <w:szCs w:val="24"/>
              </w:rPr>
              <w:t xml:space="preserve"> із тих, які не реалізовувалися на рівні магістратури, виконають вимогу щодо наявності магістратури та акредитації таких програм.</w:t>
            </w:r>
            <w:r w:rsidR="00F4541C">
              <w:rPr>
                <w:rFonts w:ascii="Arial" w:hAnsi="Arial" w:cs="Arial"/>
                <w:color w:val="636363"/>
                <w:spacing w:val="5"/>
                <w:sz w:val="27"/>
                <w:szCs w:val="27"/>
              </w:rPr>
              <w:t> </w:t>
            </w:r>
          </w:p>
        </w:tc>
      </w:tr>
    </w:tbl>
    <w:p w:rsidR="009C0407" w:rsidRPr="002E6F51" w:rsidRDefault="00D42DE4" w:rsidP="00807C50">
      <w:pPr>
        <w:pStyle w:val="a4"/>
        <w:numPr>
          <w:ilvl w:val="0"/>
          <w:numId w:val="1"/>
        </w:numPr>
        <w:spacing w:before="240" w:after="0"/>
        <w:ind w:left="714" w:hanging="357"/>
        <w:jc w:val="both"/>
        <w:rPr>
          <w:rFonts w:ascii="Times New Roman" w:hAnsi="Times New Roman" w:cs="Times New Roman"/>
          <w:b/>
          <w:sz w:val="28"/>
          <w:szCs w:val="28"/>
        </w:rPr>
      </w:pPr>
      <w:r w:rsidRPr="002E6F51">
        <w:rPr>
          <w:rFonts w:ascii="Times New Roman" w:hAnsi="Times New Roman" w:cs="Times New Roman"/>
          <w:b/>
          <w:sz w:val="28"/>
          <w:szCs w:val="28"/>
        </w:rPr>
        <w:lastRenderedPageBreak/>
        <w:t>Оцінка вибраних альтернативних способів досягнення цілей</w:t>
      </w:r>
    </w:p>
    <w:p w:rsidR="002E6F51" w:rsidRPr="002E6F51" w:rsidRDefault="002E6F51" w:rsidP="002E6F51">
      <w:pPr>
        <w:spacing w:before="120" w:after="120"/>
        <w:ind w:left="357"/>
        <w:jc w:val="both"/>
        <w:rPr>
          <w:rFonts w:ascii="Times New Roman" w:hAnsi="Times New Roman" w:cs="Times New Roman"/>
          <w:b/>
          <w:sz w:val="28"/>
          <w:szCs w:val="28"/>
        </w:rPr>
      </w:pPr>
      <w:r w:rsidRPr="002E6F51">
        <w:rPr>
          <w:rFonts w:ascii="Times New Roman" w:hAnsi="Times New Roman" w:cs="Times New Roman"/>
          <w:b/>
          <w:sz w:val="28"/>
          <w:szCs w:val="28"/>
        </w:rPr>
        <w:t>Оцінка впливу на сферу інтересів держави</w:t>
      </w:r>
    </w:p>
    <w:tbl>
      <w:tblPr>
        <w:tblStyle w:val="a3"/>
        <w:tblW w:w="0" w:type="auto"/>
        <w:tblLook w:val="04A0" w:firstRow="1" w:lastRow="0" w:firstColumn="1" w:lastColumn="0" w:noHBand="0" w:noVBand="1"/>
      </w:tblPr>
      <w:tblGrid>
        <w:gridCol w:w="1885"/>
        <w:gridCol w:w="3871"/>
        <w:gridCol w:w="3871"/>
      </w:tblGrid>
      <w:tr w:rsidR="002E6F51" w:rsidTr="00807C50">
        <w:tc>
          <w:tcPr>
            <w:tcW w:w="1885"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872"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Не потрібно нічого змінювати. Вигоди відсутні.</w:t>
            </w:r>
          </w:p>
        </w:tc>
        <w:tc>
          <w:tcPr>
            <w:tcW w:w="3872" w:type="dxa"/>
          </w:tcPr>
          <w:p w:rsidR="00AC4B1D" w:rsidRDefault="00AC4B1D" w:rsidP="00207AC2">
            <w:pPr>
              <w:jc w:val="both"/>
              <w:rPr>
                <w:rFonts w:ascii="Times New Roman" w:hAnsi="Times New Roman" w:cs="Times New Roman"/>
                <w:sz w:val="24"/>
                <w:szCs w:val="24"/>
              </w:rPr>
            </w:pPr>
            <w:r>
              <w:rPr>
                <w:rFonts w:ascii="Times New Roman" w:eastAsia="Times New Roman" w:hAnsi="Times New Roman" w:cs="Times New Roman"/>
                <w:spacing w:val="-6"/>
                <w:sz w:val="24"/>
                <w:szCs w:val="24"/>
                <w:lang w:eastAsia="uk-UA"/>
              </w:rPr>
              <w:t>Ускладнення євроінтеграційних процесів, зокрема в частині модернізації мережі закладів освіти.</w:t>
            </w:r>
          </w:p>
          <w:p w:rsidR="00207AC2" w:rsidRDefault="00E73713" w:rsidP="00207AC2">
            <w:pPr>
              <w:jc w:val="both"/>
              <w:rPr>
                <w:rFonts w:ascii="Times New Roman" w:hAnsi="Times New Roman" w:cs="Times New Roman"/>
                <w:sz w:val="24"/>
                <w:szCs w:val="24"/>
              </w:rPr>
            </w:pPr>
            <w:r w:rsidRPr="00E73713">
              <w:rPr>
                <w:rFonts w:ascii="Times New Roman" w:hAnsi="Times New Roman" w:cs="Times New Roman"/>
                <w:sz w:val="24"/>
                <w:szCs w:val="24"/>
              </w:rPr>
              <w:t>Витрати пов’язані 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від бізнесу щодо невідповідної якості підготовки кадрів, звернення закладів щодо необхідності переведення здобувачів до інши</w:t>
            </w:r>
            <w:r w:rsidR="00207AC2">
              <w:rPr>
                <w:rFonts w:ascii="Times New Roman" w:hAnsi="Times New Roman" w:cs="Times New Roman"/>
                <w:sz w:val="24"/>
                <w:szCs w:val="24"/>
              </w:rPr>
              <w:t>х</w:t>
            </w:r>
            <w:r w:rsidRPr="00E73713">
              <w:rPr>
                <w:rFonts w:ascii="Times New Roman" w:hAnsi="Times New Roman" w:cs="Times New Roman"/>
                <w:sz w:val="24"/>
                <w:szCs w:val="24"/>
              </w:rPr>
              <w:t xml:space="preserve"> закладів з причини </w:t>
            </w:r>
            <w:r w:rsidR="00207AC2" w:rsidRPr="00E73713">
              <w:rPr>
                <w:rFonts w:ascii="Times New Roman" w:hAnsi="Times New Roman" w:cs="Times New Roman"/>
                <w:sz w:val="24"/>
                <w:szCs w:val="24"/>
              </w:rPr>
              <w:t>не акредитації</w:t>
            </w:r>
            <w:r w:rsidRPr="00E73713">
              <w:rPr>
                <w:rFonts w:ascii="Times New Roman" w:hAnsi="Times New Roman" w:cs="Times New Roman"/>
                <w:sz w:val="24"/>
                <w:szCs w:val="24"/>
              </w:rPr>
              <w:t xml:space="preserve"> освітніх програм та завершення ними навчання в інших ЗВО. </w:t>
            </w:r>
          </w:p>
          <w:p w:rsidR="00815C4F" w:rsidRDefault="00E73713" w:rsidP="001414DC">
            <w:pPr>
              <w:jc w:val="both"/>
              <w:rPr>
                <w:rFonts w:ascii="Times New Roman" w:hAnsi="Times New Roman" w:cs="Times New Roman"/>
                <w:sz w:val="24"/>
                <w:szCs w:val="24"/>
              </w:rPr>
            </w:pPr>
            <w:r w:rsidRPr="00E73713">
              <w:rPr>
                <w:rFonts w:ascii="Times New Roman" w:hAnsi="Times New Roman" w:cs="Times New Roman"/>
                <w:sz w:val="24"/>
                <w:szCs w:val="24"/>
              </w:rPr>
              <w:t>За оцінками</w:t>
            </w:r>
            <w:r w:rsidR="00E179F9" w:rsidRPr="00815C4F">
              <w:rPr>
                <w:rFonts w:ascii="Times New Roman" w:hAnsi="Times New Roman" w:cs="Times New Roman"/>
                <w:sz w:val="24"/>
                <w:szCs w:val="24"/>
              </w:rPr>
              <w:t xml:space="preserve"> на </w:t>
            </w:r>
            <w:r w:rsidR="008127A3">
              <w:rPr>
                <w:rFonts w:ascii="Times New Roman" w:hAnsi="Times New Roman" w:cs="Times New Roman"/>
                <w:sz w:val="24"/>
                <w:szCs w:val="24"/>
              </w:rPr>
              <w:t xml:space="preserve">це витрачається до 1000 годин робочого часу </w:t>
            </w:r>
            <w:r w:rsidRPr="00815C4F">
              <w:rPr>
                <w:rFonts w:ascii="Times New Roman" w:hAnsi="Times New Roman" w:cs="Times New Roman"/>
                <w:sz w:val="24"/>
                <w:szCs w:val="24"/>
              </w:rPr>
              <w:t>співробітник</w:t>
            </w:r>
            <w:r w:rsidR="008127A3">
              <w:rPr>
                <w:rFonts w:ascii="Times New Roman" w:hAnsi="Times New Roman" w:cs="Times New Roman"/>
                <w:sz w:val="24"/>
                <w:szCs w:val="24"/>
              </w:rPr>
              <w:t>ів</w:t>
            </w:r>
            <w:r w:rsidRPr="00815C4F">
              <w:rPr>
                <w:rFonts w:ascii="Times New Roman" w:hAnsi="Times New Roman" w:cs="Times New Roman"/>
                <w:sz w:val="24"/>
                <w:szCs w:val="24"/>
              </w:rPr>
              <w:t xml:space="preserve"> Міністерства освіти і науки України</w:t>
            </w:r>
            <w:r w:rsidR="008127A3">
              <w:rPr>
                <w:rFonts w:ascii="Times New Roman" w:hAnsi="Times New Roman" w:cs="Times New Roman"/>
                <w:sz w:val="24"/>
                <w:szCs w:val="24"/>
              </w:rPr>
              <w:t xml:space="preserve"> на рік</w:t>
            </w:r>
            <w:r w:rsidR="001D758A">
              <w:rPr>
                <w:rFonts w:ascii="Times New Roman" w:hAnsi="Times New Roman" w:cs="Times New Roman"/>
                <w:sz w:val="24"/>
                <w:szCs w:val="24"/>
              </w:rPr>
              <w:t xml:space="preserve">. Витрати, пов’язані із розглядом звернень </w:t>
            </w:r>
            <w:r w:rsidR="001D758A">
              <w:rPr>
                <w:rFonts w:ascii="Times New Roman" w:hAnsi="Times New Roman" w:cs="Times New Roman"/>
                <w:sz w:val="24"/>
                <w:szCs w:val="24"/>
              </w:rPr>
              <w:lastRenderedPageBreak/>
              <w:t>закладів освіти становитимуть 1</w:t>
            </w:r>
            <w:r w:rsidR="008127A3">
              <w:rPr>
                <w:rFonts w:ascii="Times New Roman" w:hAnsi="Times New Roman" w:cs="Times New Roman"/>
                <w:sz w:val="24"/>
                <w:szCs w:val="24"/>
              </w:rPr>
              <w:t>71</w:t>
            </w:r>
            <w:r w:rsidR="001D758A">
              <w:rPr>
                <w:rFonts w:ascii="Times New Roman" w:hAnsi="Times New Roman" w:cs="Times New Roman"/>
                <w:sz w:val="24"/>
                <w:szCs w:val="24"/>
              </w:rPr>
              <w:t> </w:t>
            </w:r>
            <w:r w:rsidR="008127A3">
              <w:rPr>
                <w:rFonts w:ascii="Times New Roman" w:hAnsi="Times New Roman" w:cs="Times New Roman"/>
                <w:sz w:val="24"/>
                <w:szCs w:val="24"/>
              </w:rPr>
              <w:t>010</w:t>
            </w:r>
            <w:r w:rsidR="001D758A">
              <w:rPr>
                <w:rFonts w:ascii="Times New Roman" w:hAnsi="Times New Roman" w:cs="Times New Roman"/>
                <w:sz w:val="24"/>
                <w:szCs w:val="24"/>
              </w:rPr>
              <w:t>,</w:t>
            </w:r>
            <w:r w:rsidR="008127A3">
              <w:rPr>
                <w:rFonts w:ascii="Times New Roman" w:hAnsi="Times New Roman" w:cs="Times New Roman"/>
                <w:sz w:val="24"/>
                <w:szCs w:val="24"/>
              </w:rPr>
              <w:t>00</w:t>
            </w:r>
            <w:r w:rsidR="001D758A">
              <w:rPr>
                <w:rFonts w:ascii="Times New Roman" w:hAnsi="Times New Roman" w:cs="Times New Roman"/>
                <w:sz w:val="24"/>
                <w:szCs w:val="24"/>
              </w:rPr>
              <w:t xml:space="preserve"> грн.</w:t>
            </w:r>
            <w:r w:rsidR="008127A3">
              <w:rPr>
                <w:rFonts w:ascii="Times New Roman" w:hAnsi="Times New Roman" w:cs="Times New Roman"/>
                <w:sz w:val="24"/>
                <w:szCs w:val="24"/>
              </w:rPr>
              <w:t xml:space="preserve"> (1 година держслужбовця = 171,01 грн.)</w:t>
            </w:r>
          </w:p>
          <w:p w:rsidR="00B033C2" w:rsidRPr="00E73713" w:rsidRDefault="00E179F9" w:rsidP="008127A3">
            <w:pPr>
              <w:spacing w:before="160" w:after="120"/>
              <w:jc w:val="both"/>
              <w:rPr>
                <w:rFonts w:ascii="Times New Roman" w:hAnsi="Times New Roman" w:cs="Times New Roman"/>
                <w:sz w:val="24"/>
                <w:szCs w:val="24"/>
              </w:rPr>
            </w:pPr>
            <w:r>
              <w:rPr>
                <w:rFonts w:ascii="Times New Roman" w:hAnsi="Times New Roman" w:cs="Times New Roman"/>
                <w:sz w:val="24"/>
                <w:szCs w:val="24"/>
              </w:rPr>
              <w:t xml:space="preserve">Усього: </w:t>
            </w:r>
            <w:r w:rsidR="008127A3">
              <w:rPr>
                <w:rFonts w:ascii="Times New Roman" w:hAnsi="Times New Roman" w:cs="Times New Roman"/>
                <w:sz w:val="24"/>
                <w:szCs w:val="24"/>
              </w:rPr>
              <w:t>171</w:t>
            </w:r>
            <w:r w:rsidR="001D758A">
              <w:rPr>
                <w:rFonts w:ascii="Times New Roman" w:hAnsi="Times New Roman" w:cs="Times New Roman"/>
                <w:sz w:val="24"/>
                <w:szCs w:val="24"/>
              </w:rPr>
              <w:t> </w:t>
            </w:r>
            <w:r w:rsidR="008127A3">
              <w:rPr>
                <w:rFonts w:ascii="Times New Roman" w:hAnsi="Times New Roman" w:cs="Times New Roman"/>
                <w:sz w:val="24"/>
                <w:szCs w:val="24"/>
              </w:rPr>
              <w:t>010,00</w:t>
            </w:r>
            <w:r w:rsidR="001D758A">
              <w:rPr>
                <w:rFonts w:ascii="Times New Roman" w:hAnsi="Times New Roman" w:cs="Times New Roman"/>
                <w:sz w:val="24"/>
                <w:szCs w:val="24"/>
              </w:rPr>
              <w:t xml:space="preserve"> </w:t>
            </w:r>
            <w:r w:rsidR="00C07F7E" w:rsidRPr="0040196B">
              <w:rPr>
                <w:rFonts w:ascii="Times New Roman" w:hAnsi="Times New Roman" w:cs="Times New Roman"/>
                <w:sz w:val="24"/>
                <w:szCs w:val="24"/>
              </w:rPr>
              <w:t>грн.</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lastRenderedPageBreak/>
              <w:t>Альтернатива 2</w:t>
            </w:r>
          </w:p>
        </w:tc>
        <w:tc>
          <w:tcPr>
            <w:tcW w:w="3872" w:type="dxa"/>
          </w:tcPr>
          <w:p w:rsidR="00E73713"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 xml:space="preserve">Ухвалення Закону України «Про внесення змін до деяких законів України (щодо створення передумов для модернізації мережі закладів освіти)» </w:t>
            </w:r>
            <w:r w:rsidR="00E73713">
              <w:rPr>
                <w:rFonts w:ascii="Times New Roman" w:hAnsi="Times New Roman" w:cs="Times New Roman"/>
                <w:sz w:val="24"/>
                <w:szCs w:val="24"/>
              </w:rPr>
              <w:t>адаптує</w:t>
            </w:r>
            <w:r w:rsidRPr="002E6F51">
              <w:rPr>
                <w:rFonts w:ascii="Times New Roman" w:hAnsi="Times New Roman" w:cs="Times New Roman"/>
                <w:sz w:val="24"/>
                <w:szCs w:val="24"/>
              </w:rPr>
              <w:t xml:space="preserve"> систем</w:t>
            </w:r>
            <w:r w:rsidR="00E73713">
              <w:rPr>
                <w:rFonts w:ascii="Times New Roman" w:hAnsi="Times New Roman" w:cs="Times New Roman"/>
                <w:sz w:val="24"/>
                <w:szCs w:val="24"/>
              </w:rPr>
              <w:t>у</w:t>
            </w:r>
            <w:r w:rsidRPr="002E6F51">
              <w:rPr>
                <w:rFonts w:ascii="Times New Roman" w:hAnsi="Times New Roman" w:cs="Times New Roman"/>
                <w:sz w:val="24"/>
                <w:szCs w:val="24"/>
              </w:rPr>
              <w:t xml:space="preserve"> вищої освіти до демографічних змін та зміни регіональної структури економіки,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 та підвищить концентрацію фінансових ресурсів на якісній підготовці фахівців. </w:t>
            </w:r>
          </w:p>
          <w:p w:rsidR="002E6F51"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Відбудеться скорочення витрат держави, 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звернень щодо неналежної якості організації освітнього процесу, від бізнесу щодо невідповідної якості підготовки кадрів.</w:t>
            </w:r>
          </w:p>
          <w:p w:rsidR="002A31EC" w:rsidRDefault="00417B8B" w:rsidP="00807C50">
            <w:pPr>
              <w:jc w:val="both"/>
              <w:rPr>
                <w:rFonts w:ascii="Times New Roman" w:hAnsi="Times New Roman" w:cs="Times New Roman"/>
                <w:sz w:val="24"/>
                <w:szCs w:val="24"/>
              </w:rPr>
            </w:pPr>
            <w:r>
              <w:rPr>
                <w:rFonts w:ascii="Times New Roman" w:hAnsi="Times New Roman" w:cs="Times New Roman"/>
                <w:sz w:val="24"/>
                <w:szCs w:val="24"/>
              </w:rPr>
              <w:t>П</w:t>
            </w:r>
            <w:r w:rsidRPr="002A31EC">
              <w:rPr>
                <w:rFonts w:ascii="Times New Roman" w:hAnsi="Times New Roman" w:cs="Times New Roman"/>
                <w:sz w:val="24"/>
                <w:szCs w:val="24"/>
              </w:rPr>
              <w:t>ередбачається запровадження чітких критеріїв віднесення закладів вищої освіти до того чи іншого тип</w:t>
            </w:r>
            <w:r w:rsidR="00807C50">
              <w:rPr>
                <w:rFonts w:ascii="Times New Roman" w:hAnsi="Times New Roman" w:cs="Times New Roman"/>
                <w:sz w:val="24"/>
                <w:szCs w:val="24"/>
              </w:rPr>
              <w:t xml:space="preserve">у, які </w:t>
            </w:r>
            <w:r w:rsidRPr="002A31EC">
              <w:rPr>
                <w:rFonts w:ascii="Times New Roman" w:hAnsi="Times New Roman" w:cs="Times New Roman"/>
                <w:sz w:val="24"/>
                <w:szCs w:val="24"/>
              </w:rPr>
              <w:t>значною мірою реалізов</w:t>
            </w:r>
            <w:r>
              <w:rPr>
                <w:rFonts w:ascii="Times New Roman" w:hAnsi="Times New Roman" w:cs="Times New Roman"/>
                <w:sz w:val="24"/>
                <w:szCs w:val="24"/>
              </w:rPr>
              <w:t>уються</w:t>
            </w:r>
            <w:r w:rsidRPr="002A31EC">
              <w:rPr>
                <w:rFonts w:ascii="Times New Roman" w:hAnsi="Times New Roman" w:cs="Times New Roman"/>
                <w:sz w:val="24"/>
                <w:szCs w:val="24"/>
              </w:rPr>
              <w:t xml:space="preserve"> інструментами ЄДЕБО. </w:t>
            </w:r>
          </w:p>
          <w:p w:rsidR="00864DDA" w:rsidRPr="002A31EC" w:rsidRDefault="00864DDA" w:rsidP="003E30E1">
            <w:pPr>
              <w:jc w:val="both"/>
              <w:rPr>
                <w:rFonts w:ascii="Times New Roman" w:hAnsi="Times New Roman" w:cs="Times New Roman"/>
                <w:sz w:val="24"/>
                <w:szCs w:val="24"/>
              </w:rPr>
            </w:pPr>
          </w:p>
        </w:tc>
        <w:tc>
          <w:tcPr>
            <w:tcW w:w="3872" w:type="dxa"/>
          </w:tcPr>
          <w:p w:rsidR="00417B8B"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t>Реалізація проєкту Закону не потребуватиме додаткових витрат з державного бюджету, витрати в межах бюджетних асигнувань.</w:t>
            </w:r>
          </w:p>
          <w:p w:rsidR="00417B8B" w:rsidRDefault="00EF293E" w:rsidP="008C7633">
            <w:pPr>
              <w:spacing w:before="120"/>
              <w:jc w:val="both"/>
              <w:rPr>
                <w:rFonts w:ascii="Times New Roman" w:hAnsi="Times New Roman" w:cs="Times New Roman"/>
                <w:sz w:val="24"/>
                <w:szCs w:val="24"/>
              </w:rPr>
            </w:pPr>
            <w:r>
              <w:rPr>
                <w:rFonts w:ascii="Times New Roman" w:hAnsi="Times New Roman" w:cs="Times New Roman"/>
                <w:sz w:val="24"/>
                <w:szCs w:val="24"/>
              </w:rPr>
              <w:t>Витрати на переоформлення ліцензій</w:t>
            </w:r>
          </w:p>
          <w:p w:rsidR="00E00380" w:rsidRDefault="0040196B" w:rsidP="008C7633">
            <w:pPr>
              <w:spacing w:before="120"/>
              <w:jc w:val="both"/>
              <w:rPr>
                <w:rFonts w:ascii="Times New Roman" w:hAnsi="Times New Roman" w:cs="Times New Roman"/>
                <w:sz w:val="24"/>
                <w:szCs w:val="24"/>
              </w:rPr>
            </w:pPr>
            <w:r>
              <w:rPr>
                <w:rFonts w:ascii="Times New Roman" w:hAnsi="Times New Roman" w:cs="Times New Roman"/>
                <w:sz w:val="24"/>
                <w:szCs w:val="24"/>
              </w:rPr>
              <w:t>674*122,00 грн./год = 82 228 грн.</w:t>
            </w:r>
          </w:p>
          <w:p w:rsidR="00207AC2"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t>В</w:t>
            </w:r>
            <w:r w:rsidR="00207AC2" w:rsidRPr="00207AC2">
              <w:rPr>
                <w:rFonts w:ascii="Times New Roman" w:hAnsi="Times New Roman" w:cs="Times New Roman"/>
                <w:sz w:val="24"/>
                <w:szCs w:val="24"/>
              </w:rPr>
              <w:t xml:space="preserve">итрати, пов’язані з інформуванням закладів освіти про внесені зміни: </w:t>
            </w:r>
          </w:p>
          <w:p w:rsidR="00207AC2" w:rsidRDefault="0040196B" w:rsidP="00207AC2">
            <w:pPr>
              <w:jc w:val="both"/>
              <w:rPr>
                <w:rFonts w:ascii="Times New Roman" w:hAnsi="Times New Roman" w:cs="Times New Roman"/>
                <w:sz w:val="24"/>
                <w:szCs w:val="24"/>
              </w:rPr>
            </w:pPr>
            <w:r>
              <w:rPr>
                <w:rFonts w:ascii="Times New Roman" w:hAnsi="Times New Roman" w:cs="Times New Roman"/>
                <w:sz w:val="24"/>
                <w:szCs w:val="24"/>
              </w:rPr>
              <w:t>дві</w:t>
            </w:r>
            <w:r w:rsidR="00207AC2" w:rsidRPr="00207AC2">
              <w:rPr>
                <w:rFonts w:ascii="Times New Roman" w:hAnsi="Times New Roman" w:cs="Times New Roman"/>
                <w:sz w:val="24"/>
                <w:szCs w:val="24"/>
              </w:rPr>
              <w:t xml:space="preserve"> онлайн-наради 1,5 год х 1</w:t>
            </w:r>
            <w:r w:rsidR="00AA3655">
              <w:rPr>
                <w:rFonts w:ascii="Times New Roman" w:hAnsi="Times New Roman" w:cs="Times New Roman"/>
                <w:sz w:val="24"/>
                <w:szCs w:val="24"/>
              </w:rPr>
              <w:t>71</w:t>
            </w:r>
            <w:r w:rsidR="00207AC2" w:rsidRPr="00207AC2">
              <w:rPr>
                <w:rFonts w:ascii="Times New Roman" w:hAnsi="Times New Roman" w:cs="Times New Roman"/>
                <w:sz w:val="24"/>
                <w:szCs w:val="24"/>
              </w:rPr>
              <w:t>,</w:t>
            </w:r>
            <w:r w:rsidR="00AA3655">
              <w:rPr>
                <w:rFonts w:ascii="Times New Roman" w:hAnsi="Times New Roman" w:cs="Times New Roman"/>
                <w:sz w:val="24"/>
                <w:szCs w:val="24"/>
              </w:rPr>
              <w:t>0</w:t>
            </w:r>
            <w:r w:rsidR="00207AC2" w:rsidRPr="00207AC2">
              <w:rPr>
                <w:rFonts w:ascii="Times New Roman" w:hAnsi="Times New Roman" w:cs="Times New Roman"/>
                <w:sz w:val="24"/>
                <w:szCs w:val="24"/>
              </w:rPr>
              <w:t xml:space="preserve">1 грн /год = </w:t>
            </w:r>
            <w:r>
              <w:rPr>
                <w:rFonts w:ascii="Times New Roman" w:hAnsi="Times New Roman" w:cs="Times New Roman"/>
                <w:sz w:val="24"/>
                <w:szCs w:val="24"/>
              </w:rPr>
              <w:t>513</w:t>
            </w:r>
            <w:r w:rsidR="00417B8B" w:rsidRPr="00417B8B">
              <w:rPr>
                <w:rFonts w:ascii="Times New Roman" w:hAnsi="Times New Roman" w:cs="Times New Roman"/>
                <w:sz w:val="24"/>
                <w:szCs w:val="24"/>
              </w:rPr>
              <w:t>,</w:t>
            </w:r>
            <w:r>
              <w:rPr>
                <w:rFonts w:ascii="Times New Roman" w:hAnsi="Times New Roman" w:cs="Times New Roman"/>
                <w:sz w:val="24"/>
                <w:szCs w:val="24"/>
              </w:rPr>
              <w:t>01</w:t>
            </w:r>
            <w:r w:rsidR="00AA3655" w:rsidRPr="00417B8B">
              <w:rPr>
                <w:rFonts w:ascii="Times New Roman" w:hAnsi="Times New Roman" w:cs="Times New Roman"/>
                <w:sz w:val="24"/>
                <w:szCs w:val="24"/>
              </w:rPr>
              <w:t xml:space="preserve"> </w:t>
            </w:r>
            <w:r w:rsidR="00207AC2" w:rsidRPr="00417B8B">
              <w:rPr>
                <w:rFonts w:ascii="Times New Roman" w:hAnsi="Times New Roman" w:cs="Times New Roman"/>
                <w:sz w:val="24"/>
                <w:szCs w:val="24"/>
              </w:rPr>
              <w:t>грн.</w:t>
            </w:r>
            <w:r w:rsidR="00207AC2" w:rsidRPr="00207AC2">
              <w:rPr>
                <w:rFonts w:ascii="Times New Roman" w:hAnsi="Times New Roman" w:cs="Times New Roman"/>
                <w:sz w:val="24"/>
                <w:szCs w:val="24"/>
              </w:rPr>
              <w:t xml:space="preserve"> </w:t>
            </w:r>
          </w:p>
          <w:p w:rsidR="00417B8B" w:rsidRDefault="00417B8B" w:rsidP="00207AC2">
            <w:pPr>
              <w:jc w:val="both"/>
              <w:rPr>
                <w:rFonts w:ascii="Times New Roman" w:hAnsi="Times New Roman" w:cs="Times New Roman"/>
                <w:sz w:val="24"/>
                <w:szCs w:val="24"/>
              </w:rPr>
            </w:pPr>
          </w:p>
          <w:p w:rsidR="002E6F51" w:rsidRPr="00417B8B" w:rsidRDefault="00207AC2" w:rsidP="00AA3655">
            <w:pPr>
              <w:jc w:val="both"/>
              <w:rPr>
                <w:rFonts w:ascii="Times New Roman" w:hAnsi="Times New Roman" w:cs="Times New Roman"/>
                <w:sz w:val="24"/>
                <w:szCs w:val="24"/>
                <w:u w:val="single"/>
              </w:rPr>
            </w:pPr>
            <w:r w:rsidRPr="00207AC2">
              <w:rPr>
                <w:rFonts w:ascii="Times New Roman" w:hAnsi="Times New Roman" w:cs="Times New Roman"/>
                <w:sz w:val="24"/>
                <w:szCs w:val="24"/>
              </w:rPr>
              <w:t>Усього</w:t>
            </w:r>
            <w:r w:rsidRPr="00C07F7E">
              <w:rPr>
                <w:rFonts w:ascii="Times New Roman" w:hAnsi="Times New Roman" w:cs="Times New Roman"/>
                <w:sz w:val="24"/>
                <w:szCs w:val="24"/>
              </w:rPr>
              <w:t xml:space="preserve">: </w:t>
            </w:r>
            <w:r w:rsidR="0040196B">
              <w:rPr>
                <w:rFonts w:ascii="Times New Roman" w:hAnsi="Times New Roman" w:cs="Times New Roman"/>
                <w:sz w:val="24"/>
                <w:szCs w:val="24"/>
              </w:rPr>
              <w:t>82 741,0</w:t>
            </w:r>
            <w:r w:rsidR="00B21E2D">
              <w:rPr>
                <w:rFonts w:ascii="Times New Roman" w:hAnsi="Times New Roman" w:cs="Times New Roman"/>
                <w:sz w:val="24"/>
                <w:szCs w:val="24"/>
              </w:rPr>
              <w:t>3</w:t>
            </w:r>
            <w:r w:rsidR="0040196B">
              <w:rPr>
                <w:rFonts w:ascii="Times New Roman" w:hAnsi="Times New Roman" w:cs="Times New Roman"/>
                <w:sz w:val="24"/>
                <w:szCs w:val="24"/>
              </w:rPr>
              <w:t xml:space="preserve"> грн</w:t>
            </w:r>
          </w:p>
          <w:p w:rsidR="00072252" w:rsidRDefault="00072252" w:rsidP="00AA3655">
            <w:pPr>
              <w:jc w:val="both"/>
              <w:rPr>
                <w:rFonts w:ascii="Times New Roman" w:hAnsi="Times New Roman" w:cs="Times New Roman"/>
                <w:b/>
                <w:sz w:val="24"/>
                <w:szCs w:val="24"/>
                <w:u w:val="single"/>
              </w:rPr>
            </w:pPr>
          </w:p>
          <w:p w:rsidR="000102B0" w:rsidRDefault="000102B0" w:rsidP="00AA3655">
            <w:pPr>
              <w:jc w:val="both"/>
              <w:rPr>
                <w:rFonts w:ascii="Times New Roman" w:hAnsi="Times New Roman" w:cs="Times New Roman"/>
                <w:b/>
                <w:sz w:val="24"/>
                <w:szCs w:val="24"/>
                <w:u w:val="single"/>
              </w:rPr>
            </w:pPr>
          </w:p>
          <w:p w:rsidR="000102B0" w:rsidRPr="00207AC2" w:rsidRDefault="000102B0" w:rsidP="00AA3655">
            <w:pPr>
              <w:jc w:val="both"/>
              <w:rPr>
                <w:rFonts w:ascii="Times New Roman" w:hAnsi="Times New Roman" w:cs="Times New Roman"/>
                <w:sz w:val="24"/>
                <w:szCs w:val="24"/>
              </w:rPr>
            </w:pPr>
          </w:p>
        </w:tc>
      </w:tr>
    </w:tbl>
    <w:p w:rsidR="00207AC2" w:rsidRPr="00207AC2" w:rsidRDefault="00207AC2" w:rsidP="00866469">
      <w:pPr>
        <w:spacing w:before="120" w:after="120"/>
        <w:jc w:val="both"/>
        <w:rPr>
          <w:rFonts w:ascii="Times New Roman" w:hAnsi="Times New Roman" w:cs="Times New Roman"/>
          <w:b/>
          <w:sz w:val="28"/>
          <w:szCs w:val="28"/>
        </w:rPr>
      </w:pPr>
      <w:r w:rsidRPr="00207AC2">
        <w:rPr>
          <w:rFonts w:ascii="Times New Roman" w:hAnsi="Times New Roman" w:cs="Times New Roman"/>
          <w:b/>
          <w:sz w:val="28"/>
          <w:szCs w:val="28"/>
        </w:rPr>
        <w:t>Оцінка впливу на сферу інтересів громадян</w:t>
      </w:r>
    </w:p>
    <w:tbl>
      <w:tblPr>
        <w:tblStyle w:val="a3"/>
        <w:tblW w:w="0" w:type="auto"/>
        <w:tblLook w:val="04A0" w:firstRow="1" w:lastRow="0" w:firstColumn="1" w:lastColumn="0" w:noHBand="0" w:noVBand="1"/>
      </w:tblPr>
      <w:tblGrid>
        <w:gridCol w:w="2263"/>
        <w:gridCol w:w="3543"/>
        <w:gridCol w:w="3821"/>
      </w:tblGrid>
      <w:tr w:rsidR="00207AC2" w:rsidTr="00B33E25">
        <w:tc>
          <w:tcPr>
            <w:tcW w:w="2263"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544"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22"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07AC2" w:rsidTr="00B33E25">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544" w:type="dxa"/>
          </w:tcPr>
          <w:p w:rsidR="00207AC2" w:rsidRDefault="00207AC2" w:rsidP="00207AC2">
            <w:pPr>
              <w:jc w:val="both"/>
              <w:rPr>
                <w:rFonts w:ascii="Times New Roman" w:hAnsi="Times New Roman" w:cs="Times New Roman"/>
                <w:sz w:val="24"/>
                <w:szCs w:val="24"/>
              </w:rPr>
            </w:pPr>
            <w:r w:rsidRPr="002E6F51">
              <w:rPr>
                <w:rFonts w:ascii="Times New Roman" w:hAnsi="Times New Roman" w:cs="Times New Roman"/>
                <w:sz w:val="24"/>
                <w:szCs w:val="24"/>
              </w:rPr>
              <w:t>Вигоди відсутні.</w:t>
            </w:r>
            <w:r>
              <w:rPr>
                <w:rFonts w:ascii="Times New Roman" w:hAnsi="Times New Roman" w:cs="Times New Roman"/>
                <w:sz w:val="24"/>
                <w:szCs w:val="24"/>
              </w:rPr>
              <w:t xml:space="preserve"> </w:t>
            </w:r>
          </w:p>
          <w:p w:rsidR="00207AC2" w:rsidRDefault="00207AC2" w:rsidP="00207AC2">
            <w:pPr>
              <w:jc w:val="both"/>
              <w:rPr>
                <w:rFonts w:ascii="Times New Roman" w:hAnsi="Times New Roman" w:cs="Times New Roman"/>
                <w:sz w:val="24"/>
                <w:szCs w:val="24"/>
              </w:rPr>
            </w:pPr>
            <w:r>
              <w:rPr>
                <w:rFonts w:ascii="Times New Roman" w:hAnsi="Times New Roman" w:cs="Times New Roman"/>
                <w:sz w:val="24"/>
                <w:szCs w:val="24"/>
              </w:rPr>
              <w:t>Громадяни не отримують якісні освітні послуги.</w:t>
            </w:r>
          </w:p>
          <w:p w:rsidR="00207AC2" w:rsidRPr="002E6F51" w:rsidRDefault="00207AC2" w:rsidP="00B33E25">
            <w:pPr>
              <w:jc w:val="both"/>
              <w:rPr>
                <w:rFonts w:ascii="Times New Roman" w:hAnsi="Times New Roman" w:cs="Times New Roman"/>
                <w:sz w:val="24"/>
                <w:szCs w:val="24"/>
              </w:rPr>
            </w:pPr>
          </w:p>
        </w:tc>
        <w:tc>
          <w:tcPr>
            <w:tcW w:w="3822" w:type="dxa"/>
          </w:tcPr>
          <w:p w:rsidR="00CA4806" w:rsidRDefault="00207AC2" w:rsidP="00B33E25">
            <w:pPr>
              <w:jc w:val="both"/>
              <w:rPr>
                <w:rFonts w:ascii="Times New Roman" w:hAnsi="Times New Roman" w:cs="Times New Roman"/>
                <w:sz w:val="24"/>
                <w:szCs w:val="24"/>
              </w:rPr>
            </w:pPr>
            <w:r w:rsidRPr="00CA4806">
              <w:rPr>
                <w:rFonts w:ascii="Times New Roman" w:hAnsi="Times New Roman" w:cs="Times New Roman"/>
                <w:sz w:val="24"/>
                <w:szCs w:val="24"/>
              </w:rPr>
              <w:lastRenderedPageBreak/>
              <w:t xml:space="preserve">Внаслідок невідповідного виконання своїх зобов’язань суб’єктами надання освітніх </w:t>
            </w:r>
            <w:r w:rsidRPr="00CA4806">
              <w:rPr>
                <w:rFonts w:ascii="Times New Roman" w:hAnsi="Times New Roman" w:cs="Times New Roman"/>
                <w:sz w:val="24"/>
                <w:szCs w:val="24"/>
              </w:rPr>
              <w:lastRenderedPageBreak/>
              <w:t xml:space="preserve">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громадяни витрачають свій час, а неналежна якість здобуття освіти не дає можливості швидкого працевлаштування та отримання більш високої заробітної плати. </w:t>
            </w:r>
          </w:p>
          <w:p w:rsidR="00207AC2" w:rsidRPr="00CA4806" w:rsidRDefault="00207AC2" w:rsidP="00807C50">
            <w:pPr>
              <w:spacing w:after="40"/>
              <w:jc w:val="both"/>
              <w:rPr>
                <w:rFonts w:ascii="Times New Roman" w:hAnsi="Times New Roman" w:cs="Times New Roman"/>
                <w:sz w:val="24"/>
                <w:szCs w:val="24"/>
              </w:rPr>
            </w:pPr>
            <w:r w:rsidRPr="00CA4806">
              <w:rPr>
                <w:rFonts w:ascii="Times New Roman" w:hAnsi="Times New Roman" w:cs="Times New Roman"/>
                <w:sz w:val="24"/>
                <w:szCs w:val="24"/>
              </w:rPr>
              <w:t>Внаслідок утвореної недовіри до вищої освіти наслідки відзначаються на всіх здобувачах в системі вищої освіти, що знижує її ринкову ціну та цінність</w:t>
            </w:r>
          </w:p>
        </w:tc>
      </w:tr>
      <w:tr w:rsidR="00207AC2" w:rsidTr="00B33E25">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lastRenderedPageBreak/>
              <w:t>Альтернатива 2</w:t>
            </w:r>
          </w:p>
        </w:tc>
        <w:tc>
          <w:tcPr>
            <w:tcW w:w="3544" w:type="dxa"/>
          </w:tcPr>
          <w:p w:rsidR="00623BC3" w:rsidRDefault="00CA4806" w:rsidP="00CA4806">
            <w:pPr>
              <w:jc w:val="both"/>
              <w:rPr>
                <w:rFonts w:ascii="Times New Roman" w:hAnsi="Times New Roman" w:cs="Times New Roman"/>
                <w:sz w:val="24"/>
                <w:szCs w:val="24"/>
              </w:rPr>
            </w:pPr>
            <w:r>
              <w:rPr>
                <w:rFonts w:ascii="Times New Roman" w:hAnsi="Times New Roman" w:cs="Times New Roman"/>
                <w:sz w:val="24"/>
                <w:szCs w:val="24"/>
              </w:rPr>
              <w:t xml:space="preserve">Розширення можливостей для </w:t>
            </w:r>
            <w:r w:rsidR="00623BC3">
              <w:rPr>
                <w:rFonts w:ascii="Times New Roman" w:hAnsi="Times New Roman" w:cs="Times New Roman"/>
                <w:sz w:val="24"/>
                <w:szCs w:val="24"/>
              </w:rPr>
              <w:t>формування індивідуальної освітньої траєкторії здобувачам освіти</w:t>
            </w:r>
            <w:r w:rsidR="00623BC3" w:rsidRPr="00CA4806">
              <w:rPr>
                <w:rFonts w:ascii="Times New Roman" w:hAnsi="Times New Roman" w:cs="Times New Roman"/>
                <w:sz w:val="24"/>
                <w:szCs w:val="24"/>
              </w:rPr>
              <w:t xml:space="preserve"> завдяки укрупненню ЗВО, ЗФПО та наповненості академічних груп. </w:t>
            </w:r>
          </w:p>
          <w:p w:rsidR="00CA4806" w:rsidRDefault="00623BC3" w:rsidP="00CA4806">
            <w:pPr>
              <w:jc w:val="both"/>
              <w:rPr>
                <w:rFonts w:ascii="Times New Roman" w:hAnsi="Times New Roman" w:cs="Times New Roman"/>
                <w:sz w:val="24"/>
                <w:szCs w:val="24"/>
              </w:rPr>
            </w:pPr>
            <w:r w:rsidRPr="00CA4806">
              <w:rPr>
                <w:rFonts w:ascii="Times New Roman" w:hAnsi="Times New Roman" w:cs="Times New Roman"/>
                <w:sz w:val="24"/>
                <w:szCs w:val="24"/>
              </w:rPr>
              <w:t>Здобувачі ступеня доктора філософії мають доступ до більш якісних освітніх компонентів, в тому числі за вибірково</w:t>
            </w:r>
            <w:r w:rsidR="000849C1">
              <w:rPr>
                <w:rFonts w:ascii="Times New Roman" w:hAnsi="Times New Roman" w:cs="Times New Roman"/>
                <w:sz w:val="24"/>
                <w:szCs w:val="24"/>
              </w:rPr>
              <w:t>ю</w:t>
            </w:r>
            <w:r w:rsidRPr="00CA4806">
              <w:rPr>
                <w:rFonts w:ascii="Times New Roman" w:hAnsi="Times New Roman" w:cs="Times New Roman"/>
                <w:sz w:val="24"/>
                <w:szCs w:val="24"/>
              </w:rPr>
              <w:t xml:space="preserve"> складовою освітньо-наукової програми</w:t>
            </w:r>
            <w:r>
              <w:rPr>
                <w:rFonts w:ascii="Times New Roman" w:hAnsi="Times New Roman" w:cs="Times New Roman"/>
                <w:sz w:val="24"/>
                <w:szCs w:val="24"/>
              </w:rPr>
              <w:t>.</w:t>
            </w:r>
          </w:p>
          <w:p w:rsidR="00207AC2" w:rsidRPr="00CA4806" w:rsidRDefault="00CA4806" w:rsidP="00BA6B78">
            <w:pPr>
              <w:spacing w:after="120"/>
              <w:jc w:val="both"/>
              <w:rPr>
                <w:rFonts w:ascii="Times New Roman" w:hAnsi="Times New Roman" w:cs="Times New Roman"/>
                <w:sz w:val="24"/>
                <w:szCs w:val="24"/>
              </w:rPr>
            </w:pPr>
            <w:r w:rsidRPr="00CA4806">
              <w:rPr>
                <w:rFonts w:ascii="Times New Roman" w:hAnsi="Times New Roman" w:cs="Times New Roman"/>
                <w:sz w:val="24"/>
                <w:szCs w:val="24"/>
              </w:rPr>
              <w:t>Підвищення частки випускників, які задоволені якістю та здобутими компетентностями,</w:t>
            </w:r>
            <w:r>
              <w:rPr>
                <w:rFonts w:ascii="Times New Roman" w:hAnsi="Times New Roman" w:cs="Times New Roman"/>
                <w:sz w:val="24"/>
                <w:szCs w:val="24"/>
              </w:rPr>
              <w:t xml:space="preserve"> зростання частки випускників, які </w:t>
            </w:r>
            <w:r w:rsidR="000849C1">
              <w:rPr>
                <w:rFonts w:ascii="Times New Roman" w:hAnsi="Times New Roman" w:cs="Times New Roman"/>
                <w:sz w:val="24"/>
                <w:szCs w:val="24"/>
              </w:rPr>
              <w:t xml:space="preserve">стали </w:t>
            </w:r>
            <w:r>
              <w:rPr>
                <w:rFonts w:ascii="Times New Roman" w:hAnsi="Times New Roman" w:cs="Times New Roman"/>
                <w:sz w:val="24"/>
                <w:szCs w:val="24"/>
              </w:rPr>
              <w:t>більш конкурентоспроможні на ринку праці завдяки</w:t>
            </w:r>
            <w:r w:rsidRPr="00CA4806">
              <w:rPr>
                <w:rFonts w:ascii="Times New Roman" w:hAnsi="Times New Roman" w:cs="Times New Roman"/>
                <w:sz w:val="24"/>
                <w:szCs w:val="24"/>
              </w:rPr>
              <w:t xml:space="preserve"> покращен</w:t>
            </w:r>
            <w:r>
              <w:rPr>
                <w:rFonts w:ascii="Times New Roman" w:hAnsi="Times New Roman" w:cs="Times New Roman"/>
                <w:sz w:val="24"/>
                <w:szCs w:val="24"/>
              </w:rPr>
              <w:t>ому</w:t>
            </w:r>
            <w:r w:rsidRPr="00CA4806">
              <w:rPr>
                <w:rFonts w:ascii="Times New Roman" w:hAnsi="Times New Roman" w:cs="Times New Roman"/>
                <w:sz w:val="24"/>
                <w:szCs w:val="24"/>
              </w:rPr>
              <w:t xml:space="preserve"> та модернізован</w:t>
            </w:r>
            <w:r>
              <w:rPr>
                <w:rFonts w:ascii="Times New Roman" w:hAnsi="Times New Roman" w:cs="Times New Roman"/>
                <w:sz w:val="24"/>
                <w:szCs w:val="24"/>
              </w:rPr>
              <w:t>ому</w:t>
            </w:r>
            <w:r w:rsidRPr="00CA4806">
              <w:rPr>
                <w:rFonts w:ascii="Times New Roman" w:hAnsi="Times New Roman" w:cs="Times New Roman"/>
                <w:sz w:val="24"/>
                <w:szCs w:val="24"/>
              </w:rPr>
              <w:t xml:space="preserve"> освітн</w:t>
            </w:r>
            <w:r>
              <w:rPr>
                <w:rFonts w:ascii="Times New Roman" w:hAnsi="Times New Roman" w:cs="Times New Roman"/>
                <w:sz w:val="24"/>
                <w:szCs w:val="24"/>
              </w:rPr>
              <w:t>ьому</w:t>
            </w:r>
            <w:r w:rsidRPr="00CA4806">
              <w:rPr>
                <w:rFonts w:ascii="Times New Roman" w:hAnsi="Times New Roman" w:cs="Times New Roman"/>
                <w:sz w:val="24"/>
                <w:szCs w:val="24"/>
              </w:rPr>
              <w:t xml:space="preserve"> середовищ</w:t>
            </w:r>
            <w:r>
              <w:rPr>
                <w:rFonts w:ascii="Times New Roman" w:hAnsi="Times New Roman" w:cs="Times New Roman"/>
                <w:sz w:val="24"/>
                <w:szCs w:val="24"/>
              </w:rPr>
              <w:t>у.</w:t>
            </w:r>
            <w:r w:rsidRPr="00CA4806">
              <w:rPr>
                <w:rFonts w:ascii="Times New Roman" w:hAnsi="Times New Roman" w:cs="Times New Roman"/>
                <w:sz w:val="24"/>
                <w:szCs w:val="24"/>
              </w:rPr>
              <w:t xml:space="preserve"> </w:t>
            </w:r>
          </w:p>
        </w:tc>
        <w:tc>
          <w:tcPr>
            <w:tcW w:w="3822" w:type="dxa"/>
          </w:tcPr>
          <w:p w:rsidR="00207AC2" w:rsidRPr="00623BC3" w:rsidRDefault="00623BC3" w:rsidP="00B33E25">
            <w:pPr>
              <w:jc w:val="both"/>
              <w:rPr>
                <w:rFonts w:ascii="Times New Roman" w:hAnsi="Times New Roman" w:cs="Times New Roman"/>
                <w:sz w:val="24"/>
                <w:szCs w:val="24"/>
              </w:rPr>
            </w:pPr>
            <w:r w:rsidRPr="00623BC3">
              <w:rPr>
                <w:rFonts w:ascii="Times New Roman" w:hAnsi="Times New Roman" w:cs="Times New Roman"/>
                <w:sz w:val="24"/>
                <w:szCs w:val="24"/>
              </w:rPr>
              <w:t>Додаткові витрати відсутні</w:t>
            </w:r>
          </w:p>
        </w:tc>
      </w:tr>
    </w:tbl>
    <w:p w:rsidR="000849C1" w:rsidRPr="00207AC2" w:rsidRDefault="000849C1" w:rsidP="00BA6B78">
      <w:pPr>
        <w:spacing w:before="240"/>
        <w:jc w:val="both"/>
        <w:rPr>
          <w:rFonts w:ascii="Times New Roman" w:hAnsi="Times New Roman" w:cs="Times New Roman"/>
          <w:b/>
          <w:sz w:val="28"/>
          <w:szCs w:val="28"/>
        </w:rPr>
      </w:pPr>
      <w:r w:rsidRPr="00207AC2">
        <w:rPr>
          <w:rFonts w:ascii="Times New Roman" w:hAnsi="Times New Roman" w:cs="Times New Roman"/>
          <w:b/>
          <w:sz w:val="28"/>
          <w:szCs w:val="28"/>
        </w:rPr>
        <w:t xml:space="preserve">Оцінка впливу на сферу інтересів </w:t>
      </w:r>
      <w:r>
        <w:rPr>
          <w:rFonts w:ascii="Times New Roman" w:hAnsi="Times New Roman" w:cs="Times New Roman"/>
          <w:b/>
          <w:sz w:val="28"/>
          <w:szCs w:val="28"/>
        </w:rPr>
        <w:t>суб’єктів господарювання</w:t>
      </w:r>
    </w:p>
    <w:p w:rsidR="00CD16C6" w:rsidRDefault="00B5133B" w:rsidP="00866469">
      <w:pPr>
        <w:pStyle w:val="a4"/>
        <w:ind w:left="0" w:firstLine="709"/>
        <w:jc w:val="both"/>
        <w:rPr>
          <w:rFonts w:ascii="Times New Roman" w:hAnsi="Times New Roman" w:cs="Times New Roman"/>
          <w:sz w:val="28"/>
          <w:szCs w:val="28"/>
        </w:rPr>
      </w:pPr>
      <w:r w:rsidRPr="00B5133B">
        <w:rPr>
          <w:rFonts w:ascii="Times New Roman" w:hAnsi="Times New Roman" w:cs="Times New Roman"/>
          <w:sz w:val="28"/>
          <w:szCs w:val="28"/>
        </w:rPr>
        <w:t xml:space="preserve">В усіх альтернативах у ролі суб’єктів господарювання розглядаються суб’єкти надання освітніх послуг усіх форм власності, а також підприємства, організації та установи усіх форм власності, що співпрацюють із закладами освіти щодо підготовки фахівців. </w:t>
      </w:r>
    </w:p>
    <w:p w:rsidR="003E30E1" w:rsidRDefault="003E30E1" w:rsidP="00866469">
      <w:pPr>
        <w:pStyle w:val="a4"/>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89"/>
        <w:gridCol w:w="1048"/>
        <w:gridCol w:w="1048"/>
        <w:gridCol w:w="1048"/>
        <w:gridCol w:w="1047"/>
        <w:gridCol w:w="1047"/>
      </w:tblGrid>
      <w:tr w:rsidR="003E30E1" w:rsidRPr="008816AB" w:rsidTr="00146A31">
        <w:tc>
          <w:tcPr>
            <w:tcW w:w="2279" w:type="pct"/>
            <w:shd w:val="clear" w:color="auto" w:fill="FFFFFF"/>
            <w:hideMark/>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lastRenderedPageBreak/>
              <w:t>Показник</w:t>
            </w:r>
          </w:p>
        </w:tc>
        <w:tc>
          <w:tcPr>
            <w:tcW w:w="544" w:type="pct"/>
            <w:shd w:val="clear" w:color="auto" w:fill="FFFFFF"/>
            <w:hideMark/>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Великі</w:t>
            </w:r>
          </w:p>
        </w:tc>
        <w:tc>
          <w:tcPr>
            <w:tcW w:w="544" w:type="pct"/>
            <w:shd w:val="clear" w:color="auto" w:fill="FFFFFF"/>
            <w:hideMark/>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Середні</w:t>
            </w:r>
          </w:p>
        </w:tc>
        <w:tc>
          <w:tcPr>
            <w:tcW w:w="544" w:type="pct"/>
            <w:shd w:val="clear" w:color="auto" w:fill="FFFFFF"/>
            <w:hideMark/>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Малі</w:t>
            </w:r>
          </w:p>
        </w:tc>
        <w:tc>
          <w:tcPr>
            <w:tcW w:w="544" w:type="pct"/>
            <w:shd w:val="clear" w:color="auto" w:fill="FFFFFF"/>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Мікро</w:t>
            </w:r>
          </w:p>
        </w:tc>
        <w:tc>
          <w:tcPr>
            <w:tcW w:w="544" w:type="pct"/>
            <w:shd w:val="clear" w:color="auto" w:fill="FFFFFF"/>
            <w:hideMark/>
          </w:tcPr>
          <w:p w:rsidR="003E30E1" w:rsidRPr="008816AB"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Разом</w:t>
            </w:r>
          </w:p>
        </w:tc>
      </w:tr>
      <w:tr w:rsidR="003E30E1" w:rsidRPr="008816AB" w:rsidTr="00146A31">
        <w:trPr>
          <w:trHeight w:val="970"/>
        </w:trPr>
        <w:tc>
          <w:tcPr>
            <w:tcW w:w="2279" w:type="pct"/>
            <w:shd w:val="clear" w:color="auto" w:fill="FFFFFF"/>
            <w:hideMark/>
          </w:tcPr>
          <w:p w:rsidR="003E30E1" w:rsidRPr="008816AB" w:rsidRDefault="003E30E1" w:rsidP="00146A31">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Кількість суб’єктів господарювання, що підпадають під дію регулювання, одиниць</w:t>
            </w:r>
          </w:p>
        </w:tc>
        <w:tc>
          <w:tcPr>
            <w:tcW w:w="544" w:type="pct"/>
            <w:shd w:val="clear" w:color="auto" w:fill="FFFFFF"/>
            <w:vAlign w:val="center"/>
            <w:hideMark/>
          </w:tcPr>
          <w:p w:rsidR="003E30E1" w:rsidRPr="004465C4"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2</w:t>
            </w:r>
            <w:r>
              <w:rPr>
                <w:rFonts w:ascii="Times New Roman" w:eastAsia="Times New Roman" w:hAnsi="Times New Roman" w:cs="Times New Roman"/>
                <w:color w:val="333333"/>
                <w:sz w:val="24"/>
                <w:szCs w:val="24"/>
                <w:lang w:eastAsia="uk-UA"/>
              </w:rPr>
              <w:t>78</w:t>
            </w:r>
          </w:p>
        </w:tc>
        <w:tc>
          <w:tcPr>
            <w:tcW w:w="544" w:type="pct"/>
            <w:shd w:val="clear" w:color="auto" w:fill="FFFFFF"/>
            <w:vAlign w:val="center"/>
            <w:hideMark/>
          </w:tcPr>
          <w:p w:rsidR="003E30E1" w:rsidRPr="004465C4"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445</w:t>
            </w:r>
          </w:p>
        </w:tc>
        <w:tc>
          <w:tcPr>
            <w:tcW w:w="544" w:type="pct"/>
            <w:shd w:val="clear" w:color="auto" w:fill="FFFFFF"/>
            <w:vAlign w:val="center"/>
            <w:hideMark/>
          </w:tcPr>
          <w:p w:rsidR="003E30E1" w:rsidRPr="004465C4"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72</w:t>
            </w:r>
          </w:p>
        </w:tc>
        <w:tc>
          <w:tcPr>
            <w:tcW w:w="544" w:type="pct"/>
            <w:shd w:val="clear" w:color="auto" w:fill="FFFFFF"/>
            <w:vAlign w:val="center"/>
          </w:tcPr>
          <w:p w:rsidR="003E30E1" w:rsidRPr="004465C4"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0</w:t>
            </w:r>
          </w:p>
        </w:tc>
        <w:tc>
          <w:tcPr>
            <w:tcW w:w="544" w:type="pct"/>
            <w:shd w:val="clear" w:color="auto" w:fill="FFFFFF"/>
            <w:vAlign w:val="center"/>
            <w:hideMark/>
          </w:tcPr>
          <w:p w:rsidR="003E30E1" w:rsidRPr="004465C4" w:rsidRDefault="003E30E1" w:rsidP="00146A31">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795</w:t>
            </w:r>
          </w:p>
        </w:tc>
      </w:tr>
      <w:tr w:rsidR="003E30E1" w:rsidRPr="008816AB" w:rsidTr="00146A31">
        <w:tc>
          <w:tcPr>
            <w:tcW w:w="2279" w:type="pct"/>
            <w:shd w:val="clear" w:color="auto" w:fill="FFFFFF"/>
            <w:hideMark/>
          </w:tcPr>
          <w:p w:rsidR="003E30E1" w:rsidRPr="008816AB" w:rsidRDefault="003E30E1" w:rsidP="00146A31">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Питома вага групи у загальній кількості, відсотків</w:t>
            </w:r>
          </w:p>
        </w:tc>
        <w:tc>
          <w:tcPr>
            <w:tcW w:w="544" w:type="pct"/>
            <w:shd w:val="clear" w:color="auto" w:fill="FFFFFF"/>
            <w:vAlign w:val="center"/>
            <w:hideMark/>
          </w:tcPr>
          <w:p w:rsidR="003E30E1" w:rsidRPr="004465C4" w:rsidRDefault="003E30E1" w:rsidP="00146A31">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35</w:t>
            </w:r>
          </w:p>
        </w:tc>
        <w:tc>
          <w:tcPr>
            <w:tcW w:w="544" w:type="pct"/>
            <w:shd w:val="clear" w:color="auto" w:fill="FFFFFF"/>
            <w:vAlign w:val="center"/>
            <w:hideMark/>
          </w:tcPr>
          <w:p w:rsidR="003E30E1" w:rsidRPr="004465C4" w:rsidRDefault="003E30E1" w:rsidP="00146A31">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56</w:t>
            </w:r>
          </w:p>
        </w:tc>
        <w:tc>
          <w:tcPr>
            <w:tcW w:w="544" w:type="pct"/>
            <w:shd w:val="clear" w:color="auto" w:fill="FFFFFF"/>
            <w:vAlign w:val="center"/>
            <w:hideMark/>
          </w:tcPr>
          <w:p w:rsidR="003E30E1" w:rsidRPr="004465C4" w:rsidRDefault="003E30E1" w:rsidP="00146A31">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9</w:t>
            </w:r>
          </w:p>
        </w:tc>
        <w:tc>
          <w:tcPr>
            <w:tcW w:w="544" w:type="pct"/>
            <w:shd w:val="clear" w:color="auto" w:fill="FFFFFF"/>
            <w:vAlign w:val="center"/>
          </w:tcPr>
          <w:p w:rsidR="003E30E1" w:rsidRPr="004465C4" w:rsidRDefault="003E30E1" w:rsidP="00146A31">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0</w:t>
            </w:r>
          </w:p>
        </w:tc>
        <w:tc>
          <w:tcPr>
            <w:tcW w:w="544" w:type="pct"/>
            <w:shd w:val="clear" w:color="auto" w:fill="FFFFFF"/>
            <w:vAlign w:val="center"/>
            <w:hideMark/>
          </w:tcPr>
          <w:p w:rsidR="003E30E1" w:rsidRPr="004465C4" w:rsidRDefault="003E30E1" w:rsidP="00146A31">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100</w:t>
            </w:r>
          </w:p>
        </w:tc>
      </w:tr>
    </w:tbl>
    <w:p w:rsidR="003E30E1" w:rsidRDefault="003E30E1" w:rsidP="00866469">
      <w:pPr>
        <w:pStyle w:val="a4"/>
        <w:ind w:left="0" w:firstLine="709"/>
        <w:jc w:val="both"/>
        <w:rPr>
          <w:rFonts w:ascii="Times New Roman" w:hAnsi="Times New Roman" w:cs="Times New Roman"/>
          <w:sz w:val="28"/>
          <w:szCs w:val="28"/>
        </w:rPr>
      </w:pPr>
    </w:p>
    <w:p w:rsidR="003E30E1" w:rsidRDefault="003E30E1" w:rsidP="00866469">
      <w:pPr>
        <w:pStyle w:val="a4"/>
        <w:ind w:left="0" w:firstLine="709"/>
        <w:jc w:val="both"/>
        <w:rPr>
          <w:rFonts w:ascii="Times New Roman" w:hAnsi="Times New Roman" w:cs="Times New Roman"/>
          <w:sz w:val="28"/>
          <w:szCs w:val="28"/>
        </w:rPr>
      </w:pPr>
      <w:r w:rsidRPr="00796D25">
        <w:rPr>
          <w:rFonts w:ascii="Times New Roman" w:eastAsia="Times New Roman" w:hAnsi="Times New Roman"/>
          <w:sz w:val="24"/>
          <w:shd w:val="clear" w:color="auto" w:fill="FFFFFF"/>
        </w:rPr>
        <w:t xml:space="preserve">Інформація щодо суб’єктів господарювання за даними Реєстру суб’єктів освітньої діяльності </w:t>
      </w:r>
      <w:hyperlink r:id="rId7" w:history="1">
        <w:r w:rsidRPr="00796D25">
          <w:rPr>
            <w:rStyle w:val="a6"/>
            <w:rFonts w:ascii="Times New Roman" w:eastAsia="Times New Roman" w:hAnsi="Times New Roman"/>
            <w:sz w:val="24"/>
            <w:shd w:val="clear" w:color="auto" w:fill="FFFFFF"/>
          </w:rPr>
          <w:t>https://registry.edbo.gov.ua/</w:t>
        </w:r>
      </w:hyperlink>
    </w:p>
    <w:p w:rsidR="003E30E1" w:rsidRDefault="003E30E1" w:rsidP="00866469">
      <w:pPr>
        <w:pStyle w:val="a4"/>
        <w:ind w:left="0" w:firstLine="709"/>
        <w:jc w:val="both"/>
        <w:rPr>
          <w:rFonts w:ascii="Times New Roman" w:hAnsi="Times New Roman" w:cs="Times New Roman"/>
          <w:sz w:val="28"/>
          <w:szCs w:val="28"/>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476"/>
        <w:gridCol w:w="2477"/>
      </w:tblGrid>
      <w:tr w:rsidR="00EB3CA1" w:rsidRPr="00796D25" w:rsidTr="00EB3CA1">
        <w:trPr>
          <w:trHeight w:val="375"/>
        </w:trPr>
        <w:tc>
          <w:tcPr>
            <w:tcW w:w="4673" w:type="dxa"/>
            <w:shd w:val="clear" w:color="auto" w:fill="auto"/>
            <w:vAlign w:val="bottom"/>
          </w:tcPr>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w:t>
            </w:r>
          </w:p>
        </w:tc>
        <w:tc>
          <w:tcPr>
            <w:tcW w:w="2476" w:type="dxa"/>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1</w:t>
            </w:r>
          </w:p>
        </w:tc>
        <w:tc>
          <w:tcPr>
            <w:tcW w:w="2477" w:type="dxa"/>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2</w:t>
            </w:r>
          </w:p>
        </w:tc>
      </w:tr>
      <w:tr w:rsidR="00EB3CA1" w:rsidRPr="00796D25" w:rsidTr="00EB3CA1">
        <w:trPr>
          <w:trHeight w:val="375"/>
        </w:trPr>
        <w:tc>
          <w:tcPr>
            <w:tcW w:w="4673" w:type="dxa"/>
            <w:shd w:val="clear" w:color="auto" w:fill="auto"/>
            <w:vAlign w:val="bottom"/>
          </w:tcPr>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суб’єктів господарювання,</w:t>
            </w:r>
          </w:p>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 у тому числі</w:t>
            </w:r>
          </w:p>
        </w:tc>
        <w:tc>
          <w:tcPr>
            <w:tcW w:w="2476" w:type="dxa"/>
            <w:shd w:val="clear" w:color="auto" w:fill="auto"/>
            <w:vAlign w:val="bottom"/>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795</w:t>
            </w:r>
          </w:p>
        </w:tc>
        <w:tc>
          <w:tcPr>
            <w:tcW w:w="2477" w:type="dxa"/>
            <w:shd w:val="clear" w:color="auto" w:fill="auto"/>
            <w:vAlign w:val="bottom"/>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674</w:t>
            </w:r>
          </w:p>
        </w:tc>
      </w:tr>
      <w:tr w:rsidR="00EB3CA1" w:rsidRPr="00796D25" w:rsidTr="00EB3CA1">
        <w:trPr>
          <w:trHeight w:val="375"/>
        </w:trPr>
        <w:tc>
          <w:tcPr>
            <w:tcW w:w="4673" w:type="dxa"/>
            <w:shd w:val="clear" w:color="auto" w:fill="auto"/>
            <w:vAlign w:val="bottom"/>
          </w:tcPr>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476" w:type="dxa"/>
            <w:shd w:val="clear" w:color="auto" w:fill="auto"/>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87</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rPr>
            </w:pPr>
            <w:r w:rsidRPr="00796D25">
              <w:rPr>
                <w:rFonts w:ascii="Times New Roman" w:eastAsia="Times New Roman" w:hAnsi="Times New Roman"/>
                <w:color w:val="auto"/>
                <w:kern w:val="0"/>
                <w:sz w:val="24"/>
              </w:rPr>
              <w:t>8</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Pr>
                <w:rFonts w:ascii="Times New Roman" w:eastAsia="Times New Roman" w:hAnsi="Times New Roman"/>
                <w:color w:val="auto"/>
                <w:kern w:val="0"/>
                <w:sz w:val="24"/>
                <w:lang w:val="uk-UA"/>
              </w:rPr>
              <w:t>77</w:t>
            </w:r>
          </w:p>
        </w:tc>
        <w:tc>
          <w:tcPr>
            <w:tcW w:w="2477" w:type="dxa"/>
            <w:shd w:val="clear" w:color="auto" w:fill="auto"/>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17 ЗВО + 27 ЗФПО</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rPr>
              <w:t>2</w:t>
            </w:r>
            <w:r w:rsidRPr="00796D25">
              <w:rPr>
                <w:rFonts w:ascii="Times New Roman" w:eastAsia="Times New Roman" w:hAnsi="Times New Roman"/>
                <w:color w:val="auto"/>
                <w:kern w:val="0"/>
                <w:sz w:val="24"/>
                <w:lang w:val="uk-UA"/>
              </w:rPr>
              <w:t xml:space="preserve"> ЗВО + </w:t>
            </w:r>
            <w:r w:rsidRPr="00796D25">
              <w:rPr>
                <w:rFonts w:ascii="Times New Roman" w:eastAsia="Times New Roman" w:hAnsi="Times New Roman"/>
                <w:color w:val="auto"/>
                <w:kern w:val="0"/>
                <w:sz w:val="24"/>
              </w:rPr>
              <w:t>3</w:t>
            </w:r>
            <w:r w:rsidRPr="00796D25">
              <w:rPr>
                <w:rFonts w:ascii="Times New Roman" w:eastAsia="Times New Roman" w:hAnsi="Times New Roman"/>
                <w:color w:val="auto"/>
                <w:kern w:val="0"/>
                <w:sz w:val="24"/>
                <w:lang w:val="uk-UA"/>
              </w:rPr>
              <w:t xml:space="preserve"> ЗФПО</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Pr>
                <w:rFonts w:ascii="Times New Roman" w:eastAsia="Times New Roman" w:hAnsi="Times New Roman"/>
                <w:color w:val="auto"/>
                <w:kern w:val="0"/>
                <w:sz w:val="24"/>
                <w:lang w:val="uk-UA"/>
              </w:rPr>
              <w:t>02</w:t>
            </w:r>
          </w:p>
        </w:tc>
      </w:tr>
      <w:tr w:rsidR="00EB3CA1" w:rsidRPr="00796D25" w:rsidTr="00EB3CA1">
        <w:trPr>
          <w:trHeight w:val="375"/>
        </w:trPr>
        <w:tc>
          <w:tcPr>
            <w:tcW w:w="4673" w:type="dxa"/>
            <w:shd w:val="clear" w:color="auto" w:fill="auto"/>
          </w:tcPr>
          <w:p w:rsidR="00EB3CA1"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Університети</w:t>
            </w:r>
          </w:p>
          <w:p w:rsidR="00EB3CA1"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Академії</w:t>
            </w:r>
          </w:p>
          <w:p w:rsidR="00EB3CA1" w:rsidRPr="00796D25"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Інститути</w:t>
            </w:r>
          </w:p>
        </w:tc>
        <w:tc>
          <w:tcPr>
            <w:tcW w:w="2476" w:type="dxa"/>
            <w:shd w:val="clear" w:color="auto" w:fill="auto"/>
          </w:tcPr>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212</w:t>
            </w:r>
          </w:p>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66</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53</w:t>
            </w:r>
          </w:p>
        </w:tc>
        <w:tc>
          <w:tcPr>
            <w:tcW w:w="2477" w:type="dxa"/>
            <w:shd w:val="clear" w:color="auto" w:fill="auto"/>
          </w:tcPr>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129</w:t>
            </w:r>
          </w:p>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122</w:t>
            </w:r>
          </w:p>
          <w:p w:rsidR="00EB3CA1" w:rsidRPr="00796D25" w:rsidRDefault="00EB3CA1" w:rsidP="00417B8B">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72</w:t>
            </w:r>
          </w:p>
        </w:tc>
      </w:tr>
      <w:tr w:rsidR="00EB3CA1" w:rsidRPr="00866469" w:rsidTr="00EB3CA1">
        <w:trPr>
          <w:trHeight w:val="375"/>
        </w:trPr>
        <w:tc>
          <w:tcPr>
            <w:tcW w:w="4673" w:type="dxa"/>
            <w:shd w:val="clear" w:color="auto" w:fill="auto"/>
          </w:tcPr>
          <w:p w:rsidR="00EB3CA1" w:rsidRPr="00866469" w:rsidRDefault="00EB3CA1" w:rsidP="00EF293E">
            <w:pPr>
              <w:pStyle w:val="1"/>
              <w:suppressAutoHyphens w:val="0"/>
              <w:spacing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Кількість здобувачів освіти, тис. осіб</w:t>
            </w:r>
          </w:p>
          <w:p w:rsidR="00EB3CA1" w:rsidRPr="00866469" w:rsidRDefault="00EB3CA1" w:rsidP="00EF293E">
            <w:pPr>
              <w:pStyle w:val="1"/>
              <w:suppressAutoHyphens w:val="0"/>
              <w:spacing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 xml:space="preserve">у тому числі: </w:t>
            </w:r>
          </w:p>
          <w:p w:rsidR="00EA743E" w:rsidRPr="00866469" w:rsidRDefault="00EA743E" w:rsidP="00EA743E">
            <w:pPr>
              <w:pStyle w:val="1"/>
              <w:suppressAutoHyphens w:val="0"/>
              <w:spacing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Університети</w:t>
            </w:r>
          </w:p>
          <w:p w:rsidR="00EA743E" w:rsidRPr="00866469" w:rsidRDefault="00EA743E" w:rsidP="00EA743E">
            <w:pPr>
              <w:pStyle w:val="1"/>
              <w:suppressAutoHyphens w:val="0"/>
              <w:spacing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Академії</w:t>
            </w:r>
          </w:p>
          <w:p w:rsidR="00EB3CA1" w:rsidRPr="00866469" w:rsidRDefault="00EA743E" w:rsidP="00EA743E">
            <w:pPr>
              <w:pStyle w:val="1"/>
              <w:suppressAutoHyphens w:val="0"/>
              <w:spacing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Інститути</w:t>
            </w:r>
          </w:p>
          <w:p w:rsidR="00EB3CA1" w:rsidRPr="00866469"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ТВСП</w:t>
            </w:r>
          </w:p>
          <w:p w:rsidR="00EB3CA1" w:rsidRPr="00E35251" w:rsidRDefault="00EB3CA1" w:rsidP="00EF293E">
            <w:pPr>
              <w:pStyle w:val="1"/>
              <w:suppressAutoHyphens w:val="0"/>
              <w:spacing w:line="240" w:lineRule="auto"/>
              <w:ind w:left="720"/>
              <w:rPr>
                <w:rFonts w:ascii="Times New Roman" w:eastAsia="Times New Roman" w:hAnsi="Times New Roman"/>
                <w:color w:val="auto"/>
                <w:kern w:val="0"/>
                <w:sz w:val="24"/>
                <w:lang w:val="ru-RU"/>
              </w:rPr>
            </w:pPr>
            <w:r w:rsidRPr="00866469">
              <w:rPr>
                <w:rFonts w:ascii="Times New Roman" w:eastAsia="Times New Roman" w:hAnsi="Times New Roman"/>
                <w:color w:val="auto"/>
                <w:kern w:val="0"/>
                <w:sz w:val="24"/>
                <w:lang w:val="uk-UA"/>
              </w:rPr>
              <w:t>Коледжі</w:t>
            </w:r>
          </w:p>
          <w:p w:rsidR="00EB3CA1" w:rsidRPr="00866469" w:rsidRDefault="00EB3CA1" w:rsidP="00866469">
            <w:pPr>
              <w:pStyle w:val="1"/>
              <w:suppressAutoHyphens w:val="0"/>
              <w:spacing w:after="40"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Фахові коледжі в структурі ЗВО</w:t>
            </w:r>
          </w:p>
        </w:tc>
        <w:tc>
          <w:tcPr>
            <w:tcW w:w="2476" w:type="dxa"/>
            <w:shd w:val="clear" w:color="auto" w:fill="auto"/>
          </w:tcPr>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p>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1 018,2</w:t>
            </w:r>
          </w:p>
          <w:p w:rsidR="00EA743E"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154,8</w:t>
            </w:r>
          </w:p>
          <w:p w:rsidR="00EA743E"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56,4</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c>
          <w:tcPr>
            <w:tcW w:w="2477" w:type="dxa"/>
            <w:shd w:val="clear" w:color="auto" w:fill="auto"/>
          </w:tcPr>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p>
          <w:p w:rsidR="00EB3CA1" w:rsidRPr="00866469" w:rsidRDefault="00451753"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917</w:t>
            </w:r>
            <w:r w:rsidR="00392CAF">
              <w:rPr>
                <w:rFonts w:ascii="Times New Roman" w:eastAsia="Times New Roman" w:hAnsi="Times New Roman"/>
                <w:color w:val="auto"/>
                <w:kern w:val="0"/>
                <w:sz w:val="24"/>
                <w:lang w:val="uk-UA"/>
              </w:rPr>
              <w:t>,8</w:t>
            </w:r>
          </w:p>
          <w:p w:rsidR="00EA743E" w:rsidRPr="00866469" w:rsidRDefault="00392CAF"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w:t>
            </w:r>
            <w:r w:rsidR="00451753">
              <w:rPr>
                <w:rFonts w:ascii="Times New Roman" w:eastAsia="Times New Roman" w:hAnsi="Times New Roman"/>
                <w:color w:val="auto"/>
                <w:kern w:val="0"/>
                <w:sz w:val="24"/>
                <w:lang w:val="uk-UA"/>
              </w:rPr>
              <w:t>14</w:t>
            </w:r>
            <w:r>
              <w:rPr>
                <w:rFonts w:ascii="Times New Roman" w:eastAsia="Times New Roman" w:hAnsi="Times New Roman"/>
                <w:color w:val="auto"/>
                <w:kern w:val="0"/>
                <w:sz w:val="24"/>
                <w:lang w:val="uk-UA"/>
              </w:rPr>
              <w:t>,2</w:t>
            </w:r>
          </w:p>
          <w:p w:rsidR="00EA743E" w:rsidRPr="00866469" w:rsidRDefault="00BA6B78"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97</w:t>
            </w:r>
            <w:r w:rsidR="00392CAF">
              <w:rPr>
                <w:rFonts w:ascii="Times New Roman" w:eastAsia="Times New Roman" w:hAnsi="Times New Roman"/>
                <w:color w:val="auto"/>
                <w:kern w:val="0"/>
                <w:sz w:val="24"/>
                <w:lang w:val="uk-UA"/>
              </w:rPr>
              <w:t>,4</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r>
    </w:tbl>
    <w:p w:rsidR="00207AC2" w:rsidRPr="00352569" w:rsidRDefault="00207AC2" w:rsidP="00352569">
      <w:pPr>
        <w:spacing w:before="120" w:after="120"/>
        <w:jc w:val="both"/>
        <w:rPr>
          <w:rFonts w:ascii="Times New Roman" w:hAnsi="Times New Roman" w:cs="Times New Roman"/>
          <w:b/>
          <w:sz w:val="28"/>
          <w:szCs w:val="28"/>
        </w:rPr>
      </w:pPr>
    </w:p>
    <w:tbl>
      <w:tblPr>
        <w:tblW w:w="9634" w:type="dxa"/>
        <w:tblLayout w:type="fixed"/>
        <w:tblCellMar>
          <w:left w:w="10" w:type="dxa"/>
          <w:right w:w="10" w:type="dxa"/>
        </w:tblCellMar>
        <w:tblLook w:val="0000" w:firstRow="0" w:lastRow="0" w:firstColumn="0" w:lastColumn="0" w:noHBand="0" w:noVBand="0"/>
      </w:tblPr>
      <w:tblGrid>
        <w:gridCol w:w="2122"/>
        <w:gridCol w:w="3756"/>
        <w:gridCol w:w="3756"/>
      </w:tblGrid>
      <w:tr w:rsidR="00B33E25" w:rsidRPr="00796D25" w:rsidTr="00807C50">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Вид альтернативи</w:t>
            </w:r>
          </w:p>
        </w:tc>
        <w:tc>
          <w:tcPr>
            <w:tcW w:w="375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375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B33E25" w:rsidRPr="00796D25" w:rsidTr="00807C50">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756"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tc>
        <w:tc>
          <w:tcPr>
            <w:tcW w:w="37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465C4" w:rsidRPr="004465C4" w:rsidRDefault="004465C4" w:rsidP="00B33E25">
            <w:pPr>
              <w:pStyle w:val="1"/>
              <w:rPr>
                <w:rFonts w:ascii="Times New Roman" w:eastAsia="Times New Roman" w:hAnsi="Times New Roman" w:cs="Times New Roman"/>
                <w:color w:val="auto"/>
                <w:sz w:val="24"/>
                <w:szCs w:val="24"/>
                <w:lang w:val="uk-UA"/>
              </w:rPr>
            </w:pPr>
            <w:r w:rsidRPr="004465C4">
              <w:rPr>
                <w:rFonts w:ascii="Times New Roman" w:hAnsi="Times New Roman" w:cs="Times New Roman"/>
                <w:sz w:val="24"/>
                <w:szCs w:val="24"/>
                <w:lang w:val="uk-UA"/>
              </w:rPr>
              <w:t>Витрати, пов’язані із втраченими можливостями щодо розвитку освітніх послуг та виникненням перешкод до євроінтеграції</w:t>
            </w:r>
          </w:p>
        </w:tc>
      </w:tr>
      <w:tr w:rsidR="00B33E25" w:rsidRPr="00796D25" w:rsidTr="00807C50">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756"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Економія коштів внаслідок реорганізації деяких ТВСП та коледжів у ЗФПО із відповідною меншою за вартістю процедурою акредитації (в середньому – 10 освітніх програм, які потребують акредитації для ТВСП та 5 для коледжів):</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(27*10+8*5)*(67000 – 20100) =</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14 539 000 грн.</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p>
          <w:p w:rsidR="00B33E25" w:rsidRPr="00796D25" w:rsidRDefault="00ED290F" w:rsidP="00B33E25">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s="Times New Roman"/>
                <w:sz w:val="24"/>
                <w:szCs w:val="24"/>
                <w:shd w:val="clear" w:color="auto" w:fill="FFFFFF"/>
                <w:lang w:val="uk-UA" w:eastAsia="uk-UA"/>
              </w:rPr>
              <w:t xml:space="preserve">У ролі суб’єктів </w:t>
            </w:r>
            <w:r w:rsidR="00B33E25" w:rsidRPr="00796D25">
              <w:rPr>
                <w:rFonts w:ascii="Times New Roman" w:eastAsia="Times New Roman" w:hAnsi="Times New Roman" w:cs="Times New Roman"/>
                <w:sz w:val="24"/>
                <w:szCs w:val="24"/>
                <w:shd w:val="clear" w:color="auto" w:fill="FFFFFF"/>
                <w:lang w:val="uk-UA" w:eastAsia="uk-UA"/>
              </w:rPr>
              <w:t>заклади освіти отримують такі вигоди: підвищення якості освітньої програми, покращення репутації закладу та довіри споживачів</w:t>
            </w:r>
          </w:p>
          <w:p w:rsidR="0027345E" w:rsidRPr="00796D25" w:rsidRDefault="0027345E" w:rsidP="00B33E25">
            <w:pPr>
              <w:pStyle w:val="Textbody"/>
              <w:spacing w:after="0" w:line="240" w:lineRule="auto"/>
              <w:jc w:val="both"/>
              <w:rPr>
                <w:rFonts w:ascii="Times New Roman" w:eastAsia="Times New Roman" w:hAnsi="Times New Roman"/>
                <w:color w:val="auto"/>
                <w:sz w:val="24"/>
                <w:lang w:val="uk-UA"/>
              </w:rPr>
            </w:pPr>
          </w:p>
        </w:tc>
        <w:tc>
          <w:tcPr>
            <w:tcW w:w="375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68345B" w:rsidRDefault="0068345B" w:rsidP="0068345B">
            <w:pPr>
              <w:pStyle w:val="1"/>
              <w:jc w:val="both"/>
              <w:rPr>
                <w:rFonts w:ascii="Times New Roman" w:hAnsi="Times New Roman" w:cs="Times New Roman"/>
                <w:sz w:val="24"/>
                <w:szCs w:val="24"/>
                <w:lang w:val="uk-UA"/>
              </w:rPr>
            </w:pPr>
            <w:r w:rsidRPr="00A0523D">
              <w:rPr>
                <w:rFonts w:ascii="Times New Roman" w:hAnsi="Times New Roman" w:cs="Times New Roman"/>
                <w:sz w:val="24"/>
                <w:szCs w:val="24"/>
                <w:lang w:val="uk-UA"/>
              </w:rPr>
              <w:lastRenderedPageBreak/>
              <w:t xml:space="preserve">Часові та фінансові витрати суб’єктів господарювання: </w:t>
            </w:r>
            <w:r>
              <w:rPr>
                <w:rFonts w:ascii="Times New Roman" w:hAnsi="Times New Roman" w:cs="Times New Roman"/>
                <w:sz w:val="24"/>
                <w:szCs w:val="24"/>
                <w:lang w:val="uk-UA"/>
              </w:rPr>
              <w:t>в</w:t>
            </w:r>
            <w:r w:rsidRPr="00A0523D">
              <w:rPr>
                <w:rFonts w:ascii="Times New Roman" w:hAnsi="Times New Roman" w:cs="Times New Roman"/>
                <w:sz w:val="24"/>
                <w:szCs w:val="24"/>
                <w:lang w:val="uk-UA"/>
              </w:rPr>
              <w:t xml:space="preserve">итрати коштів з розрахунку мінімальної заробітної плати у погодинному розмірі на 1 квітня 2024 року (48,00 грн): </w:t>
            </w:r>
          </w:p>
          <w:p w:rsidR="00B33E25" w:rsidRPr="00796D25" w:rsidRDefault="0068345B" w:rsidP="00B33E25">
            <w:pPr>
              <w:jc w:val="both"/>
              <w:rPr>
                <w:rFonts w:ascii="Times New Roman" w:hAnsi="Times New Roman" w:cs="Times New Roman"/>
                <w:sz w:val="24"/>
                <w:szCs w:val="24"/>
              </w:rPr>
            </w:pPr>
            <w:r>
              <w:rPr>
                <w:rFonts w:ascii="Times New Roman" w:hAnsi="Times New Roman" w:cs="Times New Roman"/>
                <w:sz w:val="24"/>
                <w:szCs w:val="24"/>
              </w:rPr>
              <w:lastRenderedPageBreak/>
              <w:t>п</w:t>
            </w:r>
            <w:r w:rsidR="00B33E25" w:rsidRPr="00796D25">
              <w:rPr>
                <w:rFonts w:ascii="Times New Roman" w:hAnsi="Times New Roman" w:cs="Times New Roman"/>
                <w:sz w:val="24"/>
                <w:szCs w:val="24"/>
              </w:rPr>
              <w:t xml:space="preserve">ідготовка заяви про переоформлення ліцензії, ознайомлення з актом та приведення у відповідність: </w:t>
            </w:r>
          </w:p>
          <w:p w:rsidR="00B33E25" w:rsidRPr="00796D25" w:rsidRDefault="00A0523D" w:rsidP="00B33E25">
            <w:pPr>
              <w:jc w:val="both"/>
              <w:rPr>
                <w:rFonts w:ascii="Times New Roman" w:hAnsi="Times New Roman" w:cs="Times New Roman"/>
                <w:sz w:val="24"/>
                <w:szCs w:val="24"/>
              </w:rPr>
            </w:pPr>
            <w:r>
              <w:rPr>
                <w:rFonts w:ascii="Times New Roman" w:hAnsi="Times New Roman" w:cs="Times New Roman"/>
                <w:sz w:val="24"/>
                <w:szCs w:val="24"/>
              </w:rPr>
              <w:t>674</w:t>
            </w:r>
            <w:r w:rsidR="00B33E25" w:rsidRPr="00796D25">
              <w:rPr>
                <w:rFonts w:ascii="Times New Roman" w:hAnsi="Times New Roman" w:cs="Times New Roman"/>
                <w:sz w:val="24"/>
                <w:szCs w:val="24"/>
              </w:rPr>
              <w:t>*</w:t>
            </w:r>
            <w:r w:rsidR="00841EE2">
              <w:rPr>
                <w:rFonts w:ascii="Times New Roman" w:hAnsi="Times New Roman" w:cs="Times New Roman"/>
                <w:sz w:val="24"/>
                <w:szCs w:val="24"/>
              </w:rPr>
              <w:t>5</w:t>
            </w:r>
            <w:r w:rsidR="00B33E25" w:rsidRPr="00796D25">
              <w:rPr>
                <w:rFonts w:ascii="Times New Roman" w:hAnsi="Times New Roman" w:cs="Times New Roman"/>
                <w:sz w:val="24"/>
                <w:szCs w:val="24"/>
              </w:rPr>
              <w:t>*</w:t>
            </w:r>
            <w:r w:rsidR="004465C4">
              <w:rPr>
                <w:rFonts w:ascii="Times New Roman" w:hAnsi="Times New Roman" w:cs="Times New Roman"/>
                <w:sz w:val="24"/>
                <w:szCs w:val="24"/>
              </w:rPr>
              <w:t>48</w:t>
            </w:r>
            <w:r w:rsidR="00B33E25" w:rsidRPr="00796D25">
              <w:rPr>
                <w:rFonts w:ascii="Times New Roman" w:hAnsi="Times New Roman" w:cs="Times New Roman"/>
                <w:sz w:val="24"/>
                <w:szCs w:val="24"/>
              </w:rPr>
              <w:t xml:space="preserve"> грн/год = </w:t>
            </w:r>
            <w:r w:rsidR="007C20F5">
              <w:rPr>
                <w:rFonts w:ascii="Times New Roman" w:hAnsi="Times New Roman" w:cs="Times New Roman"/>
                <w:sz w:val="24"/>
                <w:szCs w:val="24"/>
              </w:rPr>
              <w:t>161 760,00</w:t>
            </w:r>
            <w:r w:rsidR="00B33E25" w:rsidRPr="00796D25">
              <w:rPr>
                <w:rFonts w:ascii="Times New Roman" w:hAnsi="Times New Roman" w:cs="Times New Roman"/>
                <w:sz w:val="24"/>
                <w:szCs w:val="24"/>
              </w:rPr>
              <w:t xml:space="preserve"> грн.</w:t>
            </w:r>
          </w:p>
          <w:p w:rsidR="00ED290F" w:rsidRDefault="00ED290F" w:rsidP="00ED290F">
            <w:pPr>
              <w:pStyle w:val="1"/>
              <w:rPr>
                <w:rFonts w:ascii="Times New Roman" w:hAnsi="Times New Roman" w:cs="Times New Roman"/>
                <w:sz w:val="24"/>
                <w:szCs w:val="24"/>
                <w:lang w:val="uk-UA"/>
              </w:rPr>
            </w:pPr>
          </w:p>
          <w:p w:rsidR="00B33E25" w:rsidRPr="00ED290F" w:rsidRDefault="00B33E25" w:rsidP="00ED290F">
            <w:pPr>
              <w:pStyle w:val="1"/>
              <w:rPr>
                <w:rFonts w:ascii="Times New Roman" w:eastAsia="Times New Roman" w:hAnsi="Times New Roman"/>
                <w:color w:val="auto"/>
                <w:sz w:val="16"/>
                <w:szCs w:val="16"/>
                <w:lang w:val="uk-UA"/>
              </w:rPr>
            </w:pPr>
            <w:r w:rsidRPr="00796D25">
              <w:rPr>
                <w:rFonts w:ascii="Times New Roman" w:hAnsi="Times New Roman" w:cs="Times New Roman"/>
                <w:sz w:val="24"/>
                <w:szCs w:val="24"/>
                <w:lang w:val="uk-UA"/>
              </w:rPr>
              <w:t xml:space="preserve">Усього: </w:t>
            </w:r>
            <w:r w:rsidR="007C20F5" w:rsidRPr="00E35251">
              <w:rPr>
                <w:rFonts w:ascii="Times New Roman" w:hAnsi="Times New Roman" w:cs="Times New Roman"/>
                <w:sz w:val="24"/>
                <w:szCs w:val="24"/>
                <w:lang w:val="ru-RU"/>
              </w:rPr>
              <w:t>161</w:t>
            </w:r>
            <w:r w:rsidR="007C20F5" w:rsidRPr="00866469">
              <w:rPr>
                <w:rFonts w:ascii="Times New Roman" w:hAnsi="Times New Roman" w:cs="Times New Roman"/>
                <w:sz w:val="24"/>
                <w:szCs w:val="24"/>
              </w:rPr>
              <w:t> </w:t>
            </w:r>
            <w:r w:rsidR="007C20F5" w:rsidRPr="00E35251">
              <w:rPr>
                <w:rFonts w:ascii="Times New Roman" w:hAnsi="Times New Roman" w:cs="Times New Roman"/>
                <w:sz w:val="24"/>
                <w:szCs w:val="24"/>
                <w:lang w:val="ru-RU"/>
              </w:rPr>
              <w:t>760</w:t>
            </w:r>
            <w:r w:rsidR="0068345B" w:rsidRPr="00E35251">
              <w:rPr>
                <w:rFonts w:ascii="Times New Roman" w:hAnsi="Times New Roman" w:cs="Times New Roman"/>
                <w:sz w:val="24"/>
                <w:szCs w:val="24"/>
                <w:lang w:val="ru-RU"/>
              </w:rPr>
              <w:t>,00</w:t>
            </w:r>
            <w:r w:rsidR="0068345B">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грн.</w:t>
            </w:r>
          </w:p>
          <w:p w:rsidR="004465C4" w:rsidRPr="00796D25" w:rsidRDefault="004465C4" w:rsidP="00ED290F">
            <w:pPr>
              <w:pStyle w:val="1"/>
              <w:jc w:val="center"/>
              <w:rPr>
                <w:rFonts w:ascii="Times New Roman" w:eastAsia="Times New Roman" w:hAnsi="Times New Roman"/>
                <w:color w:val="auto"/>
                <w:lang w:val="uk-UA"/>
              </w:rPr>
            </w:pPr>
          </w:p>
        </w:tc>
      </w:tr>
    </w:tbl>
    <w:p w:rsidR="007C07DB" w:rsidRPr="00796D25" w:rsidRDefault="007C07DB" w:rsidP="00807C50">
      <w:pPr>
        <w:pStyle w:val="Textbody"/>
        <w:spacing w:before="160" w:after="160" w:line="240" w:lineRule="auto"/>
        <w:rPr>
          <w:rFonts w:ascii="Times New Roman" w:eastAsia="Times New Roman" w:hAnsi="Times New Roman"/>
          <w:color w:val="auto"/>
          <w:sz w:val="24"/>
          <w:shd w:val="clear" w:color="auto" w:fill="FFFFFF"/>
          <w:lang w:val="uk-UA"/>
        </w:rPr>
      </w:pPr>
      <w:r w:rsidRPr="00796D25">
        <w:rPr>
          <w:rFonts w:ascii="Times New Roman" w:eastAsia="Times New Roman" w:hAnsi="Times New Roman"/>
          <w:b/>
          <w:color w:val="auto"/>
          <w:sz w:val="28"/>
          <w:shd w:val="clear" w:color="auto" w:fill="FFFFFF"/>
          <w:lang w:val="uk-UA"/>
        </w:rPr>
        <w:lastRenderedPageBreak/>
        <w:t>Оцінка сумарних витрат за альтернативами</w:t>
      </w:r>
    </w:p>
    <w:tbl>
      <w:tblPr>
        <w:tblW w:w="9634" w:type="dxa"/>
        <w:tblLayout w:type="fixed"/>
        <w:tblCellMar>
          <w:left w:w="10" w:type="dxa"/>
          <w:right w:w="10" w:type="dxa"/>
        </w:tblCellMar>
        <w:tblLook w:val="0000" w:firstRow="0" w:lastRow="0" w:firstColumn="0" w:lastColumn="0" w:noHBand="0" w:noVBand="0"/>
      </w:tblPr>
      <w:tblGrid>
        <w:gridCol w:w="5160"/>
        <w:gridCol w:w="4474"/>
      </w:tblGrid>
      <w:tr w:rsidR="00B33E25" w:rsidRPr="00796D25" w:rsidTr="00ED290F">
        <w:tc>
          <w:tcPr>
            <w:tcW w:w="51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Сумарні витрати за альтернативами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 витрат, гривень</w:t>
            </w:r>
          </w:p>
        </w:tc>
      </w:tr>
      <w:tr w:rsidR="00B33E25" w:rsidRPr="00796D25" w:rsidTr="00357072">
        <w:trPr>
          <w:trHeight w:val="674"/>
        </w:trPr>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B33E25">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1. Сумарні витрати для суб'єктів господарювання великого і середнього підприємництва </w:t>
            </w:r>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B33E25" w:rsidRPr="00796D25" w:rsidRDefault="008127A3" w:rsidP="00357072">
            <w:pPr>
              <w:jc w:val="center"/>
              <w:rPr>
                <w:rFonts w:ascii="Times New Roman" w:eastAsia="Times New Roman" w:hAnsi="Times New Roman"/>
              </w:rPr>
            </w:pPr>
            <w:r>
              <w:rPr>
                <w:rFonts w:ascii="Times New Roman" w:hAnsi="Times New Roman" w:cs="Times New Roman"/>
                <w:sz w:val="24"/>
                <w:szCs w:val="24"/>
              </w:rPr>
              <w:t>Витрати, пов’язані із розглядом звернень закладів освіти становитимуть 171 010,00 грн.</w:t>
            </w:r>
          </w:p>
        </w:tc>
      </w:tr>
      <w:tr w:rsidR="00B33E25" w:rsidRPr="00796D25" w:rsidTr="00ED290F">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B33E25">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2. Сумарні витрати для суб'єктів господарювання великих і середніх суб’єктів господарювання згідно з </w:t>
            </w:r>
            <w:r w:rsidRPr="007C20F5">
              <w:rPr>
                <w:rFonts w:ascii="Times New Roman" w:eastAsia="Times New Roman" w:hAnsi="Times New Roman"/>
                <w:color w:val="auto"/>
                <w:sz w:val="24"/>
                <w:lang w:val="uk-UA"/>
              </w:rPr>
              <w:t>додатком 2 до</w:t>
            </w:r>
            <w:r w:rsidRPr="00796D25">
              <w:rPr>
                <w:rFonts w:ascii="Times New Roman" w:eastAsia="Times New Roman" w:hAnsi="Times New Roman"/>
                <w:color w:val="auto"/>
                <w:sz w:val="24"/>
                <w:lang w:val="uk-UA"/>
              </w:rPr>
              <w:t xml:space="preserve"> Методики</w:t>
            </w:r>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B469C4">
            <w:pPr>
              <w:pStyle w:val="Textbody"/>
              <w:spacing w:after="0" w:line="240" w:lineRule="auto"/>
              <w:ind w:left="57"/>
              <w:rPr>
                <w:rFonts w:ascii="Times New Roman" w:eastAsia="Times New Roman" w:hAnsi="Times New Roman"/>
                <w:color w:val="auto"/>
                <w:lang w:val="uk-UA"/>
              </w:rPr>
            </w:pPr>
            <w:r w:rsidRPr="00796D25">
              <w:rPr>
                <w:rFonts w:ascii="Times New Roman" w:eastAsia="Times New Roman" w:hAnsi="Times New Roman"/>
                <w:color w:val="auto"/>
                <w:sz w:val="24"/>
                <w:lang w:val="uk-UA"/>
              </w:rPr>
              <w:t>у великих  та середніх суб’єктів господарювання</w:t>
            </w:r>
            <w:r w:rsidR="00B469C4">
              <w:rPr>
                <w:rFonts w:ascii="Times New Roman" w:eastAsia="Times New Roman" w:hAnsi="Times New Roman"/>
                <w:color w:val="auto"/>
                <w:sz w:val="24"/>
                <w:lang w:val="uk-UA"/>
              </w:rPr>
              <w:t xml:space="preserve"> </w:t>
            </w:r>
            <w:r w:rsidRPr="00796D25">
              <w:rPr>
                <w:rStyle w:val="2"/>
                <w:rFonts w:eastAsia="Arial"/>
                <w:color w:val="auto"/>
                <w:sz w:val="24"/>
                <w:szCs w:val="24"/>
              </w:rPr>
              <w:t xml:space="preserve">– </w:t>
            </w:r>
            <w:r w:rsidR="007C20F5" w:rsidRPr="007C20F5">
              <w:rPr>
                <w:rFonts w:ascii="Times New Roman" w:hAnsi="Times New Roman" w:cs="Times New Roman"/>
                <w:sz w:val="24"/>
                <w:szCs w:val="24"/>
                <w:lang w:val="uk-UA"/>
              </w:rPr>
              <w:t>161 760,00</w:t>
            </w:r>
            <w:r w:rsidR="007C20F5">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szCs w:val="24"/>
                <w:lang w:val="uk-UA"/>
              </w:rPr>
              <w:t>грн</w:t>
            </w:r>
          </w:p>
        </w:tc>
      </w:tr>
    </w:tbl>
    <w:p w:rsidR="00B33E25" w:rsidRDefault="00B33E25" w:rsidP="00ED290F">
      <w:pPr>
        <w:pStyle w:val="1"/>
        <w:suppressAutoHyphens w:val="0"/>
        <w:spacing w:before="160"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Внаслідок запровадження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держава, суб’єкти господарювання і громадяни отримують вигоду ‒ </w:t>
      </w:r>
      <w:r>
        <w:rPr>
          <w:rFonts w:ascii="Times New Roman" w:eastAsia="Times New Roman" w:hAnsi="Times New Roman"/>
          <w:color w:val="auto"/>
          <w:kern w:val="0"/>
          <w:sz w:val="28"/>
          <w:lang w:val="uk-UA"/>
        </w:rPr>
        <w:t>підвищення якості та довіри до вищої освіти</w:t>
      </w:r>
      <w:r w:rsidRPr="00796D25">
        <w:rPr>
          <w:rFonts w:ascii="Times New Roman" w:eastAsia="Times New Roman" w:hAnsi="Times New Roman"/>
          <w:color w:val="auto"/>
          <w:kern w:val="0"/>
          <w:sz w:val="28"/>
          <w:lang w:val="uk-UA"/>
        </w:rPr>
        <w:t xml:space="preserve">. </w:t>
      </w:r>
    </w:p>
    <w:p w:rsidR="00ED290F" w:rsidRPr="00796D25" w:rsidRDefault="00ED290F" w:rsidP="00E47BBE">
      <w:pPr>
        <w:pStyle w:val="1"/>
        <w:suppressAutoHyphens w:val="0"/>
        <w:spacing w:line="259" w:lineRule="auto"/>
        <w:ind w:firstLine="709"/>
        <w:jc w:val="both"/>
        <w:rPr>
          <w:rFonts w:ascii="Times New Roman" w:eastAsia="Times New Roman" w:hAnsi="Times New Roman"/>
          <w:color w:val="auto"/>
          <w:kern w:val="0"/>
          <w:sz w:val="28"/>
          <w:lang w:val="uk-UA"/>
        </w:rPr>
      </w:pPr>
    </w:p>
    <w:p w:rsidR="009C0407" w:rsidRDefault="009C0407" w:rsidP="00ED290F">
      <w:pPr>
        <w:spacing w:after="0"/>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Вибір найбільш оптимального альтернативного способу досягнення цілей</w:t>
      </w:r>
    </w:p>
    <w:p w:rsidR="00ED290F" w:rsidRDefault="00ED290F" w:rsidP="00ED290F">
      <w:pPr>
        <w:spacing w:after="0"/>
        <w:jc w:val="center"/>
        <w:rPr>
          <w:rFonts w:ascii="Times New Roman" w:hAnsi="Times New Roman" w:cs="Times New Roman"/>
          <w:b/>
          <w:sz w:val="28"/>
          <w:szCs w:val="28"/>
        </w:rPr>
      </w:pPr>
    </w:p>
    <w:tbl>
      <w:tblPr>
        <w:tblW w:w="9708" w:type="dxa"/>
        <w:tblLayout w:type="fixed"/>
        <w:tblCellMar>
          <w:left w:w="10" w:type="dxa"/>
          <w:right w:w="10" w:type="dxa"/>
        </w:tblCellMar>
        <w:tblLook w:val="0000" w:firstRow="0" w:lastRow="0" w:firstColumn="0" w:lastColumn="0" w:noHBand="0" w:noVBand="0"/>
      </w:tblPr>
      <w:tblGrid>
        <w:gridCol w:w="1871"/>
        <w:gridCol w:w="14"/>
        <w:gridCol w:w="95"/>
        <w:gridCol w:w="2410"/>
        <w:gridCol w:w="141"/>
        <w:gridCol w:w="1245"/>
        <w:gridCol w:w="1338"/>
        <w:gridCol w:w="2568"/>
        <w:gridCol w:w="15"/>
        <w:gridCol w:w="11"/>
      </w:tblGrid>
      <w:tr w:rsidR="00B33E25" w:rsidRPr="00796D25" w:rsidTr="00E47BBE">
        <w:tc>
          <w:tcPr>
            <w:tcW w:w="1980"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Рейтинг результативності (досягнення цілей під час вирішення проблеми)</w:t>
            </w:r>
          </w:p>
        </w:tc>
        <w:tc>
          <w:tcPr>
            <w:tcW w:w="241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Бал результативності (за чотирибальною системою оцінки)</w:t>
            </w:r>
          </w:p>
        </w:tc>
        <w:tc>
          <w:tcPr>
            <w:tcW w:w="5318" w:type="dxa"/>
            <w:gridSpan w:val="6"/>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 xml:space="preserve">Коментарі щодо присвоєння відповідного </w:t>
            </w:r>
            <w:proofErr w:type="spellStart"/>
            <w:r w:rsidRPr="00F20314">
              <w:rPr>
                <w:rFonts w:ascii="Times New Roman" w:eastAsia="Times New Roman" w:hAnsi="Times New Roman"/>
                <w:b/>
                <w:color w:val="auto"/>
                <w:szCs w:val="22"/>
                <w:lang w:val="uk-UA"/>
              </w:rPr>
              <w:t>бала</w:t>
            </w:r>
            <w:proofErr w:type="spellEnd"/>
          </w:p>
        </w:tc>
      </w:tr>
      <w:tr w:rsidR="00B33E25" w:rsidRPr="00796D25" w:rsidTr="00E47BBE">
        <w:tc>
          <w:tcPr>
            <w:tcW w:w="1980"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2410"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F20314" w:rsidP="00F20314">
            <w:pPr>
              <w:pStyle w:val="Textbody"/>
              <w:spacing w:after="0" w:line="240" w:lineRule="auto"/>
              <w:jc w:val="center"/>
              <w:rPr>
                <w:rFonts w:ascii="Times New Roman" w:eastAsia="Times New Roman" w:hAnsi="Times New Roman"/>
                <w:color w:val="auto"/>
                <w:sz w:val="24"/>
                <w:lang w:val="uk-UA"/>
              </w:rPr>
            </w:pPr>
            <w:r>
              <w:rPr>
                <w:rFonts w:ascii="Times New Roman" w:eastAsia="Times New Roman" w:hAnsi="Times New Roman"/>
                <w:color w:val="auto"/>
                <w:sz w:val="24"/>
                <w:lang w:val="uk-UA"/>
              </w:rPr>
              <w:t>1</w:t>
            </w:r>
          </w:p>
        </w:tc>
        <w:tc>
          <w:tcPr>
            <w:tcW w:w="5318" w:type="dxa"/>
            <w:gridSpan w:val="6"/>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20314" w:rsidRDefault="00F20314" w:rsidP="00B33E25">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olor w:val="auto"/>
                <w:sz w:val="24"/>
                <w:lang w:val="uk-UA"/>
              </w:rPr>
              <w:t>Ц</w:t>
            </w:r>
            <w:r w:rsidRPr="00796D25">
              <w:rPr>
                <w:rFonts w:ascii="Times New Roman" w:eastAsia="Times New Roman" w:hAnsi="Times New Roman"/>
                <w:color w:val="auto"/>
                <w:sz w:val="24"/>
                <w:lang w:val="uk-UA"/>
              </w:rPr>
              <w:t>ілі прийняття регуляторного акта не можуть бути досягнуті (проблема продовжує існувати)</w:t>
            </w:r>
            <w:r>
              <w:rPr>
                <w:rFonts w:ascii="Times New Roman" w:eastAsia="Times New Roman" w:hAnsi="Times New Roman"/>
                <w:color w:val="auto"/>
                <w:sz w:val="24"/>
                <w:lang w:val="uk-UA"/>
              </w:rPr>
              <w:t>.</w:t>
            </w:r>
          </w:p>
          <w:p w:rsidR="00B33E25" w:rsidRPr="00796D25" w:rsidRDefault="00E67627" w:rsidP="00B33E25">
            <w:pPr>
              <w:pStyle w:val="Textbody"/>
              <w:spacing w:after="0" w:line="240" w:lineRule="auto"/>
              <w:jc w:val="both"/>
              <w:rPr>
                <w:rFonts w:ascii="Times New Roman" w:eastAsia="Times New Roman" w:hAnsi="Times New Roman"/>
                <w:color w:val="auto"/>
                <w:sz w:val="24"/>
                <w:szCs w:val="24"/>
                <w:lang w:val="uk-UA"/>
              </w:rPr>
            </w:pPr>
            <w:r w:rsidRPr="00E67627">
              <w:rPr>
                <w:rFonts w:ascii="Times New Roman" w:hAnsi="Times New Roman" w:cs="Times New Roman"/>
                <w:sz w:val="24"/>
                <w:szCs w:val="24"/>
                <w:lang w:val="uk-UA"/>
              </w:rPr>
              <w:t>Невиконання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w:t>
            </w:r>
            <w:r>
              <w:rPr>
                <w:rFonts w:ascii="Times New Roman" w:hAnsi="Times New Roman" w:cs="Times New Roman"/>
                <w:sz w:val="24"/>
                <w:szCs w:val="24"/>
                <w:lang w:val="uk-UA"/>
              </w:rPr>
              <w:t> </w:t>
            </w:r>
            <w:r w:rsidRPr="00E67627">
              <w:rPr>
                <w:rFonts w:ascii="Times New Roman" w:hAnsi="Times New Roman" w:cs="Times New Roman"/>
                <w:sz w:val="24"/>
                <w:szCs w:val="24"/>
                <w:lang w:val="uk-UA"/>
              </w:rPr>
              <w:t>133</w:t>
            </w:r>
            <w:r w:rsidRPr="00E35251">
              <w:rPr>
                <w:lang w:val="uk-UA"/>
              </w:rPr>
              <w:t>;</w:t>
            </w:r>
            <w:r>
              <w:rPr>
                <w:lang w:val="uk-UA"/>
              </w:rPr>
              <w:t xml:space="preserve"> </w:t>
            </w:r>
            <w:r w:rsidR="0037731E" w:rsidRPr="0037731E">
              <w:rPr>
                <w:rFonts w:ascii="Times New Roman" w:hAnsi="Times New Roman" w:cs="Times New Roman"/>
                <w:sz w:val="24"/>
                <w:szCs w:val="24"/>
                <w:lang w:val="uk-UA"/>
              </w:rPr>
              <w:t>демографічні тенденції скорочення контингенту посилить проблему</w:t>
            </w:r>
            <w:r w:rsidR="0037731E" w:rsidRPr="002E6F51">
              <w:rPr>
                <w:rFonts w:ascii="Times New Roman" w:hAnsi="Times New Roman" w:cs="Times New Roman"/>
                <w:sz w:val="24"/>
                <w:szCs w:val="24"/>
              </w:rPr>
              <w:t xml:space="preserve"> </w:t>
            </w:r>
            <w:r w:rsidR="00B33E25" w:rsidRPr="00796D25">
              <w:rPr>
                <w:rFonts w:ascii="Times New Roman" w:hAnsi="Times New Roman" w:cs="Times New Roman"/>
                <w:color w:val="000000" w:themeColor="text1"/>
                <w:sz w:val="24"/>
                <w:szCs w:val="24"/>
                <w:lang w:val="uk-UA"/>
              </w:rPr>
              <w:t xml:space="preserve">хронічного недофінансування здобуття вищої освіти, неможливості забезпечити відновлення та </w:t>
            </w:r>
            <w:r w:rsidR="00B33E25" w:rsidRPr="00796D25">
              <w:rPr>
                <w:rFonts w:ascii="Times New Roman" w:hAnsi="Times New Roman" w:cs="Times New Roman"/>
                <w:color w:val="000000" w:themeColor="text1"/>
                <w:sz w:val="24"/>
                <w:szCs w:val="24"/>
                <w:lang w:val="uk-UA"/>
              </w:rPr>
              <w:lastRenderedPageBreak/>
              <w:t xml:space="preserve">модернізацію закладів вищої освіти, перенавантаження </w:t>
            </w:r>
            <w:r w:rsidR="00B33E25" w:rsidRPr="00796D25">
              <w:rPr>
                <w:rFonts w:ascii="Times New Roman" w:hAnsi="Times New Roman" w:cs="Times New Roman"/>
                <w:color w:val="000000" w:themeColor="text1"/>
                <w:sz w:val="24"/>
                <w:szCs w:val="24"/>
                <w:shd w:val="clear" w:color="auto" w:fill="FFFFFF"/>
                <w:lang w:val="uk-UA"/>
              </w:rPr>
              <w:t>науков</w:t>
            </w:r>
            <w:r w:rsidR="0037731E">
              <w:rPr>
                <w:rFonts w:ascii="Times New Roman" w:hAnsi="Times New Roman" w:cs="Times New Roman"/>
                <w:color w:val="000000" w:themeColor="text1"/>
                <w:sz w:val="24"/>
                <w:szCs w:val="24"/>
                <w:shd w:val="clear" w:color="auto" w:fill="FFFFFF"/>
                <w:lang w:val="uk-UA"/>
              </w:rPr>
              <w:t>их</w:t>
            </w:r>
            <w:r w:rsidR="00B33E25" w:rsidRPr="00796D25">
              <w:rPr>
                <w:rFonts w:ascii="Times New Roman" w:hAnsi="Times New Roman" w:cs="Times New Roman"/>
                <w:color w:val="000000" w:themeColor="text1"/>
                <w:sz w:val="24"/>
                <w:szCs w:val="24"/>
                <w:shd w:val="clear" w:color="auto" w:fill="FFFFFF"/>
                <w:lang w:val="uk-UA"/>
              </w:rPr>
              <w:t>, науково-педагогічних</w:t>
            </w:r>
            <w:r w:rsidR="0037731E">
              <w:rPr>
                <w:rFonts w:ascii="Times New Roman" w:hAnsi="Times New Roman" w:cs="Times New Roman"/>
                <w:color w:val="000000" w:themeColor="text1"/>
                <w:sz w:val="24"/>
                <w:szCs w:val="24"/>
                <w:shd w:val="clear" w:color="auto" w:fill="FFFFFF"/>
                <w:lang w:val="uk-UA"/>
              </w:rPr>
              <w:t xml:space="preserve"> працівників</w:t>
            </w:r>
            <w:r w:rsidR="00B33E25" w:rsidRPr="00796D25">
              <w:rPr>
                <w:rFonts w:ascii="Times New Roman" w:hAnsi="Times New Roman" w:cs="Times New Roman"/>
                <w:color w:val="000000" w:themeColor="text1"/>
                <w:sz w:val="24"/>
                <w:szCs w:val="24"/>
                <w:shd w:val="clear" w:color="auto" w:fill="FFFFFF"/>
                <w:lang w:val="uk-UA"/>
              </w:rPr>
              <w:t xml:space="preserve"> внаслідок</w:t>
            </w:r>
            <w:r w:rsidR="00B33E25"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00B33E25" w:rsidRPr="00796D25">
              <w:rPr>
                <w:rFonts w:ascii="Times New Roman" w:eastAsia="Times New Roman" w:hAnsi="Times New Roman"/>
                <w:color w:val="auto"/>
                <w:sz w:val="24"/>
                <w:szCs w:val="24"/>
                <w:lang w:val="uk-UA"/>
              </w:rPr>
              <w:t>, погіршення якості вищої освіти.</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Поодинокі випадки ініціативної реорганізації не вирішують системно проблему</w:t>
            </w:r>
          </w:p>
        </w:tc>
      </w:tr>
      <w:tr w:rsidR="00B33E25" w:rsidRPr="00796D25" w:rsidTr="00E47BBE">
        <w:tc>
          <w:tcPr>
            <w:tcW w:w="1980" w:type="dxa"/>
            <w:gridSpan w:val="3"/>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Альтернатива 2</w:t>
            </w:r>
          </w:p>
        </w:tc>
        <w:tc>
          <w:tcPr>
            <w:tcW w:w="2410" w:type="dxa"/>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F20314">
            <w:pPr>
              <w:pStyle w:val="Textbody"/>
              <w:spacing w:after="0"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ru-RU"/>
              </w:rPr>
              <w:t>3</w:t>
            </w:r>
          </w:p>
        </w:tc>
        <w:tc>
          <w:tcPr>
            <w:tcW w:w="5318" w:type="dxa"/>
            <w:gridSpan w:val="6"/>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rsidR="00E67627" w:rsidRPr="00E67627" w:rsidRDefault="00E67627" w:rsidP="00F20314">
            <w:pPr>
              <w:pStyle w:val="Textbody"/>
              <w:spacing w:after="0" w:line="240" w:lineRule="auto"/>
              <w:jc w:val="both"/>
              <w:rPr>
                <w:rFonts w:ascii="Times New Roman" w:hAnsi="Times New Roman" w:cs="Times New Roman"/>
                <w:color w:val="auto"/>
                <w:sz w:val="24"/>
                <w:szCs w:val="24"/>
                <w:lang w:val="uk-UA"/>
              </w:rPr>
            </w:pPr>
            <w:r w:rsidRPr="00E67627">
              <w:rPr>
                <w:rFonts w:ascii="Times New Roman" w:hAnsi="Times New Roman" w:cs="Times New Roman"/>
                <w:sz w:val="24"/>
                <w:szCs w:val="24"/>
                <w:lang w:val="uk-UA"/>
              </w:rPr>
              <w:t>Оптимальний варіант збалансування інтересів держави та громадян. Забезпечує досягнення цілей. Сприятиме реалізації засад державної політики у сфері освіти та принципів освітньої діяльності.</w:t>
            </w:r>
          </w:p>
          <w:p w:rsidR="00B33E25" w:rsidRPr="00796D25" w:rsidRDefault="00E67627" w:rsidP="00287583">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olor w:val="auto"/>
                <w:sz w:val="24"/>
                <w:lang w:val="uk-UA"/>
              </w:rPr>
              <w:t>Д</w:t>
            </w:r>
            <w:r w:rsidR="00B33E25" w:rsidRPr="00796D25">
              <w:rPr>
                <w:rFonts w:ascii="Times New Roman" w:eastAsia="Times New Roman" w:hAnsi="Times New Roman"/>
                <w:color w:val="auto"/>
                <w:sz w:val="24"/>
                <w:lang w:val="uk-UA"/>
              </w:rPr>
              <w:t>озвол</w:t>
            </w:r>
            <w:r>
              <w:rPr>
                <w:rFonts w:ascii="Times New Roman" w:eastAsia="Times New Roman" w:hAnsi="Times New Roman"/>
                <w:color w:val="auto"/>
                <w:sz w:val="24"/>
                <w:lang w:val="uk-UA"/>
              </w:rPr>
              <w:t>яє</w:t>
            </w:r>
            <w:r w:rsidR="00B33E25" w:rsidRPr="00796D25">
              <w:rPr>
                <w:rFonts w:ascii="Times New Roman" w:eastAsia="Times New Roman" w:hAnsi="Times New Roman"/>
                <w:color w:val="auto"/>
                <w:sz w:val="24"/>
                <w:lang w:val="uk-UA"/>
              </w:rPr>
              <w:t xml:space="preserve"> </w:t>
            </w:r>
            <w:r w:rsidR="00B33E25" w:rsidRPr="00796D25">
              <w:rPr>
                <w:rFonts w:ascii="Times New Roman" w:eastAsia="Times New Roman" w:hAnsi="Times New Roman" w:cs="Times New Roman"/>
                <w:bCs/>
                <w:color w:val="000000" w:themeColor="text1"/>
                <w:sz w:val="24"/>
                <w:szCs w:val="24"/>
                <w:lang w:val="uk-UA" w:eastAsia="uk-UA"/>
              </w:rPr>
              <w:t>адаптувати систем</w:t>
            </w:r>
            <w:r>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вищої освіти до демографічних змін, забезпечит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єдність державного управління вищою освітою та збільшит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спроможність до фінансування її відновлення та розвитку, зменшит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перенавантаження викладачів та підвищит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концентрацію фінансових ресурсів</w:t>
            </w:r>
            <w:r>
              <w:rPr>
                <w:rFonts w:ascii="Times New Roman" w:eastAsia="Times New Roman" w:hAnsi="Times New Roman" w:cs="Times New Roman"/>
                <w:bCs/>
                <w:color w:val="000000" w:themeColor="text1"/>
                <w:sz w:val="24"/>
                <w:szCs w:val="24"/>
                <w:lang w:val="uk-UA" w:eastAsia="uk-UA"/>
              </w:rPr>
              <w:t xml:space="preserve"> на якісній підготовці фахівців,</w:t>
            </w:r>
            <w:r w:rsidR="00287583">
              <w:rPr>
                <w:rFonts w:ascii="Times New Roman" w:eastAsia="Times New Roman" w:hAnsi="Times New Roman" w:cs="Times New Roman"/>
                <w:bCs/>
                <w:color w:val="000000" w:themeColor="text1"/>
                <w:sz w:val="24"/>
                <w:szCs w:val="24"/>
                <w:lang w:val="uk-UA" w:eastAsia="uk-UA"/>
              </w:rPr>
              <w:t xml:space="preserve"> підвищити</w:t>
            </w:r>
            <w:r w:rsidR="00B33E25" w:rsidRPr="00796D25">
              <w:rPr>
                <w:rFonts w:ascii="Times New Roman" w:eastAsia="Times New Roman" w:hAnsi="Times New Roman" w:cs="Times New Roman"/>
                <w:bCs/>
                <w:color w:val="000000" w:themeColor="text1"/>
                <w:sz w:val="24"/>
                <w:szCs w:val="24"/>
                <w:lang w:val="uk-UA" w:eastAsia="uk-UA"/>
              </w:rPr>
              <w:t xml:space="preserve"> частк</w:t>
            </w:r>
            <w:r w:rsidR="00287583">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випускників, які задоволені якістю та </w:t>
            </w:r>
            <w:r w:rsidR="00287583">
              <w:rPr>
                <w:rFonts w:ascii="Times New Roman" w:eastAsia="Times New Roman" w:hAnsi="Times New Roman" w:cs="Times New Roman"/>
                <w:bCs/>
                <w:color w:val="000000" w:themeColor="text1"/>
                <w:sz w:val="24"/>
                <w:szCs w:val="24"/>
                <w:lang w:val="uk-UA" w:eastAsia="uk-UA"/>
              </w:rPr>
              <w:t xml:space="preserve">здобутими завдяки вищій освіті </w:t>
            </w:r>
            <w:r w:rsidR="00B33E25" w:rsidRPr="00796D25">
              <w:rPr>
                <w:rFonts w:ascii="Times New Roman" w:eastAsia="Times New Roman" w:hAnsi="Times New Roman" w:cs="Times New Roman"/>
                <w:bCs/>
                <w:color w:val="000000" w:themeColor="text1"/>
                <w:sz w:val="24"/>
                <w:szCs w:val="24"/>
                <w:lang w:val="uk-UA" w:eastAsia="uk-UA"/>
              </w:rPr>
              <w:t>компетентностями, покращеним та модернізованим освітнім середовищем</w:t>
            </w:r>
            <w:r w:rsidR="00287583">
              <w:rPr>
                <w:rFonts w:ascii="Times New Roman" w:eastAsia="Times New Roman" w:hAnsi="Times New Roman" w:cs="Times New Roman"/>
                <w:bCs/>
                <w:color w:val="000000" w:themeColor="text1"/>
                <w:sz w:val="24"/>
                <w:szCs w:val="24"/>
                <w:lang w:val="uk-UA" w:eastAsia="uk-UA"/>
              </w:rPr>
              <w:t>,</w:t>
            </w:r>
            <w:r w:rsidR="00287583" w:rsidRPr="00287583">
              <w:rPr>
                <w:rFonts w:ascii="Times New Roman" w:hAnsi="Times New Roman" w:cs="Times New Roman"/>
                <w:sz w:val="24"/>
                <w:szCs w:val="24"/>
                <w:lang w:val="uk-UA"/>
              </w:rPr>
              <w:t xml:space="preserve"> виконати ре</w:t>
            </w:r>
            <w:r w:rsidR="00287583">
              <w:rPr>
                <w:rFonts w:ascii="Times New Roman" w:hAnsi="Times New Roman" w:cs="Times New Roman"/>
                <w:sz w:val="24"/>
                <w:szCs w:val="24"/>
                <w:lang w:val="uk-UA"/>
              </w:rPr>
              <w:t>комендацій Європейської комісії.</w:t>
            </w:r>
          </w:p>
        </w:tc>
      </w:tr>
      <w:tr w:rsidR="00ED421B" w:rsidRPr="00796D25" w:rsidTr="00E47BBE">
        <w:tc>
          <w:tcPr>
            <w:tcW w:w="1980" w:type="dxa"/>
            <w:gridSpan w:val="3"/>
            <w:tcBorders>
              <w:top w:val="single" w:sz="4" w:space="0" w:color="auto"/>
            </w:tcBorders>
            <w:shd w:val="clear" w:color="auto" w:fill="auto"/>
            <w:tcMar>
              <w:top w:w="57" w:type="dxa"/>
              <w:left w:w="57" w:type="dxa"/>
              <w:bottom w:w="57" w:type="dxa"/>
              <w:right w:w="57" w:type="dxa"/>
            </w:tcMar>
          </w:tcPr>
          <w:p w:rsidR="00ED421B" w:rsidRPr="00796D25" w:rsidRDefault="00ED421B" w:rsidP="00B33E25">
            <w:pPr>
              <w:pStyle w:val="TableContents"/>
              <w:spacing w:line="240" w:lineRule="auto"/>
              <w:rPr>
                <w:rFonts w:ascii="Times New Roman" w:eastAsia="Times New Roman" w:hAnsi="Times New Roman"/>
                <w:color w:val="auto"/>
                <w:sz w:val="24"/>
                <w:lang w:val="uk-UA"/>
              </w:rPr>
            </w:pPr>
          </w:p>
        </w:tc>
        <w:tc>
          <w:tcPr>
            <w:tcW w:w="2410" w:type="dxa"/>
            <w:tcBorders>
              <w:top w:val="single" w:sz="4" w:space="0" w:color="auto"/>
            </w:tcBorders>
            <w:shd w:val="clear" w:color="auto" w:fill="auto"/>
            <w:tcMar>
              <w:top w:w="57" w:type="dxa"/>
              <w:left w:w="57" w:type="dxa"/>
              <w:bottom w:w="57" w:type="dxa"/>
              <w:right w:w="57" w:type="dxa"/>
            </w:tcMar>
          </w:tcPr>
          <w:p w:rsidR="00ED421B" w:rsidRPr="00E35251" w:rsidRDefault="00ED421B" w:rsidP="00F20314">
            <w:pPr>
              <w:pStyle w:val="Textbody"/>
              <w:spacing w:after="0" w:line="240" w:lineRule="auto"/>
              <w:jc w:val="center"/>
              <w:rPr>
                <w:rFonts w:ascii="Times New Roman" w:eastAsia="Times New Roman" w:hAnsi="Times New Roman"/>
                <w:color w:val="auto"/>
                <w:sz w:val="24"/>
                <w:lang w:val="uk-UA"/>
              </w:rPr>
            </w:pPr>
          </w:p>
        </w:tc>
        <w:tc>
          <w:tcPr>
            <w:tcW w:w="5318" w:type="dxa"/>
            <w:gridSpan w:val="6"/>
            <w:tcBorders>
              <w:top w:val="single" w:sz="4" w:space="0" w:color="auto"/>
            </w:tcBorders>
            <w:shd w:val="clear" w:color="auto" w:fill="auto"/>
            <w:tcMar>
              <w:top w:w="57" w:type="dxa"/>
              <w:left w:w="57" w:type="dxa"/>
              <w:bottom w:w="57" w:type="dxa"/>
              <w:right w:w="57" w:type="dxa"/>
            </w:tcMar>
          </w:tcPr>
          <w:p w:rsidR="00ED421B" w:rsidRPr="00796D25" w:rsidRDefault="00ED421B" w:rsidP="00F20314">
            <w:pPr>
              <w:pStyle w:val="Textbody"/>
              <w:spacing w:after="0" w:line="240" w:lineRule="auto"/>
              <w:jc w:val="both"/>
              <w:rPr>
                <w:rFonts w:ascii="Times New Roman" w:hAnsi="Times New Roman"/>
                <w:color w:val="auto"/>
                <w:sz w:val="24"/>
                <w:szCs w:val="24"/>
                <w:lang w:val="uk-UA"/>
              </w:rPr>
            </w:pPr>
          </w:p>
        </w:tc>
      </w:tr>
      <w:tr w:rsidR="00B33E25" w:rsidRPr="00796D25" w:rsidTr="00E47BBE">
        <w:trPr>
          <w:gridAfter w:val="1"/>
          <w:wAfter w:w="11" w:type="dxa"/>
        </w:trPr>
        <w:tc>
          <w:tcPr>
            <w:tcW w:w="1885"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Рейтинг результативності</w:t>
            </w:r>
          </w:p>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p>
        </w:tc>
        <w:tc>
          <w:tcPr>
            <w:tcW w:w="2646"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Вигоди (підсумок)</w:t>
            </w:r>
          </w:p>
        </w:tc>
        <w:tc>
          <w:tcPr>
            <w:tcW w:w="2583"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Витрати (підсумок)</w:t>
            </w:r>
          </w:p>
        </w:tc>
        <w:tc>
          <w:tcPr>
            <w:tcW w:w="2583"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Обґрунтування відповідного місця альтернативи у рейтингу</w:t>
            </w:r>
          </w:p>
        </w:tc>
      </w:tr>
      <w:tr w:rsidR="005F1C27" w:rsidRPr="000C6EBE" w:rsidTr="00E47BBE">
        <w:trPr>
          <w:gridAfter w:val="1"/>
          <w:wAfter w:w="11" w:type="dxa"/>
        </w:trPr>
        <w:tc>
          <w:tcPr>
            <w:tcW w:w="1885"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Альтернатива 1</w:t>
            </w:r>
          </w:p>
        </w:tc>
        <w:tc>
          <w:tcPr>
            <w:tcW w:w="2646"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287583" w:rsidRPr="000C6EBE">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w:t>
            </w:r>
            <w:r w:rsidR="005F1C27" w:rsidRPr="000C6EBE">
              <w:rPr>
                <w:rFonts w:ascii="Times New Roman" w:eastAsia="Times New Roman" w:hAnsi="Times New Roman"/>
                <w:color w:val="auto"/>
                <w:sz w:val="23"/>
                <w:szCs w:val="23"/>
                <w:lang w:val="uk-UA"/>
              </w:rPr>
              <w:t xml:space="preserve">ідсутні. </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 xml:space="preserve">відсутні. </w:t>
            </w:r>
            <w:r w:rsidR="005F1C27" w:rsidRPr="000C6EBE">
              <w:rPr>
                <w:rFonts w:ascii="Times New Roman" w:eastAsia="Times New Roman" w:hAnsi="Times New Roman"/>
                <w:color w:val="auto"/>
                <w:sz w:val="23"/>
                <w:szCs w:val="23"/>
                <w:lang w:val="uk-UA"/>
              </w:rPr>
              <w:t>Громадяни не отримують якісні освітні послуги.</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sidRPr="000C6EBE">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Відсутні</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p>
        </w:tc>
        <w:tc>
          <w:tcPr>
            <w:tcW w:w="2583"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792561" w:rsidRDefault="005F1C27" w:rsidP="00792561">
            <w:pPr>
              <w:pStyle w:val="TableContents"/>
              <w:spacing w:line="240" w:lineRule="auto"/>
              <w:jc w:val="both"/>
              <w:rPr>
                <w:rFonts w:ascii="Times New Roman" w:eastAsia="Times New Roman" w:hAnsi="Times New Roman" w:cs="Times New Roman"/>
                <w:b/>
                <w:color w:val="auto"/>
                <w:sz w:val="23"/>
                <w:szCs w:val="23"/>
                <w:lang w:val="uk-UA"/>
              </w:rPr>
            </w:pPr>
            <w:r w:rsidRPr="000C6EBE">
              <w:rPr>
                <w:rFonts w:ascii="Times New Roman" w:eastAsia="Times New Roman" w:hAnsi="Times New Roman"/>
                <w:b/>
                <w:color w:val="auto"/>
                <w:sz w:val="23"/>
                <w:szCs w:val="23"/>
                <w:lang w:val="uk-UA"/>
              </w:rPr>
              <w:t>Д</w:t>
            </w:r>
            <w:r w:rsidR="00792561">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r w:rsidR="00792561">
              <w:rPr>
                <w:rFonts w:ascii="Times New Roman" w:eastAsia="Times New Roman" w:hAnsi="Times New Roman"/>
                <w:b/>
                <w:color w:val="auto"/>
                <w:sz w:val="23"/>
                <w:szCs w:val="23"/>
                <w:lang w:val="uk-UA"/>
              </w:rPr>
              <w:t xml:space="preserve"> </w:t>
            </w:r>
            <w:r w:rsidR="00792561" w:rsidRPr="00792561">
              <w:rPr>
                <w:rFonts w:ascii="Times New Roman" w:eastAsia="Times New Roman" w:hAnsi="Times New Roman"/>
                <w:color w:val="auto"/>
                <w:sz w:val="23"/>
                <w:szCs w:val="23"/>
                <w:lang w:val="uk-UA"/>
              </w:rPr>
              <w:t>не буде виконано вимогу пункту</w:t>
            </w:r>
            <w:r w:rsidR="00C264E5">
              <w:rPr>
                <w:rFonts w:ascii="Times New Roman" w:eastAsia="Times New Roman" w:hAnsi="Times New Roman"/>
                <w:color w:val="auto"/>
                <w:sz w:val="23"/>
                <w:szCs w:val="23"/>
                <w:lang w:val="uk-UA"/>
              </w:rPr>
              <w:t xml:space="preserve"> 139</w:t>
            </w:r>
            <w:r w:rsidR="00792561" w:rsidRPr="00792561">
              <w:rPr>
                <w:rFonts w:ascii="Times New Roman" w:eastAsia="Times New Roman" w:hAnsi="Times New Roman"/>
                <w:color w:val="auto"/>
                <w:sz w:val="23"/>
                <w:szCs w:val="23"/>
                <w:lang w:val="uk-UA"/>
              </w:rPr>
              <w:t xml:space="preserve"> </w:t>
            </w:r>
            <w:r w:rsidR="00792561" w:rsidRPr="00792561">
              <w:rPr>
                <w:rFonts w:ascii="Times New Roman" w:hAnsi="Times New Roman" w:cs="Times New Roman"/>
                <w:lang w:val="uk-UA"/>
              </w:rPr>
              <w:t>План</w:t>
            </w:r>
            <w:r w:rsidR="00C264E5">
              <w:rPr>
                <w:rFonts w:ascii="Times New Roman" w:hAnsi="Times New Roman" w:cs="Times New Roman"/>
                <w:lang w:val="uk-UA"/>
              </w:rPr>
              <w:t>у</w:t>
            </w:r>
            <w:r w:rsidR="00792561" w:rsidRPr="00792561">
              <w:rPr>
                <w:rFonts w:ascii="Times New Roman" w:hAnsi="Times New Roman" w:cs="Times New Roman"/>
                <w:lang w:val="uk-UA"/>
              </w:rPr>
              <w:t xml:space="preserve"> пріоритетних дій Уряду на 202</w:t>
            </w:r>
            <w:r w:rsidR="00C264E5">
              <w:rPr>
                <w:rFonts w:ascii="Times New Roman" w:hAnsi="Times New Roman" w:cs="Times New Roman"/>
                <w:lang w:val="uk-UA"/>
              </w:rPr>
              <w:t>4</w:t>
            </w:r>
            <w:r w:rsidR="00792561" w:rsidRPr="00792561">
              <w:rPr>
                <w:rFonts w:ascii="Times New Roman" w:hAnsi="Times New Roman" w:cs="Times New Roman"/>
                <w:lang w:val="uk-UA"/>
              </w:rPr>
              <w:t xml:space="preserve"> рік.</w:t>
            </w:r>
          </w:p>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color w:val="auto"/>
                <w:sz w:val="23"/>
                <w:szCs w:val="23"/>
                <w:lang w:val="uk-UA"/>
              </w:rPr>
              <w:t xml:space="preserve">Витрати, пов’язані із обробкою звернень </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внаслідок невідповідного виконання своїх зобов’язань суб’єктами надання освітніх послуг, неякісні освітні послуги</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287583">
            <w:pPr>
              <w:pStyle w:val="Textbody"/>
              <w:spacing w:after="12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lastRenderedPageBreak/>
              <w:t>Витрати, пов’язані з ліцензування рівнів освіти та акредитації наявних освітніх програм</w:t>
            </w:r>
          </w:p>
        </w:tc>
        <w:tc>
          <w:tcPr>
            <w:tcW w:w="2583"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lastRenderedPageBreak/>
              <w:t>Неможливість фінансово забезпечити відновлення та модернізацію ЗВО, подальше погіршення якості освіти  та її знецінення у суспільстві, роботодавців, погіршення ситуації з боку держави із позиції її некерованості, стихійний розвиток ситуації на ринку освіти</w:t>
            </w:r>
          </w:p>
        </w:tc>
      </w:tr>
      <w:tr w:rsidR="005F1C27" w:rsidRPr="000C6EBE" w:rsidTr="00E47BBE">
        <w:trPr>
          <w:gridAfter w:val="1"/>
          <w:wAfter w:w="11" w:type="dxa"/>
        </w:trPr>
        <w:tc>
          <w:tcPr>
            <w:tcW w:w="1885"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rPr>
            </w:pPr>
            <w:r w:rsidRPr="000C6EBE">
              <w:rPr>
                <w:rFonts w:ascii="Times New Roman" w:eastAsia="Times New Roman" w:hAnsi="Times New Roman"/>
                <w:b/>
                <w:color w:val="auto"/>
                <w:sz w:val="23"/>
                <w:szCs w:val="23"/>
                <w:lang w:val="uk-UA"/>
              </w:rPr>
              <w:t xml:space="preserve">Альтернатива </w:t>
            </w:r>
            <w:r w:rsidRPr="000C6EBE">
              <w:rPr>
                <w:rFonts w:ascii="Times New Roman" w:eastAsia="Times New Roman" w:hAnsi="Times New Roman"/>
                <w:b/>
                <w:color w:val="auto"/>
                <w:sz w:val="23"/>
                <w:szCs w:val="23"/>
              </w:rPr>
              <w:t>2</w:t>
            </w:r>
          </w:p>
        </w:tc>
        <w:tc>
          <w:tcPr>
            <w:tcW w:w="2646"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ED5711" w:rsidRPr="000C6EBE" w:rsidRDefault="00ED5711" w:rsidP="005F1C27">
            <w:pPr>
              <w:pStyle w:val="TableContents"/>
              <w:spacing w:line="240" w:lineRule="auto"/>
              <w:jc w:val="both"/>
              <w:rPr>
                <w:rFonts w:ascii="Times New Roman" w:hAnsi="Times New Roman" w:cs="Times New Roman"/>
                <w:sz w:val="23"/>
                <w:szCs w:val="23"/>
                <w:lang w:val="uk-UA"/>
              </w:rPr>
            </w:pPr>
            <w:r w:rsidRPr="000C6EBE">
              <w:rPr>
                <w:rFonts w:ascii="Times New Roman" w:hAnsi="Times New Roman" w:cs="Times New Roman"/>
                <w:sz w:val="23"/>
                <w:szCs w:val="23"/>
                <w:lang w:val="uk-UA"/>
              </w:rPr>
              <w:t xml:space="preserve">У разі </w:t>
            </w:r>
            <w:r w:rsidR="000C6EBE">
              <w:rPr>
                <w:rFonts w:ascii="Times New Roman" w:hAnsi="Times New Roman" w:cs="Times New Roman"/>
                <w:sz w:val="23"/>
                <w:szCs w:val="23"/>
                <w:lang w:val="uk-UA"/>
              </w:rPr>
              <w:t>розвитку подій за Альтернативою </w:t>
            </w:r>
            <w:r w:rsidRPr="000C6EBE">
              <w:rPr>
                <w:rFonts w:ascii="Times New Roman" w:hAnsi="Times New Roman" w:cs="Times New Roman"/>
                <w:sz w:val="23"/>
                <w:szCs w:val="23"/>
                <w:lang w:val="uk-UA"/>
              </w:rPr>
              <w:t>2 виникають такі вигоди:</w:t>
            </w:r>
          </w:p>
          <w:p w:rsidR="005F1C27" w:rsidRPr="000C6EBE" w:rsidRDefault="005F1C27"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ED5711" w:rsidRPr="000C6EBE">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ED5711" w:rsidRPr="000C6EBE">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37731E" w:rsidRPr="0037731E" w:rsidRDefault="0037731E" w:rsidP="00AB4F90">
            <w:pPr>
              <w:spacing w:after="0" w:line="240" w:lineRule="auto"/>
              <w:jc w:val="both"/>
              <w:rPr>
                <w:rFonts w:ascii="Times New Roman" w:hAnsi="Times New Roman" w:cs="Times New Roman"/>
                <w:sz w:val="24"/>
                <w:szCs w:val="24"/>
              </w:rPr>
            </w:pPr>
            <w:r w:rsidRPr="0037731E">
              <w:rPr>
                <w:rFonts w:ascii="Times New Roman" w:hAnsi="Times New Roman" w:cs="Times New Roman"/>
                <w:sz w:val="24"/>
                <w:szCs w:val="24"/>
              </w:rPr>
              <w:t>Сприяння європейській інтеграції України</w:t>
            </w:r>
            <w:r w:rsidR="00357425">
              <w:rPr>
                <w:rFonts w:ascii="Times New Roman" w:hAnsi="Times New Roman" w:cs="Times New Roman"/>
                <w:sz w:val="24"/>
                <w:szCs w:val="24"/>
              </w:rPr>
              <w:t>.</w:t>
            </w:r>
            <w:r w:rsidRPr="0037731E">
              <w:rPr>
                <w:rFonts w:ascii="Times New Roman" w:hAnsi="Times New Roman" w:cs="Times New Roman"/>
                <w:sz w:val="24"/>
                <w:szCs w:val="24"/>
              </w:rPr>
              <w:t xml:space="preserve"> </w:t>
            </w:r>
            <w:r w:rsidR="0065088D">
              <w:rPr>
                <w:rFonts w:ascii="Times New Roman" w:hAnsi="Times New Roman" w:cs="Times New Roman"/>
                <w:sz w:val="24"/>
                <w:szCs w:val="24"/>
              </w:rPr>
              <w:t>А</w:t>
            </w:r>
            <w:r w:rsidRPr="0037731E">
              <w:rPr>
                <w:rFonts w:ascii="Times New Roman" w:hAnsi="Times New Roman" w:cs="Times New Roman"/>
                <w:sz w:val="24"/>
                <w:szCs w:val="24"/>
              </w:rPr>
              <w:t xml:space="preserve">даптація системи вищої освіти до демографічних змін та зміни регіональної структури економіки. </w:t>
            </w:r>
          </w:p>
          <w:p w:rsidR="0037731E" w:rsidRPr="0037731E" w:rsidRDefault="0037731E" w:rsidP="00AB4F90">
            <w:pPr>
              <w:spacing w:after="0" w:line="240" w:lineRule="auto"/>
              <w:jc w:val="both"/>
              <w:rPr>
                <w:rFonts w:ascii="Times New Roman" w:hAnsi="Times New Roman" w:cs="Times New Roman"/>
                <w:sz w:val="24"/>
                <w:szCs w:val="24"/>
              </w:rPr>
            </w:pPr>
            <w:r w:rsidRPr="0037731E">
              <w:rPr>
                <w:rFonts w:ascii="Times New Roman" w:hAnsi="Times New Roman" w:cs="Times New Roman"/>
                <w:sz w:val="24"/>
                <w:szCs w:val="24"/>
              </w:rPr>
              <w:t xml:space="preserve">Забезпечення єдності державного управління вищою освітою, що </w:t>
            </w:r>
            <w:r w:rsidR="00357425">
              <w:rPr>
                <w:rFonts w:ascii="Times New Roman" w:hAnsi="Times New Roman" w:cs="Times New Roman"/>
                <w:sz w:val="24"/>
                <w:szCs w:val="24"/>
              </w:rPr>
              <w:t>збільшить</w:t>
            </w:r>
            <w:r w:rsidR="0065088D">
              <w:rPr>
                <w:rFonts w:ascii="Times New Roman" w:hAnsi="Times New Roman" w:cs="Times New Roman"/>
                <w:sz w:val="24"/>
                <w:szCs w:val="24"/>
              </w:rPr>
              <w:t xml:space="preserve"> </w:t>
            </w:r>
            <w:proofErr w:type="spellStart"/>
            <w:r w:rsidRPr="0037731E">
              <w:rPr>
                <w:rFonts w:ascii="Times New Roman" w:hAnsi="Times New Roman" w:cs="Times New Roman"/>
                <w:sz w:val="24"/>
                <w:szCs w:val="24"/>
              </w:rPr>
              <w:t>спромож</w:t>
            </w:r>
            <w:r w:rsidR="0065088D">
              <w:rPr>
                <w:rFonts w:ascii="Times New Roman" w:hAnsi="Times New Roman" w:cs="Times New Roman"/>
                <w:sz w:val="24"/>
                <w:szCs w:val="24"/>
              </w:rPr>
              <w:t>-</w:t>
            </w:r>
            <w:r w:rsidRPr="0037731E">
              <w:rPr>
                <w:rFonts w:ascii="Times New Roman" w:hAnsi="Times New Roman" w:cs="Times New Roman"/>
                <w:sz w:val="24"/>
                <w:szCs w:val="24"/>
              </w:rPr>
              <w:t>ність</w:t>
            </w:r>
            <w:proofErr w:type="spellEnd"/>
            <w:r w:rsidR="0065088D">
              <w:rPr>
                <w:rFonts w:ascii="Times New Roman" w:hAnsi="Times New Roman" w:cs="Times New Roman"/>
                <w:sz w:val="24"/>
                <w:szCs w:val="24"/>
              </w:rPr>
              <w:t xml:space="preserve"> до фінансування її відновлення та </w:t>
            </w:r>
            <w:r w:rsidRPr="0037731E">
              <w:rPr>
                <w:rFonts w:ascii="Times New Roman" w:hAnsi="Times New Roman" w:cs="Times New Roman"/>
                <w:sz w:val="24"/>
                <w:szCs w:val="24"/>
              </w:rPr>
              <w:t>розвитку</w:t>
            </w:r>
          </w:p>
          <w:p w:rsidR="0037731E" w:rsidRPr="0037731E" w:rsidRDefault="0037731E" w:rsidP="00AB4F90">
            <w:pPr>
              <w:spacing w:after="0" w:line="240" w:lineRule="auto"/>
              <w:jc w:val="both"/>
              <w:rPr>
                <w:rFonts w:ascii="Times New Roman" w:hAnsi="Times New Roman" w:cs="Times New Roman"/>
                <w:sz w:val="24"/>
                <w:szCs w:val="24"/>
              </w:rPr>
            </w:pPr>
            <w:r w:rsidRPr="0037731E">
              <w:rPr>
                <w:rFonts w:ascii="Times New Roman" w:hAnsi="Times New Roman" w:cs="Times New Roman"/>
                <w:sz w:val="24"/>
                <w:szCs w:val="24"/>
              </w:rPr>
              <w:t xml:space="preserve">Зменшення </w:t>
            </w:r>
            <w:proofErr w:type="spellStart"/>
            <w:r w:rsidRPr="0037731E">
              <w:rPr>
                <w:rFonts w:ascii="Times New Roman" w:hAnsi="Times New Roman" w:cs="Times New Roman"/>
                <w:sz w:val="24"/>
                <w:szCs w:val="24"/>
              </w:rPr>
              <w:t>перенаван</w:t>
            </w:r>
            <w:r w:rsidR="0065088D">
              <w:rPr>
                <w:rFonts w:ascii="Times New Roman" w:hAnsi="Times New Roman" w:cs="Times New Roman"/>
                <w:sz w:val="24"/>
                <w:szCs w:val="24"/>
              </w:rPr>
              <w:t>-</w:t>
            </w:r>
            <w:r w:rsidRPr="0037731E">
              <w:rPr>
                <w:rFonts w:ascii="Times New Roman" w:hAnsi="Times New Roman" w:cs="Times New Roman"/>
                <w:sz w:val="24"/>
                <w:szCs w:val="24"/>
              </w:rPr>
              <w:t>таження</w:t>
            </w:r>
            <w:proofErr w:type="spellEnd"/>
            <w:r w:rsidRPr="0037731E">
              <w:rPr>
                <w:rFonts w:ascii="Times New Roman" w:hAnsi="Times New Roman" w:cs="Times New Roman"/>
                <w:sz w:val="24"/>
                <w:szCs w:val="24"/>
              </w:rPr>
              <w:t xml:space="preserve"> викладачів та підвищення концентр</w:t>
            </w:r>
            <w:r w:rsidR="0065088D">
              <w:rPr>
                <w:rFonts w:ascii="Times New Roman" w:hAnsi="Times New Roman" w:cs="Times New Roman"/>
                <w:sz w:val="24"/>
                <w:szCs w:val="24"/>
              </w:rPr>
              <w:t>-</w:t>
            </w:r>
            <w:proofErr w:type="spellStart"/>
            <w:r w:rsidRPr="0037731E">
              <w:rPr>
                <w:rFonts w:ascii="Times New Roman" w:hAnsi="Times New Roman" w:cs="Times New Roman"/>
                <w:sz w:val="24"/>
                <w:szCs w:val="24"/>
              </w:rPr>
              <w:t>ації</w:t>
            </w:r>
            <w:proofErr w:type="spellEnd"/>
            <w:r w:rsidRPr="0037731E">
              <w:rPr>
                <w:rFonts w:ascii="Times New Roman" w:hAnsi="Times New Roman" w:cs="Times New Roman"/>
                <w:sz w:val="24"/>
                <w:szCs w:val="24"/>
              </w:rPr>
              <w:t xml:space="preserve"> фінансових ресурсів на якісній підготовці фахівців. </w:t>
            </w:r>
            <w:r w:rsidR="0065088D">
              <w:rPr>
                <w:rFonts w:ascii="Times New Roman" w:hAnsi="Times New Roman"/>
                <w:sz w:val="24"/>
                <w:szCs w:val="24"/>
              </w:rPr>
              <w:t>П</w:t>
            </w:r>
            <w:r w:rsidRPr="0037731E">
              <w:rPr>
                <w:rFonts w:ascii="Times New Roman" w:hAnsi="Times New Roman"/>
                <w:sz w:val="24"/>
                <w:szCs w:val="24"/>
              </w:rPr>
              <w:t>ідвищенн</w:t>
            </w:r>
            <w:r w:rsidR="0065088D">
              <w:rPr>
                <w:rFonts w:ascii="Times New Roman" w:hAnsi="Times New Roman"/>
                <w:sz w:val="24"/>
                <w:szCs w:val="24"/>
              </w:rPr>
              <w:t>я</w:t>
            </w:r>
            <w:r w:rsidRPr="0037731E">
              <w:rPr>
                <w:rFonts w:ascii="Times New Roman" w:hAnsi="Times New Roman"/>
                <w:sz w:val="24"/>
                <w:szCs w:val="24"/>
              </w:rPr>
              <w:t xml:space="preserve"> якості вищої освіти шляхом виведення з ринку значної частини суб’єктів освітньої діяльності з суперечливою </w:t>
            </w:r>
            <w:proofErr w:type="spellStart"/>
            <w:r w:rsidRPr="0037731E">
              <w:rPr>
                <w:rFonts w:ascii="Times New Roman" w:hAnsi="Times New Roman"/>
                <w:sz w:val="24"/>
                <w:szCs w:val="24"/>
              </w:rPr>
              <w:t>репута</w:t>
            </w:r>
            <w:proofErr w:type="spellEnd"/>
            <w:r w:rsidR="0065088D">
              <w:rPr>
                <w:rFonts w:ascii="Times New Roman" w:hAnsi="Times New Roman"/>
                <w:sz w:val="24"/>
                <w:szCs w:val="24"/>
              </w:rPr>
              <w:t>-</w:t>
            </w:r>
            <w:r w:rsidRPr="0037731E">
              <w:rPr>
                <w:rFonts w:ascii="Times New Roman" w:hAnsi="Times New Roman"/>
                <w:sz w:val="24"/>
                <w:szCs w:val="24"/>
              </w:rPr>
              <w:t xml:space="preserve">цією, а також </w:t>
            </w:r>
            <w:proofErr w:type="spellStart"/>
            <w:r w:rsidRPr="0037731E">
              <w:rPr>
                <w:rFonts w:ascii="Times New Roman" w:hAnsi="Times New Roman"/>
                <w:sz w:val="24"/>
                <w:szCs w:val="24"/>
              </w:rPr>
              <w:t>зосеред</w:t>
            </w:r>
            <w:r w:rsidR="0065088D">
              <w:rPr>
                <w:rFonts w:ascii="Times New Roman" w:hAnsi="Times New Roman"/>
                <w:sz w:val="24"/>
                <w:szCs w:val="24"/>
              </w:rPr>
              <w:t>-</w:t>
            </w:r>
            <w:r w:rsidRPr="0037731E">
              <w:rPr>
                <w:rFonts w:ascii="Times New Roman" w:hAnsi="Times New Roman"/>
                <w:sz w:val="24"/>
                <w:szCs w:val="24"/>
              </w:rPr>
              <w:t>женню</w:t>
            </w:r>
            <w:proofErr w:type="spellEnd"/>
            <w:r w:rsidRPr="0037731E">
              <w:rPr>
                <w:rFonts w:ascii="Times New Roman" w:hAnsi="Times New Roman"/>
                <w:sz w:val="24"/>
                <w:szCs w:val="24"/>
              </w:rPr>
              <w:t xml:space="preserve"> закладів вищої освіти на підготовці фахівців з вищою освітою. </w:t>
            </w:r>
            <w:r w:rsidRPr="0037731E">
              <w:rPr>
                <w:rFonts w:ascii="Times New Roman" w:hAnsi="Times New Roman" w:cs="Times New Roman"/>
                <w:sz w:val="24"/>
                <w:szCs w:val="24"/>
              </w:rPr>
              <w:t xml:space="preserve">Зростання рівня довіри до системи вищої освіти з боку всіх </w:t>
            </w:r>
            <w:proofErr w:type="spellStart"/>
            <w:r w:rsidRPr="0037731E">
              <w:rPr>
                <w:rFonts w:ascii="Times New Roman" w:hAnsi="Times New Roman" w:cs="Times New Roman"/>
                <w:sz w:val="24"/>
                <w:szCs w:val="24"/>
              </w:rPr>
              <w:t>стейкхолдерів</w:t>
            </w:r>
            <w:proofErr w:type="spellEnd"/>
            <w:r w:rsidRPr="0037731E">
              <w:rPr>
                <w:rFonts w:ascii="Times New Roman" w:hAnsi="Times New Roman" w:cs="Times New Roman"/>
                <w:sz w:val="24"/>
                <w:szCs w:val="24"/>
              </w:rPr>
              <w:t>.</w:t>
            </w:r>
          </w:p>
          <w:p w:rsidR="005F1C27" w:rsidRPr="000C6EBE" w:rsidRDefault="00304030"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AB4F90" w:rsidRPr="00AB4F90" w:rsidRDefault="00AB4F90" w:rsidP="00AB4F90">
            <w:pPr>
              <w:spacing w:after="0" w:line="240" w:lineRule="auto"/>
              <w:jc w:val="both"/>
              <w:rPr>
                <w:rFonts w:ascii="Times New Roman" w:hAnsi="Times New Roman" w:cs="Times New Roman"/>
                <w:sz w:val="24"/>
                <w:szCs w:val="24"/>
              </w:rPr>
            </w:pPr>
            <w:r w:rsidRPr="00AB4F90">
              <w:rPr>
                <w:rFonts w:ascii="Times New Roman" w:hAnsi="Times New Roman" w:cs="Times New Roman"/>
                <w:sz w:val="24"/>
                <w:szCs w:val="24"/>
              </w:rPr>
              <w:t xml:space="preserve">Модернізація мережі закладів освіти спричинить вплив на громадян, оскільки дозволить обирати тип </w:t>
            </w:r>
            <w:r w:rsidRPr="00AB4F90">
              <w:rPr>
                <w:rFonts w:ascii="Times New Roman" w:hAnsi="Times New Roman" w:cs="Times New Roman"/>
                <w:sz w:val="24"/>
                <w:szCs w:val="24"/>
              </w:rPr>
              <w:lastRenderedPageBreak/>
              <w:t xml:space="preserve">закладу вищої освіти залежно від своїх цілей, амбіцій та </w:t>
            </w:r>
            <w:proofErr w:type="spellStart"/>
            <w:r w:rsidRPr="00AB4F90">
              <w:rPr>
                <w:rFonts w:ascii="Times New Roman" w:hAnsi="Times New Roman" w:cs="Times New Roman"/>
                <w:sz w:val="24"/>
                <w:szCs w:val="24"/>
              </w:rPr>
              <w:t>зацікавле</w:t>
            </w:r>
            <w:r>
              <w:rPr>
                <w:rFonts w:ascii="Times New Roman" w:hAnsi="Times New Roman" w:cs="Times New Roman"/>
                <w:sz w:val="24"/>
                <w:szCs w:val="24"/>
              </w:rPr>
              <w:t>-</w:t>
            </w:r>
            <w:r w:rsidRPr="00AB4F90">
              <w:rPr>
                <w:rFonts w:ascii="Times New Roman" w:hAnsi="Times New Roman" w:cs="Times New Roman"/>
                <w:sz w:val="24"/>
                <w:szCs w:val="24"/>
              </w:rPr>
              <w:t>ності</w:t>
            </w:r>
            <w:proofErr w:type="spellEnd"/>
            <w:r w:rsidRPr="00AB4F90">
              <w:rPr>
                <w:rFonts w:ascii="Times New Roman" w:hAnsi="Times New Roman" w:cs="Times New Roman"/>
                <w:sz w:val="24"/>
                <w:szCs w:val="24"/>
              </w:rPr>
              <w:t xml:space="preserve"> професією.</w:t>
            </w:r>
          </w:p>
          <w:p w:rsidR="00AB4F90" w:rsidRPr="00AB4F90" w:rsidRDefault="00AB4F90" w:rsidP="00AB4F90">
            <w:pPr>
              <w:spacing w:after="0" w:line="240" w:lineRule="auto"/>
              <w:jc w:val="both"/>
              <w:rPr>
                <w:rFonts w:ascii="Times New Roman" w:hAnsi="Times New Roman"/>
                <w:sz w:val="24"/>
                <w:szCs w:val="24"/>
              </w:rPr>
            </w:pPr>
            <w:r w:rsidRPr="00AB4F90">
              <w:rPr>
                <w:rFonts w:ascii="Times New Roman" w:hAnsi="Times New Roman" w:cs="Times New Roman"/>
                <w:sz w:val="24"/>
                <w:szCs w:val="24"/>
              </w:rPr>
              <w:t xml:space="preserve">Укрупнення закладів вищої освіти та закладів фахової </w:t>
            </w:r>
            <w:proofErr w:type="spellStart"/>
            <w:r w:rsidRPr="00AB4F90">
              <w:rPr>
                <w:rFonts w:ascii="Times New Roman" w:hAnsi="Times New Roman" w:cs="Times New Roman"/>
                <w:sz w:val="24"/>
                <w:szCs w:val="24"/>
              </w:rPr>
              <w:t>передвищої</w:t>
            </w:r>
            <w:proofErr w:type="spellEnd"/>
            <w:r w:rsidRPr="00AB4F90">
              <w:rPr>
                <w:rFonts w:ascii="Times New Roman" w:hAnsi="Times New Roman" w:cs="Times New Roman"/>
                <w:sz w:val="24"/>
                <w:szCs w:val="24"/>
              </w:rPr>
              <w:t xml:space="preserve"> освіти розширить можливості для формування </w:t>
            </w:r>
            <w:r w:rsidRPr="00AB4F90">
              <w:rPr>
                <w:rFonts w:ascii="Times New Roman" w:hAnsi="Times New Roman"/>
                <w:sz w:val="24"/>
                <w:szCs w:val="24"/>
              </w:rPr>
              <w:t>індивіду</w:t>
            </w:r>
            <w:r>
              <w:rPr>
                <w:rFonts w:ascii="Times New Roman" w:hAnsi="Times New Roman"/>
                <w:sz w:val="24"/>
                <w:szCs w:val="24"/>
              </w:rPr>
              <w:t>-</w:t>
            </w:r>
            <w:proofErr w:type="spellStart"/>
            <w:r w:rsidRPr="00AB4F90">
              <w:rPr>
                <w:rFonts w:ascii="Times New Roman" w:hAnsi="Times New Roman"/>
                <w:sz w:val="24"/>
                <w:szCs w:val="24"/>
              </w:rPr>
              <w:t>альної</w:t>
            </w:r>
            <w:proofErr w:type="spellEnd"/>
            <w:r w:rsidRPr="00AB4F90">
              <w:rPr>
                <w:rFonts w:ascii="Times New Roman" w:hAnsi="Times New Roman"/>
                <w:sz w:val="24"/>
                <w:szCs w:val="24"/>
              </w:rPr>
              <w:t xml:space="preserve"> траєкторії навчання здобувачам освіти.</w:t>
            </w:r>
            <w:r w:rsidRPr="00AB4F90">
              <w:rPr>
                <w:rFonts w:ascii="Times New Roman" w:hAnsi="Times New Roman" w:cs="Times New Roman"/>
                <w:sz w:val="24"/>
                <w:szCs w:val="24"/>
              </w:rPr>
              <w:t xml:space="preserve"> Підвищиться частка випускників, які задоволені якістю та здобутими </w:t>
            </w:r>
            <w:proofErr w:type="spellStart"/>
            <w:r w:rsidRPr="00AB4F90">
              <w:rPr>
                <w:rFonts w:ascii="Times New Roman" w:hAnsi="Times New Roman" w:cs="Times New Roman"/>
                <w:sz w:val="24"/>
                <w:szCs w:val="24"/>
              </w:rPr>
              <w:t>компетент</w:t>
            </w:r>
            <w:r>
              <w:rPr>
                <w:rFonts w:ascii="Times New Roman" w:hAnsi="Times New Roman" w:cs="Times New Roman"/>
                <w:sz w:val="24"/>
                <w:szCs w:val="24"/>
              </w:rPr>
              <w:t>-</w:t>
            </w:r>
            <w:r w:rsidRPr="00AB4F90">
              <w:rPr>
                <w:rFonts w:ascii="Times New Roman" w:hAnsi="Times New Roman" w:cs="Times New Roman"/>
                <w:sz w:val="24"/>
                <w:szCs w:val="24"/>
              </w:rPr>
              <w:t>ностями</w:t>
            </w:r>
            <w:proofErr w:type="spellEnd"/>
            <w:r w:rsidRPr="00AB4F90">
              <w:rPr>
                <w:rFonts w:ascii="Times New Roman" w:hAnsi="Times New Roman" w:cs="Times New Roman"/>
                <w:sz w:val="24"/>
                <w:szCs w:val="24"/>
              </w:rPr>
              <w:t>, збільшиться частка</w:t>
            </w:r>
            <w:r>
              <w:rPr>
                <w:rFonts w:ascii="Times New Roman" w:hAnsi="Times New Roman" w:cs="Times New Roman"/>
                <w:sz w:val="24"/>
                <w:szCs w:val="24"/>
              </w:rPr>
              <w:t xml:space="preserve"> випускників, які </w:t>
            </w:r>
            <w:r w:rsidRPr="00AB4F90">
              <w:rPr>
                <w:rFonts w:ascii="Times New Roman" w:hAnsi="Times New Roman" w:cs="Times New Roman"/>
                <w:sz w:val="24"/>
                <w:szCs w:val="24"/>
              </w:rPr>
              <w:t xml:space="preserve"> більш </w:t>
            </w:r>
            <w:proofErr w:type="spellStart"/>
            <w:r w:rsidRPr="00AB4F90">
              <w:rPr>
                <w:rFonts w:ascii="Times New Roman" w:hAnsi="Times New Roman" w:cs="Times New Roman"/>
                <w:sz w:val="24"/>
                <w:szCs w:val="24"/>
              </w:rPr>
              <w:t>конкурентоспро</w:t>
            </w:r>
            <w:r>
              <w:rPr>
                <w:rFonts w:ascii="Times New Roman" w:hAnsi="Times New Roman" w:cs="Times New Roman"/>
                <w:sz w:val="24"/>
                <w:szCs w:val="24"/>
              </w:rPr>
              <w:t>-</w:t>
            </w:r>
            <w:r w:rsidRPr="00AB4F90">
              <w:rPr>
                <w:rFonts w:ascii="Times New Roman" w:hAnsi="Times New Roman" w:cs="Times New Roman"/>
                <w:sz w:val="24"/>
                <w:szCs w:val="24"/>
              </w:rPr>
              <w:t>можні</w:t>
            </w:r>
            <w:proofErr w:type="spellEnd"/>
            <w:r w:rsidRPr="00AB4F90">
              <w:rPr>
                <w:rFonts w:ascii="Times New Roman" w:hAnsi="Times New Roman" w:cs="Times New Roman"/>
                <w:sz w:val="24"/>
                <w:szCs w:val="24"/>
              </w:rPr>
              <w:t xml:space="preserve"> на ринку праці завдяки покращеному та модернізованому освіт</w:t>
            </w:r>
            <w:r>
              <w:rPr>
                <w:rFonts w:ascii="Times New Roman" w:hAnsi="Times New Roman" w:cs="Times New Roman"/>
                <w:sz w:val="24"/>
                <w:szCs w:val="24"/>
              </w:rPr>
              <w:t>-</w:t>
            </w:r>
            <w:r w:rsidRPr="00AB4F90">
              <w:rPr>
                <w:rFonts w:ascii="Times New Roman" w:hAnsi="Times New Roman" w:cs="Times New Roman"/>
                <w:sz w:val="24"/>
                <w:szCs w:val="24"/>
              </w:rPr>
              <w:t xml:space="preserve">ньому середовищу. Здобувачі ступеня доктора філософії матимуть доступ до більш якісних освітніх компонентів, в тому числі за вибірковою складовою </w:t>
            </w:r>
            <w:proofErr w:type="spellStart"/>
            <w:r w:rsidRPr="00AB4F90">
              <w:rPr>
                <w:rFonts w:ascii="Times New Roman" w:hAnsi="Times New Roman" w:cs="Times New Roman"/>
                <w:sz w:val="24"/>
                <w:szCs w:val="24"/>
              </w:rPr>
              <w:t>освітньо</w:t>
            </w:r>
            <w:proofErr w:type="spellEnd"/>
            <w:r w:rsidRPr="00AB4F90">
              <w:rPr>
                <w:rFonts w:ascii="Times New Roman" w:hAnsi="Times New Roman" w:cs="Times New Roman"/>
                <w:sz w:val="24"/>
                <w:szCs w:val="24"/>
              </w:rPr>
              <w:t>-наукової програми.</w:t>
            </w:r>
          </w:p>
          <w:p w:rsidR="005F1C27" w:rsidRPr="000C6EBE" w:rsidRDefault="003E30E1" w:rsidP="000C6EBE">
            <w:pPr>
              <w:pStyle w:val="TableContents"/>
              <w:spacing w:before="16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3E30E1" w:rsidP="00287583">
            <w:pPr>
              <w:pStyle w:val="TableContents"/>
              <w:spacing w:after="120" w:line="240" w:lineRule="auto"/>
              <w:jc w:val="both"/>
              <w:rPr>
                <w:rFonts w:ascii="Times New Roman" w:eastAsia="Times New Roman" w:hAnsi="Times New Roman"/>
                <w:b/>
                <w:color w:val="auto"/>
                <w:sz w:val="23"/>
                <w:szCs w:val="23"/>
                <w:lang w:val="uk-UA"/>
              </w:rPr>
            </w:pPr>
            <w:r w:rsidRPr="003E30E1">
              <w:rPr>
                <w:rFonts w:ascii="Times New Roman" w:hAnsi="Times New Roman" w:cs="Times New Roman"/>
                <w:sz w:val="24"/>
                <w:szCs w:val="24"/>
                <w:lang w:val="uk-UA"/>
              </w:rPr>
              <w:t>Укрупнення закладів освіти задля об’єднання ресурсів і посилення освітньої пропозиції. Збільшення інвестицій та фокусу фінансування об’єднаних закладів.</w:t>
            </w:r>
            <w:r>
              <w:rPr>
                <w:rFonts w:ascii="Times New Roman" w:hAnsi="Times New Roman" w:cs="Times New Roman"/>
                <w:sz w:val="24"/>
                <w:szCs w:val="24"/>
                <w:lang w:val="uk-UA"/>
              </w:rPr>
              <w:t xml:space="preserve"> </w:t>
            </w:r>
            <w:r w:rsidR="005F1C27" w:rsidRPr="000C6EBE">
              <w:rPr>
                <w:rFonts w:ascii="Times New Roman" w:eastAsia="Times New Roman" w:hAnsi="Times New Roman"/>
                <w:color w:val="auto"/>
                <w:sz w:val="23"/>
                <w:szCs w:val="23"/>
                <w:lang w:val="uk-UA"/>
              </w:rPr>
              <w:t>Економія коштів внаслідок реорганізації деяких ТВСП та коледжів у ЗФПО із відповідною меншою за вартістю процедурою акредитації</w:t>
            </w:r>
            <w:r w:rsidR="000C6EBE">
              <w:rPr>
                <w:rFonts w:ascii="Times New Roman" w:eastAsia="Times New Roman" w:hAnsi="Times New Roman"/>
                <w:color w:val="auto"/>
                <w:sz w:val="23"/>
                <w:szCs w:val="23"/>
                <w:lang w:val="uk-UA"/>
              </w:rPr>
              <w:t xml:space="preserve">; </w:t>
            </w:r>
            <w:r w:rsidR="000C6EBE" w:rsidRPr="00796D25">
              <w:rPr>
                <w:rFonts w:ascii="Times New Roman" w:eastAsia="Times New Roman" w:hAnsi="Times New Roman" w:cs="Times New Roman"/>
                <w:sz w:val="24"/>
                <w:szCs w:val="24"/>
                <w:shd w:val="clear" w:color="auto" w:fill="FFFFFF"/>
                <w:lang w:val="uk-UA" w:eastAsia="uk-UA"/>
              </w:rPr>
              <w:t>покращення репутації закладу та довіри споживачів</w:t>
            </w:r>
            <w:r w:rsidR="000C6EBE">
              <w:rPr>
                <w:rFonts w:ascii="Times New Roman" w:eastAsia="Times New Roman" w:hAnsi="Times New Roman" w:cs="Times New Roman"/>
                <w:sz w:val="24"/>
                <w:szCs w:val="24"/>
                <w:shd w:val="clear" w:color="auto" w:fill="FFFFFF"/>
                <w:lang w:val="uk-UA" w:eastAsia="uk-UA"/>
              </w:rPr>
              <w:t>.</w:t>
            </w:r>
            <w:r w:rsidR="005F1C27" w:rsidRPr="000C6EBE">
              <w:rPr>
                <w:rFonts w:ascii="Times New Roman" w:eastAsia="Times New Roman" w:hAnsi="Times New Roman"/>
                <w:color w:val="auto"/>
                <w:sz w:val="23"/>
                <w:szCs w:val="23"/>
                <w:lang w:val="uk-UA"/>
              </w:rPr>
              <w:t xml:space="preserve"> </w:t>
            </w:r>
          </w:p>
        </w:tc>
        <w:tc>
          <w:tcPr>
            <w:tcW w:w="2583"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lastRenderedPageBreak/>
              <w:t>Д</w:t>
            </w:r>
            <w:r w:rsidR="00C264E5">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C264E5">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5F1C27" w:rsidRPr="000C6EBE" w:rsidRDefault="005F1C27" w:rsidP="005F1C27">
            <w:pPr>
              <w:pStyle w:val="TableContents"/>
              <w:spacing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Фінансові витрати, пов’язані із переоформленням ліцензій, інформування</w:t>
            </w:r>
            <w:r w:rsidR="00FF266A">
              <w:rPr>
                <w:rFonts w:ascii="Times New Roman" w:eastAsia="Times New Roman" w:hAnsi="Times New Roman"/>
                <w:color w:val="auto"/>
                <w:sz w:val="23"/>
                <w:szCs w:val="23"/>
                <w:lang w:val="uk-UA"/>
              </w:rPr>
              <w:t>м</w:t>
            </w:r>
            <w:r w:rsidRPr="000C6EBE">
              <w:rPr>
                <w:rFonts w:ascii="Times New Roman" w:eastAsia="Times New Roman" w:hAnsi="Times New Roman"/>
                <w:color w:val="auto"/>
                <w:sz w:val="23"/>
                <w:szCs w:val="23"/>
                <w:lang w:val="uk-UA"/>
              </w:rPr>
              <w:t xml:space="preserve"> закладів</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w:t>
            </w:r>
            <w:r>
              <w:rPr>
                <w:rFonts w:ascii="Times New Roman" w:eastAsia="Times New Roman" w:hAnsi="Times New Roman"/>
                <w:b/>
                <w:color w:val="auto"/>
                <w:sz w:val="23"/>
                <w:szCs w:val="23"/>
                <w:lang w:val="uk-UA"/>
              </w:rPr>
              <w:t>мадян</w:t>
            </w:r>
            <w:r w:rsidR="005F1C27" w:rsidRPr="000C6EBE">
              <w:rPr>
                <w:rFonts w:ascii="Times New Roman" w:eastAsia="Times New Roman" w:hAnsi="Times New Roman"/>
                <w:b/>
                <w:color w:val="auto"/>
                <w:sz w:val="23"/>
                <w:szCs w:val="23"/>
                <w:lang w:val="uk-UA"/>
              </w:rPr>
              <w:t>:</w:t>
            </w:r>
          </w:p>
          <w:p w:rsidR="005F1C27" w:rsidRPr="000C6EBE" w:rsidRDefault="005F1C27" w:rsidP="005F1C27">
            <w:pPr>
              <w:pStyle w:val="TableContents"/>
              <w:spacing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Додаткові витрати відсутні.</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 xml:space="preserve">ів </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extbody"/>
              <w:spacing w:after="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пов’язані із необхідністю звертатися для переоформлення ліцензій.</w:t>
            </w:r>
          </w:p>
          <w:p w:rsidR="005F1C27" w:rsidRPr="000C6EBE" w:rsidRDefault="005F1C27" w:rsidP="0040196B">
            <w:pPr>
              <w:pStyle w:val="Textbody"/>
              <w:spacing w:after="0" w:line="240" w:lineRule="auto"/>
              <w:ind w:left="57"/>
              <w:rPr>
                <w:rFonts w:ascii="Times New Roman" w:hAnsi="Times New Roman" w:cs="Times New Roman"/>
                <w:sz w:val="23"/>
                <w:szCs w:val="23"/>
                <w:lang w:val="uk-UA"/>
              </w:rPr>
            </w:pPr>
          </w:p>
        </w:tc>
        <w:tc>
          <w:tcPr>
            <w:tcW w:w="2583"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5F1C27" w:rsidRPr="000C6EBE" w:rsidRDefault="000C6EBE" w:rsidP="005F1C27">
            <w:pPr>
              <w:pStyle w:val="TableContents"/>
              <w:spacing w:line="240" w:lineRule="auto"/>
              <w:jc w:val="both"/>
              <w:rPr>
                <w:rFonts w:ascii="Times New Roman" w:eastAsia="Times New Roman" w:hAnsi="Times New Roman"/>
                <w:color w:val="auto"/>
                <w:sz w:val="23"/>
                <w:szCs w:val="23"/>
                <w:lang w:val="uk-UA"/>
              </w:rPr>
            </w:pPr>
            <w:r w:rsidRPr="000C6EBE">
              <w:rPr>
                <w:rFonts w:ascii="Times New Roman" w:hAnsi="Times New Roman" w:cs="Times New Roman"/>
                <w:sz w:val="23"/>
                <w:szCs w:val="23"/>
                <w:lang w:val="uk-UA"/>
              </w:rPr>
              <w:t xml:space="preserve">Оцінка </w:t>
            </w:r>
            <w:proofErr w:type="spellStart"/>
            <w:r w:rsidRPr="000C6EBE">
              <w:rPr>
                <w:rFonts w:ascii="Times New Roman" w:hAnsi="Times New Roman" w:cs="Times New Roman"/>
                <w:sz w:val="23"/>
                <w:szCs w:val="23"/>
                <w:lang w:val="uk-UA"/>
              </w:rPr>
              <w:t>вигод</w:t>
            </w:r>
            <w:proofErr w:type="spellEnd"/>
            <w:r w:rsidRPr="000C6EBE">
              <w:rPr>
                <w:rFonts w:ascii="Times New Roman" w:hAnsi="Times New Roman" w:cs="Times New Roman"/>
                <w:sz w:val="23"/>
                <w:szCs w:val="23"/>
                <w:lang w:val="uk-UA"/>
              </w:rPr>
              <w:t xml:space="preserve"> і витрат реалізації альтернативи 2 відповідає критеріям оцінки ступеня досягнення визначених цілей</w:t>
            </w:r>
            <w:r w:rsidR="005F1C27" w:rsidRPr="000C6EBE">
              <w:rPr>
                <w:rFonts w:ascii="Times New Roman" w:eastAsia="Times New Roman" w:hAnsi="Times New Roman" w:cs="Times New Roman"/>
                <w:color w:val="auto"/>
                <w:sz w:val="23"/>
                <w:szCs w:val="23"/>
                <w:lang w:val="uk-UA"/>
              </w:rPr>
              <w:t>,</w:t>
            </w:r>
            <w:r w:rsidR="005F1C27" w:rsidRPr="000C6EBE">
              <w:rPr>
                <w:rFonts w:ascii="Times New Roman" w:eastAsia="Times New Roman" w:hAnsi="Times New Roman"/>
                <w:color w:val="auto"/>
                <w:sz w:val="23"/>
                <w:szCs w:val="23"/>
                <w:lang w:val="uk-UA"/>
              </w:rPr>
              <w:t xml:space="preserve"> модернізована система вищої освіти, підвищений рівень довіри до вищої освіти з боку держави, громадян, бізнесу</w:t>
            </w:r>
          </w:p>
          <w:p w:rsidR="005F1C27" w:rsidRPr="000C6EBE" w:rsidRDefault="005F1C27" w:rsidP="005F1C27">
            <w:pPr>
              <w:pStyle w:val="TableContents"/>
              <w:spacing w:line="240" w:lineRule="auto"/>
              <w:jc w:val="both"/>
              <w:rPr>
                <w:rFonts w:ascii="Times New Roman" w:eastAsia="Times New Roman" w:hAnsi="Times New Roman"/>
                <w:color w:val="auto"/>
                <w:sz w:val="23"/>
                <w:szCs w:val="23"/>
                <w:lang w:val="uk-UA"/>
              </w:rPr>
            </w:pPr>
          </w:p>
        </w:tc>
      </w:tr>
      <w:tr w:rsidR="00B33E25" w:rsidRPr="00796D25" w:rsidTr="00E47BBE">
        <w:trPr>
          <w:gridAfter w:val="2"/>
          <w:wAfter w:w="26" w:type="dxa"/>
        </w:trPr>
        <w:tc>
          <w:tcPr>
            <w:tcW w:w="187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bookmarkStart w:id="0" w:name="_GoBack"/>
            <w:bookmarkEnd w:id="0"/>
            <w:r w:rsidRPr="00796D25">
              <w:rPr>
                <w:rFonts w:ascii="Times New Roman" w:eastAsia="Times New Roman" w:hAnsi="Times New Roman"/>
                <w:b/>
                <w:color w:val="auto"/>
                <w:sz w:val="24"/>
                <w:lang w:val="uk-UA"/>
              </w:rPr>
              <w:lastRenderedPageBreak/>
              <w:t>Рейтинг</w:t>
            </w:r>
          </w:p>
        </w:tc>
        <w:tc>
          <w:tcPr>
            <w:tcW w:w="3905" w:type="dxa"/>
            <w:gridSpan w:val="5"/>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Аргументи щодо переваги обраної альтернативи/причини відмови від альтернативи</w:t>
            </w:r>
          </w:p>
        </w:tc>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Оцінка ризику зовнішніх чинників на дію запропонованого регуляторного акта</w:t>
            </w:r>
          </w:p>
        </w:tc>
      </w:tr>
      <w:tr w:rsidR="003D17E4" w:rsidRPr="00796D25" w:rsidTr="00E47BBE">
        <w:trPr>
          <w:gridAfter w:val="2"/>
          <w:wAfter w:w="26" w:type="dxa"/>
        </w:trPr>
        <w:tc>
          <w:tcPr>
            <w:tcW w:w="1871"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Pr>
                <w:rFonts w:ascii="Times New Roman" w:eastAsia="Times New Roman" w:hAnsi="Times New Roman"/>
                <w:color w:val="auto"/>
                <w:sz w:val="24"/>
                <w:lang w:val="uk-UA"/>
              </w:rPr>
              <w:t>Аргументи для переваги відсутні. Поточний стан справ консервує описані проблеми.</w:t>
            </w:r>
          </w:p>
        </w:tc>
        <w:tc>
          <w:tcPr>
            <w:tcW w:w="3906"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3D17E4">
              <w:rPr>
                <w:rFonts w:ascii="Times New Roman" w:hAnsi="Times New Roman" w:cs="Times New Roman"/>
                <w:sz w:val="24"/>
                <w:szCs w:val="24"/>
                <w:lang w:val="uk-UA"/>
              </w:rPr>
              <w:t xml:space="preserve">Рекомендації Європейської Комісії та загалом процес євроінтеграції є зовнішнім чинником, що спричиняє потребу у зміні поточного стану справ. </w:t>
            </w:r>
          </w:p>
        </w:tc>
      </w:tr>
      <w:tr w:rsidR="003D17E4" w:rsidRPr="00796D25" w:rsidTr="00E47BBE">
        <w:trPr>
          <w:gridAfter w:val="2"/>
          <w:wAfter w:w="26" w:type="dxa"/>
        </w:trPr>
        <w:tc>
          <w:tcPr>
            <w:tcW w:w="1871"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3D17E4" w:rsidRDefault="003D17E4" w:rsidP="003D17E4">
            <w:pPr>
              <w:pStyle w:val="TableContents"/>
              <w:spacing w:line="240" w:lineRule="auto"/>
              <w:jc w:val="both"/>
              <w:rPr>
                <w:rFonts w:ascii="Times New Roman" w:hAnsi="Times New Roman" w:cs="Times New Roman"/>
                <w:sz w:val="24"/>
                <w:szCs w:val="24"/>
                <w:lang w:val="uk-UA"/>
              </w:rPr>
            </w:pPr>
            <w:r>
              <w:rPr>
                <w:rFonts w:ascii="Times New Roman" w:hAnsi="Times New Roman"/>
                <w:color w:val="auto"/>
                <w:sz w:val="24"/>
                <w:szCs w:val="24"/>
                <w:lang w:val="uk-UA"/>
              </w:rPr>
              <w:t xml:space="preserve">Причини для відмови відсутні. </w:t>
            </w:r>
            <w:r w:rsidRPr="003D17E4">
              <w:rPr>
                <w:rFonts w:ascii="Times New Roman" w:hAnsi="Times New Roman" w:cs="Times New Roman"/>
                <w:sz w:val="24"/>
                <w:szCs w:val="24"/>
                <w:lang w:val="uk-UA"/>
              </w:rPr>
              <w:t>Обрана альтернатива є найбільш раціональним варіантом врахування інтересів всіх основних груп, на яких проблема справляє вплив.</w:t>
            </w:r>
          </w:p>
          <w:p w:rsidR="003D17E4" w:rsidRPr="00796D25" w:rsidRDefault="003D17E4" w:rsidP="003D17E4">
            <w:pPr>
              <w:pStyle w:val="TableContents"/>
              <w:spacing w:line="240" w:lineRule="auto"/>
              <w:rPr>
                <w:rFonts w:ascii="Times New Roman" w:eastAsia="Times New Roman" w:hAnsi="Times New Roman"/>
                <w:color w:val="auto"/>
                <w:sz w:val="24"/>
                <w:lang w:val="uk-UA"/>
              </w:rPr>
            </w:pPr>
          </w:p>
        </w:tc>
        <w:tc>
          <w:tcPr>
            <w:tcW w:w="3906"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3D17E4" w:rsidRPr="003D17E4" w:rsidRDefault="003D17E4" w:rsidP="003D17E4">
            <w:pPr>
              <w:pStyle w:val="TableContents"/>
              <w:spacing w:line="240" w:lineRule="auto"/>
              <w:rPr>
                <w:rFonts w:ascii="Times New Roman" w:eastAsia="Times New Roman" w:hAnsi="Times New Roman"/>
                <w:color w:val="auto"/>
                <w:sz w:val="23"/>
                <w:szCs w:val="23"/>
                <w:lang w:val="uk-UA"/>
              </w:rPr>
            </w:pPr>
            <w:r w:rsidRPr="003D17E4">
              <w:rPr>
                <w:rFonts w:ascii="Times New Roman" w:eastAsia="Times New Roman" w:hAnsi="Times New Roman"/>
                <w:color w:val="auto"/>
                <w:sz w:val="23"/>
                <w:szCs w:val="23"/>
                <w:lang w:val="uk-UA"/>
              </w:rPr>
              <w:t>Представники зацікавлених сторін, експерти процесу беруть активну участь у розробці проєкту, тому у найближчому часі не передбачається поява необхідності внесення суттєвих змін.</w:t>
            </w:r>
          </w:p>
        </w:tc>
      </w:tr>
    </w:tbl>
    <w:p w:rsidR="003D17E4" w:rsidRDefault="003D17E4" w:rsidP="00807C50">
      <w:pPr>
        <w:spacing w:before="160"/>
        <w:ind w:firstLine="709"/>
        <w:jc w:val="both"/>
        <w:rPr>
          <w:rFonts w:ascii="Times New Roman" w:hAnsi="Times New Roman" w:cs="Times New Roman"/>
          <w:sz w:val="28"/>
          <w:szCs w:val="28"/>
        </w:rPr>
      </w:pPr>
      <w:r w:rsidRPr="003D17E4">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rsidR="009C0407" w:rsidRDefault="009C0407" w:rsidP="003D17E4">
      <w:pPr>
        <w:spacing w:after="0"/>
        <w:ind w:hanging="142"/>
        <w:jc w:val="center"/>
        <w:rPr>
          <w:rFonts w:ascii="Times New Roman" w:hAnsi="Times New Roman" w:cs="Times New Roman"/>
          <w:b/>
          <w:sz w:val="28"/>
          <w:szCs w:val="28"/>
        </w:rPr>
      </w:pPr>
      <w:r>
        <w:rPr>
          <w:rFonts w:ascii="Times New Roman" w:hAnsi="Times New Roman" w:cs="Times New Roman"/>
          <w:b/>
          <w:sz w:val="28"/>
          <w:szCs w:val="28"/>
          <w:lang w:val="en-US"/>
        </w:rPr>
        <w:t>V</w:t>
      </w:r>
      <w:r w:rsidRPr="00E35251">
        <w:rPr>
          <w:rFonts w:ascii="Times New Roman" w:hAnsi="Times New Roman" w:cs="Times New Roman"/>
          <w:b/>
          <w:sz w:val="28"/>
          <w:szCs w:val="28"/>
          <w:lang w:val="ru-RU"/>
        </w:rPr>
        <w:t>.</w:t>
      </w:r>
      <w:r>
        <w:rPr>
          <w:rFonts w:ascii="Times New Roman" w:hAnsi="Times New Roman" w:cs="Times New Roman"/>
          <w:b/>
          <w:sz w:val="28"/>
          <w:szCs w:val="28"/>
        </w:rPr>
        <w:t xml:space="preserve"> Механізми та заходи, які забезпечать розв’язання визначеної проблеми</w:t>
      </w:r>
    </w:p>
    <w:p w:rsidR="00B33E25" w:rsidRPr="00796D25" w:rsidRDefault="00B33E25" w:rsidP="00B33E25">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Запропоновані механізми регуляторного акта, за допомогою яких можна розв’язати проблему:</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погодження проєкту </w:t>
      </w:r>
      <w:r w:rsidRPr="00796D25">
        <w:rPr>
          <w:rFonts w:ascii="Times New Roman" w:eastAsia="Times New Roman" w:hAnsi="Times New Roman" w:cs="Times New Roman"/>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eastAsia="Times New Roman" w:hAnsi="Times New Roman"/>
          <w:color w:val="auto"/>
          <w:sz w:val="28"/>
          <w:lang w:val="uk-UA"/>
        </w:rPr>
        <w:t>;</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заклади вищої та фахової передвищої освіти з залученням усіх </w:t>
      </w:r>
      <w:proofErr w:type="spellStart"/>
      <w:r w:rsidRPr="00796D25">
        <w:rPr>
          <w:rFonts w:ascii="Times New Roman" w:eastAsia="Times New Roman" w:hAnsi="Times New Roman"/>
          <w:color w:val="auto"/>
          <w:sz w:val="28"/>
          <w:lang w:val="uk-UA"/>
        </w:rPr>
        <w:t>стейкхолдерів</w:t>
      </w:r>
      <w:proofErr w:type="spellEnd"/>
      <w:r w:rsidRPr="00796D25">
        <w:rPr>
          <w:rFonts w:ascii="Times New Roman" w:eastAsia="Times New Roman" w:hAnsi="Times New Roman"/>
          <w:color w:val="auto"/>
          <w:sz w:val="28"/>
          <w:lang w:val="uk-UA"/>
        </w:rPr>
        <w:t xml:space="preserve">, в тому числі місцевими органами самоврядування приймають рішення щодо подальшого функціонування та варіантів реорганізації; </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заклад вищої освіти:</w:t>
      </w:r>
    </w:p>
    <w:p w:rsidR="00B33E25" w:rsidRPr="00796D25" w:rsidRDefault="00B33E25" w:rsidP="00B33E25">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ТВСП, реорганізує ТВСП та в разі подальшого функціонування у статусі юридичної особи (ЗВО або ЗФПО) переоформлює ліцензії на освітню діяльність;</w:t>
      </w:r>
    </w:p>
    <w:p w:rsidR="00B33E25" w:rsidRPr="00796D25" w:rsidRDefault="00B33E25" w:rsidP="00B33E25">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коледжу як ЗВО, реорганізує та в разі подальшого функціонування у статусі ЗФПО переоформлює ліцензії на освітню діяльність;</w:t>
      </w:r>
    </w:p>
    <w:p w:rsidR="00B33E25" w:rsidRPr="00796D25" w:rsidRDefault="00B33E25" w:rsidP="00B33E25">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припинення діяльності фахового коледжу або виокремлення з структури ЗВО в самостійну юридичну особу із наступним переоформленням ліцензій на освітню діяльність, та переходить у комунальну власність;</w:t>
      </w:r>
    </w:p>
    <w:p w:rsidR="00B33E25" w:rsidRDefault="00B33E25" w:rsidP="00B33E25">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інформаційні, організаційні заходи;</w:t>
      </w:r>
    </w:p>
    <w:p w:rsidR="00C84256" w:rsidRPr="00796D25" w:rsidRDefault="00C84256" w:rsidP="00C84256">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lastRenderedPageBreak/>
        <w:t>приймає рішення щодо ліцензування та відкриття магістерського рівня здобуття освіти за спеціальностями, за якими ЗВО або наукова установа веде підготовку докторів філософії або реалізує спільно з іншим ЗВО освітньо-наукову програму третього рівня здобуття вищої освіти.</w:t>
      </w:r>
    </w:p>
    <w:p w:rsidR="00B33E25" w:rsidRPr="00796D25" w:rsidRDefault="00B33E25" w:rsidP="00E67627">
      <w:pPr>
        <w:pStyle w:val="1"/>
        <w:spacing w:before="160" w:after="16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Заходи, які мають здійснити органи влади для впровадження цього регуляторного акта:</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забезпечити інформування всіх заінтересованих сторін системи вищої та фахової передвищої освіти про зміст Закону України;</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Міністерство освіти і науки України шляхом оприлюднення на офіційних сайтах додаткової інформації, а також шляхом проведення нарад та семінарів доводить до них інформацію та рекомендації із застосування та запровадження нормативно-правових актів у сфері вищої та фахової передвищої освіти;</w:t>
      </w:r>
    </w:p>
    <w:p w:rsidR="00B33E25" w:rsidRPr="00796D25" w:rsidRDefault="00B33E25" w:rsidP="00B33E25">
      <w:pPr>
        <w:pStyle w:val="1"/>
        <w:numPr>
          <w:ilvl w:val="0"/>
          <w:numId w:val="2"/>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ліцензій на провадження освітньої діяльності;</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E90245">
        <w:rPr>
          <w:rFonts w:ascii="Times New Roman" w:hAnsi="Times New Roman" w:cs="Times New Roman"/>
          <w:color w:val="000000" w:themeColor="text1"/>
          <w:sz w:val="28"/>
          <w:lang w:val="uk-UA"/>
        </w:rPr>
        <w:t xml:space="preserve">забезпечує процес консолідації управління цивільними закладами вищої освіти державної форми власності (крім </w:t>
      </w:r>
      <w:r>
        <w:rPr>
          <w:rFonts w:ascii="Times New Roman" w:hAnsi="Times New Roman" w:cs="Times New Roman"/>
          <w:color w:val="000000" w:themeColor="text1"/>
          <w:sz w:val="28"/>
          <w:lang w:val="uk-UA"/>
        </w:rPr>
        <w:t xml:space="preserve">управління медичними закладами вищої освіти) </w:t>
      </w:r>
      <w:r w:rsidRPr="00E90245">
        <w:rPr>
          <w:rFonts w:ascii="Times New Roman" w:hAnsi="Times New Roman" w:cs="Times New Roman"/>
          <w:color w:val="000000" w:themeColor="text1"/>
          <w:sz w:val="28"/>
          <w:lang w:val="uk-UA"/>
        </w:rPr>
        <w:t>шляхом віднесення їх до сфери управління одного державного органу</w:t>
      </w:r>
      <w:r w:rsidRPr="00796D25">
        <w:rPr>
          <w:rFonts w:ascii="Times New Roman" w:eastAsia="Times New Roman" w:hAnsi="Times New Roman"/>
          <w:color w:val="auto"/>
          <w:sz w:val="28"/>
          <w:lang w:val="uk-UA"/>
        </w:rPr>
        <w:t>;</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hAnsi="Times New Roman" w:cs="Times New Roman"/>
          <w:color w:val="000000" w:themeColor="text1"/>
          <w:sz w:val="28"/>
          <w:lang w:val="uk-UA"/>
        </w:rPr>
        <w:t>вносить зміни до паспортів відповідних бюджетних програм</w:t>
      </w:r>
      <w:r w:rsidRPr="00796D25">
        <w:rPr>
          <w:rFonts w:ascii="Times New Roman" w:eastAsia="Times New Roman" w:hAnsi="Times New Roman"/>
          <w:color w:val="auto"/>
          <w:sz w:val="28"/>
          <w:lang w:val="uk-UA"/>
        </w:rPr>
        <w:t>.</w:t>
      </w:r>
    </w:p>
    <w:p w:rsidR="009C0407" w:rsidRDefault="009C0407" w:rsidP="00E67627">
      <w:pPr>
        <w:spacing w:before="16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844A0" w:rsidRDefault="003844A0" w:rsidP="00E67627">
      <w:pPr>
        <w:spacing w:after="0"/>
        <w:ind w:firstLine="709"/>
        <w:jc w:val="both"/>
      </w:pPr>
      <w:r w:rsidRPr="003844A0">
        <w:rPr>
          <w:rFonts w:ascii="Times New Roman" w:hAnsi="Times New Roman" w:cs="Times New Roman"/>
          <w:sz w:val="28"/>
          <w:szCs w:val="28"/>
        </w:rPr>
        <w:t>Реалізація проєкту регуляторного акта не потребує додаткових витрат із державного бюджету України, тому розрахунок бюджетних витрат не здійснювався.</w:t>
      </w:r>
      <w:r>
        <w:t xml:space="preserve"> </w:t>
      </w:r>
    </w:p>
    <w:p w:rsidR="00064661" w:rsidRDefault="00064661" w:rsidP="00E67627">
      <w:pPr>
        <w:spacing w:after="0"/>
        <w:ind w:firstLine="709"/>
        <w:jc w:val="both"/>
        <w:rPr>
          <w:rFonts w:ascii="Times New Roman" w:hAnsi="Times New Roman" w:cs="Times New Roman"/>
          <w:sz w:val="28"/>
          <w:szCs w:val="28"/>
        </w:rPr>
      </w:pPr>
      <w:r w:rsidRPr="00064661">
        <w:rPr>
          <w:rFonts w:ascii="Times New Roman" w:hAnsi="Times New Roman" w:cs="Times New Roman"/>
          <w:sz w:val="28"/>
          <w:szCs w:val="28"/>
        </w:rPr>
        <w:t xml:space="preserve">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 </w:t>
      </w:r>
    </w:p>
    <w:p w:rsidR="00B33E25" w:rsidRPr="00796D25" w:rsidRDefault="003844A0" w:rsidP="00E67627">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B33E25" w:rsidRPr="00796D25">
        <w:rPr>
          <w:rFonts w:ascii="Times New Roman" w:hAnsi="Times New Roman" w:cs="Times New Roman"/>
          <w:sz w:val="28"/>
          <w:szCs w:val="28"/>
        </w:rPr>
        <w:t>итрат</w:t>
      </w:r>
      <w:r>
        <w:rPr>
          <w:rFonts w:ascii="Times New Roman" w:hAnsi="Times New Roman" w:cs="Times New Roman"/>
          <w:sz w:val="28"/>
          <w:szCs w:val="28"/>
        </w:rPr>
        <w:t>и</w:t>
      </w:r>
      <w:r w:rsidR="00B33E25" w:rsidRPr="00796D25">
        <w:rPr>
          <w:rFonts w:ascii="Times New Roman" w:hAnsi="Times New Roman" w:cs="Times New Roman"/>
          <w:sz w:val="28"/>
          <w:szCs w:val="28"/>
          <w:shd w:val="clear" w:color="auto" w:fill="FFFFFF"/>
        </w:rPr>
        <w:t>, які виникають</w:t>
      </w:r>
      <w:r>
        <w:rPr>
          <w:rFonts w:ascii="Times New Roman" w:hAnsi="Times New Roman" w:cs="Times New Roman"/>
          <w:sz w:val="28"/>
          <w:szCs w:val="28"/>
          <w:shd w:val="clear" w:color="auto" w:fill="FFFFFF"/>
        </w:rPr>
        <w:t xml:space="preserve"> у</w:t>
      </w:r>
      <w:r w:rsidR="00B33E25" w:rsidRPr="00796D25">
        <w:rPr>
          <w:rFonts w:ascii="Times New Roman" w:hAnsi="Times New Roman" w:cs="Times New Roman"/>
          <w:sz w:val="28"/>
          <w:szCs w:val="28"/>
          <w:shd w:val="clear" w:color="auto" w:fill="FFFFFF"/>
        </w:rPr>
        <w:t xml:space="preserve"> </w:t>
      </w:r>
      <w:r w:rsidRPr="00796D25">
        <w:rPr>
          <w:rFonts w:ascii="Times New Roman" w:hAnsi="Times New Roman" w:cs="Times New Roman"/>
          <w:sz w:val="28"/>
          <w:szCs w:val="28"/>
          <w:shd w:val="clear" w:color="auto" w:fill="FFFFFF"/>
        </w:rPr>
        <w:t xml:space="preserve">суб’єктів господарювання </w:t>
      </w:r>
      <w:r w:rsidR="00B33E25" w:rsidRPr="00796D25">
        <w:rPr>
          <w:rFonts w:ascii="Times New Roman" w:hAnsi="Times New Roman" w:cs="Times New Roman"/>
          <w:sz w:val="28"/>
          <w:szCs w:val="28"/>
          <w:shd w:val="clear" w:color="auto" w:fill="FFFFFF"/>
        </w:rPr>
        <w:t>внаслідок дії регуляторного акта</w:t>
      </w:r>
      <w:r w:rsidR="00064661">
        <w:rPr>
          <w:rFonts w:ascii="Times New Roman" w:hAnsi="Times New Roman" w:cs="Times New Roman"/>
          <w:sz w:val="28"/>
          <w:szCs w:val="28"/>
        </w:rPr>
        <w:t xml:space="preserve">, наведені у </w:t>
      </w:r>
      <w:r w:rsidR="00B33E25" w:rsidRPr="00796D25">
        <w:rPr>
          <w:rFonts w:ascii="Times New Roman" w:hAnsi="Times New Roman" w:cs="Times New Roman"/>
          <w:sz w:val="28"/>
          <w:szCs w:val="28"/>
        </w:rPr>
        <w:t>Додатк</w:t>
      </w:r>
      <w:r w:rsidR="00064661">
        <w:rPr>
          <w:rFonts w:ascii="Times New Roman" w:hAnsi="Times New Roman" w:cs="Times New Roman"/>
          <w:sz w:val="28"/>
          <w:szCs w:val="28"/>
        </w:rPr>
        <w:t>у</w:t>
      </w:r>
      <w:r w:rsidR="00B33E25" w:rsidRPr="00796D25">
        <w:rPr>
          <w:rFonts w:ascii="Times New Roman" w:hAnsi="Times New Roman" w:cs="Times New Roman"/>
          <w:sz w:val="28"/>
          <w:szCs w:val="28"/>
        </w:rPr>
        <w:t xml:space="preserve"> 2 </w:t>
      </w:r>
      <w:r w:rsidR="006A395C">
        <w:rPr>
          <w:rFonts w:ascii="Times New Roman" w:hAnsi="Times New Roman" w:cs="Times New Roman"/>
          <w:sz w:val="28"/>
          <w:szCs w:val="28"/>
        </w:rPr>
        <w:t xml:space="preserve">до </w:t>
      </w:r>
      <w:r>
        <w:rPr>
          <w:rFonts w:ascii="Times New Roman" w:hAnsi="Times New Roman" w:cs="Times New Roman"/>
          <w:sz w:val="28"/>
          <w:szCs w:val="28"/>
        </w:rPr>
        <w:t>Методики</w:t>
      </w:r>
      <w:r w:rsidR="00B33E25" w:rsidRPr="00796D25">
        <w:rPr>
          <w:rFonts w:ascii="Times New Roman" w:hAnsi="Times New Roman" w:cs="Times New Roman"/>
          <w:sz w:val="28"/>
          <w:szCs w:val="28"/>
        </w:rPr>
        <w:t>.</w:t>
      </w:r>
    </w:p>
    <w:p w:rsidR="009C0407" w:rsidRPr="003844A0" w:rsidRDefault="009C0407" w:rsidP="00E67627">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 Обґрунтування запропонованого строку дії регуляторного акта</w:t>
      </w:r>
    </w:p>
    <w:p w:rsidR="00B33E25" w:rsidRPr="003844A0" w:rsidRDefault="00B33E25" w:rsidP="00E67627">
      <w:pPr>
        <w:pStyle w:val="1"/>
        <w:widowControl w:val="0"/>
        <w:tabs>
          <w:tab w:val="left" w:pos="0"/>
        </w:tabs>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Строк дії регуляторного акта не обмежується у часі, що дасть змогу досягти цілей державного регулювання.</w:t>
      </w:r>
    </w:p>
    <w:p w:rsidR="00B33E25" w:rsidRPr="003844A0"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lastRenderedPageBreak/>
        <w:t>Зміна строку дії регуляторного акта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акта.</w:t>
      </w:r>
    </w:p>
    <w:p w:rsidR="00B33E25" w:rsidRPr="003844A0" w:rsidRDefault="00B33E25" w:rsidP="00E67627">
      <w:pPr>
        <w:pStyle w:val="1"/>
        <w:widowControl w:val="0"/>
        <w:tabs>
          <w:tab w:val="left" w:pos="0"/>
        </w:tabs>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Проєкт регуляторного акта набирає чинності з дня його офіційного опублікування.</w:t>
      </w:r>
    </w:p>
    <w:p w:rsidR="009C0407" w:rsidRPr="003844A0" w:rsidRDefault="009C0407" w:rsidP="00E67627">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VIII. Визначення показників результативності дії регуляторного акта</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Прогнозними значеннями показників результативності регуляторного акта є:</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bookmarkStart w:id="1" w:name="n36"/>
      <w:bookmarkEnd w:id="1"/>
      <w:r w:rsidRPr="00796D25">
        <w:rPr>
          <w:rFonts w:ascii="Times New Roman" w:eastAsia="Times New Roman" w:hAnsi="Times New Roman"/>
          <w:sz w:val="28"/>
          <w:lang w:val="uk-UA"/>
        </w:rPr>
        <w:t xml:space="preserve">кількість суб’єктів господарювання, на яких поширюватиметься дія акта – </w:t>
      </w:r>
      <w:r w:rsidR="003844A0">
        <w:rPr>
          <w:rFonts w:ascii="Times New Roman" w:eastAsia="Times New Roman" w:hAnsi="Times New Roman"/>
          <w:sz w:val="28"/>
          <w:lang w:val="uk-UA"/>
        </w:rPr>
        <w:t>674</w:t>
      </w:r>
      <w:r w:rsidRPr="00796D25">
        <w:rPr>
          <w:rFonts w:ascii="Times New Roman" w:eastAsia="Times New Roman" w:hAnsi="Times New Roman"/>
          <w:sz w:val="28"/>
          <w:lang w:val="uk-UA"/>
        </w:rPr>
        <w:t>;</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розмір надходжень до державного та місцевих бюджетів та державних цільових фондів – надходження не передбачаються;</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обсяг коштів і період часу, які витрачатимуться суб’єктами господарювання на виконання вимог регуляторного акта;</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cs="Times New Roman"/>
          <w:sz w:val="28"/>
          <w:szCs w:val="28"/>
          <w:lang w:val="uk-UA" w:eastAsia="uk-UA"/>
        </w:rPr>
        <w:t xml:space="preserve">рівень поінформованості суб’єктів господарювання та (або) фізичних осіб із основними положеннями проекту регуляторного акта – середній, оскільки зазначений проект акта розміщений на офіційному веб-сайті Міністерства освіти і науки України.  </w:t>
      </w:r>
    </w:p>
    <w:p w:rsidR="00B33E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Кількісними показниками результативності регуляторного акта є:</w:t>
      </w:r>
    </w:p>
    <w:p w:rsidR="00064661" w:rsidRPr="00796D25" w:rsidRDefault="00064661" w:rsidP="00E67627">
      <w:pPr>
        <w:pStyle w:val="1"/>
        <w:suppressAutoHyphens w:val="0"/>
        <w:spacing w:line="259" w:lineRule="auto"/>
        <w:ind w:firstLine="709"/>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кількість університетів, академій, інститутів;</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ТВСП, коледжів, фахових коледжів як структурних підрозділів ЗВО;</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здобувачів вищої та фахової передвищої освіти, які здобувають освіту у ТВСП, коледжах, фахових коледжах як структурних підрозділів ЗВО;</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цивільних ЗВО державної форми власності, які змінили орган підпорядкування;  </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s="Times New Roman"/>
          <w:sz w:val="28"/>
          <w:szCs w:val="28"/>
          <w:lang w:val="uk-UA"/>
        </w:rPr>
        <w:t xml:space="preserve">кількість скарг/звернень суб’єктів господарювання, </w:t>
      </w:r>
      <w:r w:rsidR="00B077AF" w:rsidRPr="00796D25">
        <w:rPr>
          <w:rFonts w:ascii="Times New Roman" w:eastAsia="Times New Roman" w:hAnsi="Times New Roman" w:cs="Times New Roman"/>
          <w:sz w:val="28"/>
          <w:szCs w:val="28"/>
          <w:lang w:val="uk-UA"/>
        </w:rPr>
        <w:t>пов’язані</w:t>
      </w:r>
      <w:r w:rsidRPr="00796D25">
        <w:rPr>
          <w:rFonts w:ascii="Times New Roman" w:eastAsia="Times New Roman" w:hAnsi="Times New Roman" w:cs="Times New Roman"/>
          <w:sz w:val="28"/>
          <w:szCs w:val="28"/>
          <w:lang w:val="uk-UA"/>
        </w:rPr>
        <w:t xml:space="preserve"> із дією регуляторного акта.</w:t>
      </w:r>
    </w:p>
    <w:p w:rsidR="00B077AF" w:rsidRDefault="00B077AF" w:rsidP="00ED290F">
      <w:pPr>
        <w:spacing w:after="0"/>
        <w:jc w:val="center"/>
        <w:rPr>
          <w:rFonts w:ascii="Times New Roman" w:hAnsi="Times New Roman" w:cs="Times New Roman"/>
          <w:b/>
          <w:bCs/>
          <w:sz w:val="28"/>
          <w:szCs w:val="28"/>
          <w:shd w:val="clear" w:color="auto" w:fill="FFFFFF"/>
        </w:rPr>
      </w:pPr>
    </w:p>
    <w:p w:rsidR="009C0407" w:rsidRPr="00064661" w:rsidRDefault="009C0407" w:rsidP="00ED290F">
      <w:pPr>
        <w:jc w:val="center"/>
        <w:rPr>
          <w:rFonts w:ascii="Times New Roman" w:hAnsi="Times New Roman" w:cs="Times New Roman"/>
          <w:b/>
          <w:bCs/>
          <w:sz w:val="28"/>
          <w:szCs w:val="28"/>
          <w:shd w:val="clear" w:color="auto" w:fill="FFFFFF"/>
        </w:rPr>
      </w:pPr>
      <w:r w:rsidRPr="00064661">
        <w:rPr>
          <w:rFonts w:ascii="Times New Roman" w:hAnsi="Times New Roman" w:cs="Times New Roman"/>
          <w:b/>
          <w:bCs/>
          <w:sz w:val="28"/>
          <w:szCs w:val="28"/>
          <w:shd w:val="clear" w:color="auto" w:fill="FFFFFF"/>
        </w:rPr>
        <w:t>IX. Визначення заходів, за допомогою яких здійснюватиметься відстеження результативності дії регуляторного акта</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Базове відстеження результативності вищезазначеного регуляторного акта буде здійснюватися до кінця календарного року з моменту набрання чинності.</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Повторне відстеження планується здійснити через рік після набрання чинності регуляторного акта, в результаті якого відбудеться порівняння показників базового та повторного відстеження. </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Періодичне відстеження здійснюватиметься раз на три роки, починаючи з дня виконання заходів з повторного відстеження.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lastRenderedPageBreak/>
        <w:t>Метод проведення відстеження результативності:</w:t>
      </w:r>
    </w:p>
    <w:p w:rsidR="00B33E25" w:rsidRPr="00796D25" w:rsidRDefault="00B077AF"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С</w:t>
      </w:r>
      <w:r w:rsidRPr="00796D25">
        <w:rPr>
          <w:rFonts w:ascii="Times New Roman" w:eastAsia="Times New Roman" w:hAnsi="Times New Roman"/>
          <w:color w:val="auto"/>
          <w:sz w:val="28"/>
          <w:lang w:val="uk-UA"/>
        </w:rPr>
        <w:t>татистичні</w:t>
      </w:r>
      <w:r w:rsidR="00B33E25" w:rsidRPr="00796D25">
        <w:rPr>
          <w:rFonts w:ascii="Times New Roman" w:eastAsia="Times New Roman" w:hAnsi="Times New Roman"/>
          <w:color w:val="auto"/>
          <w:sz w:val="28"/>
          <w:lang w:val="uk-UA"/>
        </w:rPr>
        <w:t xml:space="preserve"> методи.</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Вид даних, за допомогою яких здійснюватиметься відстеження результативності:</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Статистичні, наукові дослідження та опитування.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Цільові групи осіб, що обиратимуться для участі у відповідному опитуванні:</w:t>
      </w:r>
    </w:p>
    <w:p w:rsidR="00B33E25" w:rsidRPr="00796D25" w:rsidRDefault="00B33E25" w:rsidP="003844A0">
      <w:pPr>
        <w:pStyle w:val="Textbody"/>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Цільові аудиторії – ключові </w:t>
      </w:r>
      <w:proofErr w:type="spellStart"/>
      <w:r w:rsidRPr="00796D25">
        <w:rPr>
          <w:rFonts w:ascii="Times New Roman" w:eastAsia="Times New Roman" w:hAnsi="Times New Roman"/>
          <w:color w:val="auto"/>
          <w:sz w:val="28"/>
          <w:lang w:val="uk-UA"/>
        </w:rPr>
        <w:t>стейкхолдери</w:t>
      </w:r>
      <w:proofErr w:type="spellEnd"/>
      <w:r w:rsidRPr="00796D25">
        <w:rPr>
          <w:rFonts w:ascii="Times New Roman" w:eastAsia="Times New Roman" w:hAnsi="Times New Roman"/>
          <w:color w:val="auto"/>
          <w:sz w:val="28"/>
          <w:lang w:val="uk-UA"/>
        </w:rPr>
        <w:t xml:space="preserve"> системи вищої та фахової передвищої освіти, зокрема, здобувачі освіти, роботодавці, керівники закладів освіти, представники місцевих органів самоврядування.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Наукові установи, що залучатимуться для проведення відстеження:</w:t>
      </w:r>
    </w:p>
    <w:p w:rsidR="00B33E25" w:rsidRPr="00796D25" w:rsidRDefault="00B33E25" w:rsidP="003844A0">
      <w:pPr>
        <w:pStyle w:val="Textbody"/>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До проведення відстеження результативності дії регуляторного акта залучатиметься Державна установа «Науково-методичний центр вищої та фахової передвищої освіти». </w:t>
      </w:r>
    </w:p>
    <w:p w:rsidR="00B33E25" w:rsidRPr="00796D25" w:rsidRDefault="00B33E25" w:rsidP="00B33E25">
      <w:pPr>
        <w:pStyle w:val="Textbody"/>
        <w:spacing w:after="0" w:line="240" w:lineRule="auto"/>
        <w:ind w:firstLine="720"/>
        <w:jc w:val="both"/>
        <w:rPr>
          <w:rFonts w:ascii="Times New Roman" w:eastAsia="Times New Roman" w:hAnsi="Times New Roman"/>
          <w:color w:val="auto"/>
          <w:sz w:val="28"/>
          <w:lang w:val="uk-UA"/>
        </w:rPr>
      </w:pPr>
    </w:p>
    <w:p w:rsidR="00B33E25" w:rsidRPr="00796D25" w:rsidRDefault="00B33E25" w:rsidP="00B33E25">
      <w:pPr>
        <w:pStyle w:val="Textbody"/>
        <w:spacing w:after="0" w:line="360" w:lineRule="auto"/>
        <w:jc w:val="both"/>
        <w:rPr>
          <w:rFonts w:ascii="Times New Roman" w:eastAsia="Times New Roman" w:hAnsi="Times New Roman"/>
          <w:color w:val="auto"/>
          <w:sz w:val="28"/>
          <w:lang w:val="uk-UA"/>
        </w:rPr>
      </w:pPr>
    </w:p>
    <w:p w:rsidR="00B33E25" w:rsidRPr="00796D25" w:rsidRDefault="00B33E25" w:rsidP="00B33E25">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Міністр освіти і науки України </w:t>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003844A0">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Оксен ЛІСОВИЙ</w:t>
      </w:r>
    </w:p>
    <w:p w:rsidR="00064661" w:rsidRDefault="00064661" w:rsidP="00B33E25">
      <w:pPr>
        <w:pStyle w:val="1"/>
        <w:spacing w:line="240" w:lineRule="auto"/>
        <w:ind w:firstLine="6237"/>
        <w:rPr>
          <w:rFonts w:ascii="Times New Roman" w:eastAsia="Times New Roman" w:hAnsi="Times New Roman"/>
          <w:color w:val="auto"/>
          <w:kern w:val="0"/>
          <w:sz w:val="28"/>
          <w:lang w:val="uk-UA"/>
        </w:rPr>
      </w:pPr>
    </w:p>
    <w:p w:rsidR="00B077AF" w:rsidRDefault="00B077AF">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C4175" w:rsidRDefault="00BC4175">
      <w:pPr>
        <w:rPr>
          <w:rFonts w:ascii="Times New Roman" w:eastAsia="Times New Roman" w:hAnsi="Times New Roman" w:cs="Arial"/>
          <w:sz w:val="28"/>
          <w:szCs w:val="20"/>
          <w:lang w:eastAsia="ru-RU"/>
        </w:rPr>
      </w:pPr>
    </w:p>
    <w:p w:rsidR="00B33E25" w:rsidRPr="00796D25" w:rsidRDefault="00B33E25" w:rsidP="00064661">
      <w:pPr>
        <w:pStyle w:val="1"/>
        <w:spacing w:line="240" w:lineRule="auto"/>
        <w:ind w:left="2259" w:firstLine="5529"/>
        <w:rPr>
          <w:rFonts w:ascii="Times New Roman" w:eastAsia="Times New Roman" w:hAnsi="Times New Roman"/>
          <w:color w:val="auto"/>
          <w:sz w:val="28"/>
          <w:lang w:val="uk-UA"/>
        </w:rPr>
      </w:pPr>
      <w:r w:rsidRPr="00796D25">
        <w:rPr>
          <w:rFonts w:ascii="Times New Roman" w:eastAsia="Times New Roman" w:hAnsi="Times New Roman"/>
          <w:color w:val="auto"/>
          <w:kern w:val="0"/>
          <w:sz w:val="28"/>
          <w:lang w:val="uk-UA"/>
        </w:rPr>
        <w:t>Додаток 2</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ВИТРАТИ</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на одного суб’єкта господарювання великого і середнього підприємництва, які виникають внаслідок дії регуляторного акта </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за </w:t>
      </w:r>
      <w:r w:rsidRPr="0068345B">
        <w:rPr>
          <w:rFonts w:ascii="Times New Roman" w:eastAsia="Times New Roman" w:hAnsi="Times New Roman"/>
          <w:b/>
          <w:color w:val="auto"/>
          <w:kern w:val="0"/>
          <w:sz w:val="28"/>
          <w:lang w:val="uk-UA"/>
        </w:rPr>
        <w:t>Альтернативою 2</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068"/>
        <w:gridCol w:w="1867"/>
        <w:gridCol w:w="1868"/>
      </w:tblGrid>
      <w:tr w:rsidR="00B33E25" w:rsidRPr="00796D25" w:rsidTr="00B831C4">
        <w:trPr>
          <w:jc w:val="center"/>
        </w:trPr>
        <w:tc>
          <w:tcPr>
            <w:tcW w:w="562" w:type="dxa"/>
            <w:shd w:val="clear" w:color="auto" w:fill="auto"/>
            <w:vAlign w:val="center"/>
          </w:tcPr>
          <w:p w:rsidR="00B33E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w:t>
            </w:r>
          </w:p>
          <w:p w:rsidR="00B831C4" w:rsidRPr="00796D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з/п</w:t>
            </w:r>
          </w:p>
        </w:tc>
        <w:tc>
          <w:tcPr>
            <w:tcW w:w="50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перший рік</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п’ять років</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2</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Податки та збори (зміна розміру податків/зборів, виникнення необхідності у сплаті податків/зборів),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3</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із веденням обліку, підготовкою та поданням звітності державним органам,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4</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5</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отримання адміністративних послуг (підготовка заяви на переоформлення ліцензій):</w:t>
            </w:r>
          </w:p>
          <w:p w:rsidR="00B33E25" w:rsidRPr="00796D25" w:rsidRDefault="00B33E25" w:rsidP="00284D93">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hAnsi="Times New Roman" w:cs="Times New Roman"/>
                <w:sz w:val="28"/>
                <w:szCs w:val="28"/>
                <w:lang w:val="uk-UA"/>
              </w:rPr>
              <w:t>1 год *</w:t>
            </w:r>
            <w:r w:rsidR="00284D93">
              <w:rPr>
                <w:rFonts w:ascii="Times New Roman" w:hAnsi="Times New Roman" w:cs="Times New Roman"/>
                <w:sz w:val="28"/>
                <w:szCs w:val="28"/>
                <w:lang w:val="uk-UA"/>
              </w:rPr>
              <w:t>48</w:t>
            </w:r>
            <w:r w:rsidRPr="00796D25">
              <w:rPr>
                <w:rFonts w:ascii="Times New Roman" w:hAnsi="Times New Roman" w:cs="Times New Roman"/>
                <w:sz w:val="28"/>
                <w:szCs w:val="28"/>
              </w:rPr>
              <w:t xml:space="preserve"> </w:t>
            </w:r>
            <w:proofErr w:type="spellStart"/>
            <w:r w:rsidRPr="00796D25">
              <w:rPr>
                <w:rFonts w:ascii="Times New Roman" w:hAnsi="Times New Roman" w:cs="Times New Roman"/>
                <w:sz w:val="28"/>
                <w:szCs w:val="28"/>
              </w:rPr>
              <w:t>грн</w:t>
            </w:r>
            <w:proofErr w:type="spellEnd"/>
            <w:r w:rsidRPr="00796D25">
              <w:rPr>
                <w:rFonts w:ascii="Times New Roman" w:hAnsi="Times New Roman" w:cs="Times New Roman"/>
                <w:sz w:val="28"/>
                <w:szCs w:val="28"/>
              </w:rPr>
              <w:t>/</w:t>
            </w:r>
            <w:proofErr w:type="spellStart"/>
            <w:r w:rsidRPr="00796D25">
              <w:rPr>
                <w:rFonts w:ascii="Times New Roman" w:hAnsi="Times New Roman" w:cs="Times New Roman"/>
                <w:sz w:val="28"/>
                <w:szCs w:val="28"/>
              </w:rPr>
              <w:t>год</w:t>
            </w:r>
            <w:proofErr w:type="spellEnd"/>
          </w:p>
        </w:tc>
        <w:tc>
          <w:tcPr>
            <w:tcW w:w="1867" w:type="dxa"/>
            <w:shd w:val="clear" w:color="auto" w:fill="auto"/>
            <w:vAlign w:val="center"/>
          </w:tcPr>
          <w:p w:rsidR="00B33E25" w:rsidRPr="00796D25" w:rsidRDefault="00284D93"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48</w:t>
            </w:r>
            <w:r w:rsidR="00995264">
              <w:rPr>
                <w:rFonts w:ascii="Times New Roman" w:eastAsia="Times New Roman" w:hAnsi="Times New Roman"/>
                <w:color w:val="auto"/>
                <w:kern w:val="0"/>
                <w:sz w:val="28"/>
                <w:szCs w:val="28"/>
                <w:lang w:val="uk-UA"/>
              </w:rPr>
              <w:t>,00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6</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оборотні активи (матеріали, канцелярські товари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7</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Витрати, пов’язані із </w:t>
            </w:r>
            <w:proofErr w:type="spellStart"/>
            <w:r w:rsidRPr="00796D25">
              <w:rPr>
                <w:rFonts w:ascii="Times New Roman" w:eastAsia="Times New Roman" w:hAnsi="Times New Roman"/>
                <w:color w:val="auto"/>
                <w:kern w:val="0"/>
                <w:sz w:val="28"/>
                <w:lang w:val="uk-UA"/>
              </w:rPr>
              <w:t>наймом</w:t>
            </w:r>
            <w:proofErr w:type="spellEnd"/>
            <w:r w:rsidRPr="00796D25">
              <w:rPr>
                <w:rFonts w:ascii="Times New Roman" w:eastAsia="Times New Roman" w:hAnsi="Times New Roman"/>
                <w:color w:val="auto"/>
                <w:kern w:val="0"/>
                <w:sz w:val="28"/>
                <w:lang w:val="uk-UA"/>
              </w:rPr>
              <w:t xml:space="preserve"> додаткового персоналу,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8.1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Витрати, пов’язані з ознайомленням та приведенням локальних актів у відповідність до форми угоди</w:t>
            </w:r>
          </w:p>
          <w:p w:rsidR="00B33E25" w:rsidRPr="00796D25" w:rsidRDefault="00B33E25" w:rsidP="00C925FB">
            <w:pPr>
              <w:pStyle w:val="1"/>
              <w:suppressAutoHyphens w:val="0"/>
              <w:spacing w:line="240" w:lineRule="auto"/>
              <w:rPr>
                <w:sz w:val="28"/>
                <w:szCs w:val="28"/>
                <w:lang w:val="uk-UA"/>
              </w:rPr>
            </w:pPr>
            <w:r w:rsidRPr="00796D25">
              <w:rPr>
                <w:rFonts w:ascii="Times New Roman" w:hAnsi="Times New Roman" w:cs="Times New Roman"/>
                <w:sz w:val="28"/>
                <w:szCs w:val="28"/>
                <w:lang w:val="uk-UA"/>
              </w:rPr>
              <w:t>2 год *</w:t>
            </w:r>
            <w:r w:rsidR="00C925FB">
              <w:rPr>
                <w:rFonts w:ascii="Times New Roman" w:hAnsi="Times New Roman" w:cs="Times New Roman"/>
                <w:sz w:val="28"/>
                <w:szCs w:val="28"/>
                <w:lang w:val="uk-UA"/>
              </w:rPr>
              <w:t>48</w:t>
            </w:r>
            <w:r w:rsidRPr="00796D25">
              <w:rPr>
                <w:rFonts w:ascii="Times New Roman" w:hAnsi="Times New Roman" w:cs="Times New Roman"/>
                <w:sz w:val="28"/>
                <w:szCs w:val="28"/>
              </w:rPr>
              <w:t xml:space="preserve"> </w:t>
            </w:r>
            <w:proofErr w:type="spellStart"/>
            <w:r w:rsidRPr="00796D25">
              <w:rPr>
                <w:rFonts w:ascii="Times New Roman" w:hAnsi="Times New Roman" w:cs="Times New Roman"/>
                <w:sz w:val="28"/>
                <w:szCs w:val="28"/>
              </w:rPr>
              <w:t>грн</w:t>
            </w:r>
            <w:proofErr w:type="spellEnd"/>
            <w:r w:rsidRPr="00796D25">
              <w:rPr>
                <w:rFonts w:ascii="Times New Roman" w:hAnsi="Times New Roman" w:cs="Times New Roman"/>
                <w:sz w:val="28"/>
                <w:szCs w:val="28"/>
              </w:rPr>
              <w:t>/</w:t>
            </w:r>
            <w:proofErr w:type="spellStart"/>
            <w:r w:rsidRPr="00796D25">
              <w:rPr>
                <w:rFonts w:ascii="Times New Roman" w:hAnsi="Times New Roman" w:cs="Times New Roman"/>
                <w:sz w:val="28"/>
                <w:szCs w:val="28"/>
              </w:rPr>
              <w:t>год</w:t>
            </w:r>
            <w:proofErr w:type="spellEnd"/>
          </w:p>
        </w:tc>
        <w:tc>
          <w:tcPr>
            <w:tcW w:w="1867" w:type="dxa"/>
            <w:shd w:val="clear" w:color="auto" w:fill="auto"/>
            <w:vAlign w:val="center"/>
          </w:tcPr>
          <w:p w:rsidR="00B33E25" w:rsidRPr="00796D25" w:rsidRDefault="00C925FB"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96,00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8.2</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Процедури отримання первинної інформації про вимоги регулювання</w:t>
            </w:r>
          </w:p>
          <w:p w:rsidR="00B33E25" w:rsidRPr="00796D25" w:rsidRDefault="00B33E25" w:rsidP="00B33E25">
            <w:pPr>
              <w:jc w:val="both"/>
              <w:rPr>
                <w:rFonts w:ascii="Times New Roman" w:eastAsia="Times New Roman" w:hAnsi="Times New Roman"/>
                <w:sz w:val="28"/>
              </w:rPr>
            </w:pP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8.3</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Процедури організації виконання вимог регулювання </w:t>
            </w:r>
          </w:p>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w:t>
            </w:r>
            <w:r w:rsidRPr="00995264">
              <w:rPr>
                <w:rFonts w:ascii="Times New Roman" w:eastAsia="Times New Roman" w:hAnsi="Times New Roman"/>
                <w:color w:val="auto"/>
                <w:kern w:val="0"/>
                <w:sz w:val="28"/>
                <w:lang w:val="uk-UA"/>
              </w:rPr>
              <w:t>2</w:t>
            </w:r>
            <w:r>
              <w:rPr>
                <w:rFonts w:ascii="Times New Roman" w:eastAsia="Times New Roman" w:hAnsi="Times New Roman"/>
                <w:color w:val="auto"/>
                <w:kern w:val="0"/>
                <w:sz w:val="28"/>
                <w:lang w:val="uk-UA"/>
              </w:rPr>
              <w:t xml:space="preserve"> </w:t>
            </w:r>
            <w:r w:rsidRPr="00796D25">
              <w:rPr>
                <w:rFonts w:ascii="Times New Roman" w:hAnsi="Times New Roman" w:cs="Times New Roman"/>
                <w:sz w:val="28"/>
                <w:szCs w:val="28"/>
                <w:lang w:val="uk-UA"/>
              </w:rPr>
              <w:t>год *</w:t>
            </w:r>
            <w:r w:rsidR="00C925FB">
              <w:rPr>
                <w:rFonts w:ascii="Times New Roman" w:hAnsi="Times New Roman" w:cs="Times New Roman"/>
                <w:sz w:val="28"/>
                <w:szCs w:val="28"/>
                <w:lang w:val="uk-UA"/>
              </w:rPr>
              <w:t>48</w:t>
            </w:r>
            <w:r w:rsidRPr="00796D25">
              <w:rPr>
                <w:rFonts w:ascii="Times New Roman" w:hAnsi="Times New Roman" w:cs="Times New Roman"/>
                <w:sz w:val="28"/>
                <w:szCs w:val="28"/>
                <w:lang w:val="ru-RU"/>
              </w:rPr>
              <w:t xml:space="preserve"> </w:t>
            </w:r>
            <w:proofErr w:type="spellStart"/>
            <w:r w:rsidRPr="00796D25">
              <w:rPr>
                <w:rFonts w:ascii="Times New Roman" w:hAnsi="Times New Roman" w:cs="Times New Roman"/>
                <w:sz w:val="28"/>
                <w:szCs w:val="28"/>
                <w:lang w:val="ru-RU"/>
              </w:rPr>
              <w:t>грн</w:t>
            </w:r>
            <w:proofErr w:type="spellEnd"/>
            <w:r w:rsidRPr="00796D25">
              <w:rPr>
                <w:rFonts w:ascii="Times New Roman" w:hAnsi="Times New Roman" w:cs="Times New Roman"/>
                <w:sz w:val="28"/>
                <w:szCs w:val="28"/>
                <w:lang w:val="ru-RU"/>
              </w:rPr>
              <w:t>/год</w:t>
            </w:r>
            <w:r w:rsidRPr="00796D25">
              <w:rPr>
                <w:rFonts w:ascii="Times New Roman" w:eastAsia="Times New Roman" w:hAnsi="Times New Roman"/>
                <w:color w:val="auto"/>
                <w:kern w:val="0"/>
                <w:sz w:val="28"/>
                <w:lang w:val="uk-UA"/>
              </w:rPr>
              <w:t xml:space="preserve">) </w:t>
            </w:r>
          </w:p>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p>
        </w:tc>
        <w:tc>
          <w:tcPr>
            <w:tcW w:w="1867" w:type="dxa"/>
            <w:shd w:val="clear" w:color="auto" w:fill="auto"/>
            <w:vAlign w:val="center"/>
          </w:tcPr>
          <w:p w:rsidR="00B33E25" w:rsidRPr="00796D25" w:rsidRDefault="00995264" w:rsidP="00C925FB">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96,00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9</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РАЗОМ, гривень</w:t>
            </w:r>
          </w:p>
        </w:tc>
        <w:tc>
          <w:tcPr>
            <w:tcW w:w="1867" w:type="dxa"/>
            <w:shd w:val="clear" w:color="auto" w:fill="auto"/>
            <w:vAlign w:val="center"/>
          </w:tcPr>
          <w:p w:rsidR="00B33E25" w:rsidRPr="00796D25" w:rsidRDefault="00255877"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240,00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10</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суб’єктів господарювання великого та середнього підприємництва, на яких буде поширено регулювання, одиниць</w:t>
            </w:r>
          </w:p>
        </w:tc>
        <w:tc>
          <w:tcPr>
            <w:tcW w:w="1867" w:type="dxa"/>
            <w:shd w:val="clear" w:color="auto" w:fill="auto"/>
            <w:vAlign w:val="center"/>
          </w:tcPr>
          <w:p w:rsidR="00B33E25" w:rsidRPr="00796D25" w:rsidRDefault="00255877"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674</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831C4">
        <w:trPr>
          <w:jc w:val="center"/>
        </w:trPr>
        <w:tc>
          <w:tcPr>
            <w:tcW w:w="562"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Сумарні витрати суб’єктів господарювання великого та середнього підприємства, на виконання регулювання (вартість регулювання) (рядок 9 х рядок 10), гривень</w:t>
            </w:r>
          </w:p>
        </w:tc>
        <w:tc>
          <w:tcPr>
            <w:tcW w:w="1867" w:type="dxa"/>
            <w:shd w:val="clear" w:color="auto" w:fill="auto"/>
            <w:vAlign w:val="center"/>
          </w:tcPr>
          <w:p w:rsidR="007C20F5" w:rsidRPr="00796D25" w:rsidRDefault="007C20F5"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hAnsi="Times New Roman" w:cs="Times New Roman"/>
                <w:sz w:val="28"/>
                <w:szCs w:val="28"/>
                <w:lang w:val="uk-UA"/>
              </w:rPr>
              <w:t>161 760,00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bl>
    <w:p w:rsidR="003E533F" w:rsidRDefault="003E533F" w:rsidP="009E70F1">
      <w:pPr>
        <w:pStyle w:val="1"/>
        <w:suppressAutoHyphens w:val="0"/>
        <w:spacing w:line="240" w:lineRule="auto"/>
        <w:jc w:val="both"/>
        <w:rPr>
          <w:rFonts w:ascii="Times New Roman" w:eastAsia="Times New Roman" w:hAnsi="Times New Roman" w:cs="Times New Roman"/>
          <w:sz w:val="20"/>
          <w:lang w:val="ru-RU"/>
        </w:rPr>
      </w:pPr>
    </w:p>
    <w:p w:rsidR="009E70F1" w:rsidRDefault="00B33E25" w:rsidP="009E70F1">
      <w:pPr>
        <w:pStyle w:val="1"/>
        <w:suppressAutoHyphens w:val="0"/>
        <w:spacing w:line="240" w:lineRule="auto"/>
        <w:jc w:val="both"/>
        <w:rPr>
          <w:rFonts w:ascii="Times New Roman" w:hAnsi="Times New Roman" w:cs="Times New Roman"/>
          <w:sz w:val="20"/>
          <w:shd w:val="clear" w:color="auto" w:fill="F5F5F5"/>
          <w:lang w:val="ru-RU"/>
        </w:rPr>
      </w:pPr>
      <w:proofErr w:type="spellStart"/>
      <w:r w:rsidRPr="005D18F4">
        <w:rPr>
          <w:rFonts w:ascii="Times New Roman" w:eastAsia="Times New Roman" w:hAnsi="Times New Roman" w:cs="Times New Roman"/>
          <w:sz w:val="20"/>
          <w:lang w:val="ru-RU"/>
        </w:rPr>
        <w:t>Ро</w:t>
      </w:r>
      <w:r w:rsidRPr="005D18F4">
        <w:rPr>
          <w:rFonts w:ascii="Times New Roman" w:hAnsi="Times New Roman" w:cs="Times New Roman"/>
          <w:sz w:val="20"/>
          <w:shd w:val="clear" w:color="auto" w:fill="F5F5F5"/>
          <w:lang w:val="ru-RU"/>
        </w:rPr>
        <w:t>змір</w:t>
      </w:r>
      <w:proofErr w:type="spellEnd"/>
      <w:r w:rsidRPr="005D18F4">
        <w:rPr>
          <w:rFonts w:ascii="Times New Roman" w:hAnsi="Times New Roman" w:cs="Times New Roman"/>
          <w:sz w:val="20"/>
          <w:shd w:val="clear" w:color="auto" w:fill="F5F5F5"/>
          <w:lang w:val="ru-RU"/>
        </w:rPr>
        <w:t xml:space="preserve"> </w:t>
      </w:r>
      <w:proofErr w:type="spellStart"/>
      <w:r w:rsidRPr="005D18F4">
        <w:rPr>
          <w:rFonts w:ascii="Times New Roman" w:hAnsi="Times New Roman" w:cs="Times New Roman"/>
          <w:sz w:val="20"/>
          <w:shd w:val="clear" w:color="auto" w:fill="F5F5F5"/>
          <w:lang w:val="ru-RU"/>
        </w:rPr>
        <w:t>мінімальної</w:t>
      </w:r>
      <w:proofErr w:type="spellEnd"/>
      <w:r w:rsidRPr="005D18F4">
        <w:rPr>
          <w:rFonts w:ascii="Times New Roman" w:hAnsi="Times New Roman" w:cs="Times New Roman"/>
          <w:sz w:val="20"/>
          <w:shd w:val="clear" w:color="auto" w:fill="F5F5F5"/>
          <w:lang w:val="ru-RU"/>
        </w:rPr>
        <w:t xml:space="preserve"> </w:t>
      </w:r>
      <w:proofErr w:type="spellStart"/>
      <w:r w:rsidRPr="005D18F4">
        <w:rPr>
          <w:rFonts w:ascii="Times New Roman" w:hAnsi="Times New Roman" w:cs="Times New Roman"/>
          <w:sz w:val="20"/>
          <w:shd w:val="clear" w:color="auto" w:fill="F5F5F5"/>
          <w:lang w:val="ru-RU"/>
        </w:rPr>
        <w:t>заробітної</w:t>
      </w:r>
      <w:proofErr w:type="spellEnd"/>
      <w:r w:rsidRPr="005D18F4">
        <w:rPr>
          <w:rFonts w:ascii="Times New Roman" w:hAnsi="Times New Roman" w:cs="Times New Roman"/>
          <w:sz w:val="20"/>
          <w:shd w:val="clear" w:color="auto" w:fill="F5F5F5"/>
          <w:lang w:val="ru-RU"/>
        </w:rPr>
        <w:t xml:space="preserve"> плати на 2024 </w:t>
      </w:r>
      <w:proofErr w:type="spellStart"/>
      <w:r w:rsidRPr="005D18F4">
        <w:rPr>
          <w:rFonts w:ascii="Times New Roman" w:hAnsi="Times New Roman" w:cs="Times New Roman"/>
          <w:sz w:val="20"/>
          <w:shd w:val="clear" w:color="auto" w:fill="F5F5F5"/>
          <w:lang w:val="ru-RU"/>
        </w:rPr>
        <w:t>рік</w:t>
      </w:r>
      <w:proofErr w:type="spellEnd"/>
      <w:r w:rsidRPr="005D18F4">
        <w:rPr>
          <w:rFonts w:ascii="Times New Roman" w:hAnsi="Times New Roman" w:cs="Times New Roman"/>
          <w:sz w:val="20"/>
          <w:shd w:val="clear" w:color="auto" w:fill="F5F5F5"/>
          <w:lang w:val="ru-RU"/>
        </w:rPr>
        <w:t xml:space="preserve">, </w:t>
      </w:r>
      <w:proofErr w:type="spellStart"/>
      <w:r w:rsidRPr="005D18F4">
        <w:rPr>
          <w:rFonts w:ascii="Times New Roman" w:hAnsi="Times New Roman" w:cs="Times New Roman"/>
          <w:sz w:val="20"/>
          <w:shd w:val="clear" w:color="auto" w:fill="F5F5F5"/>
          <w:lang w:val="ru-RU"/>
        </w:rPr>
        <w:t>затверджений</w:t>
      </w:r>
      <w:proofErr w:type="spellEnd"/>
      <w:r w:rsidRPr="005D18F4">
        <w:rPr>
          <w:rFonts w:ascii="Times New Roman" w:hAnsi="Times New Roman" w:cs="Times New Roman"/>
          <w:sz w:val="20"/>
          <w:shd w:val="clear" w:color="auto" w:fill="F5F5F5"/>
          <w:lang w:val="ru-RU"/>
        </w:rPr>
        <w:t xml:space="preserve"> Законом </w:t>
      </w:r>
      <w:proofErr w:type="spellStart"/>
      <w:r w:rsidRPr="005D18F4">
        <w:rPr>
          <w:rFonts w:ascii="Times New Roman" w:hAnsi="Times New Roman" w:cs="Times New Roman"/>
          <w:sz w:val="20"/>
          <w:shd w:val="clear" w:color="auto" w:fill="F5F5F5"/>
          <w:lang w:val="ru-RU"/>
        </w:rPr>
        <w:t>України</w:t>
      </w:r>
      <w:proofErr w:type="spellEnd"/>
      <w:r w:rsidRPr="005D18F4">
        <w:rPr>
          <w:rFonts w:ascii="Times New Roman" w:hAnsi="Times New Roman" w:cs="Times New Roman"/>
          <w:sz w:val="20"/>
          <w:shd w:val="clear" w:color="auto" w:fill="F5F5F5"/>
          <w:lang w:val="ru-RU"/>
        </w:rPr>
        <w:t xml:space="preserve"> "Про </w:t>
      </w:r>
      <w:proofErr w:type="spellStart"/>
      <w:r w:rsidRPr="005D18F4">
        <w:rPr>
          <w:rFonts w:ascii="Times New Roman" w:hAnsi="Times New Roman" w:cs="Times New Roman"/>
          <w:sz w:val="20"/>
          <w:shd w:val="clear" w:color="auto" w:fill="F5F5F5"/>
          <w:lang w:val="ru-RU"/>
        </w:rPr>
        <w:t>Державний</w:t>
      </w:r>
      <w:proofErr w:type="spellEnd"/>
      <w:r w:rsidRPr="005D18F4">
        <w:rPr>
          <w:rFonts w:ascii="Times New Roman" w:hAnsi="Times New Roman" w:cs="Times New Roman"/>
          <w:sz w:val="20"/>
          <w:shd w:val="clear" w:color="auto" w:fill="F5F5F5"/>
          <w:lang w:val="ru-RU"/>
        </w:rPr>
        <w:t xml:space="preserve"> бюджет </w:t>
      </w:r>
      <w:proofErr w:type="spellStart"/>
      <w:r w:rsidRPr="005D18F4">
        <w:rPr>
          <w:rFonts w:ascii="Times New Roman" w:hAnsi="Times New Roman" w:cs="Times New Roman"/>
          <w:sz w:val="20"/>
          <w:shd w:val="clear" w:color="auto" w:fill="F5F5F5"/>
          <w:lang w:val="ru-RU"/>
        </w:rPr>
        <w:t>України</w:t>
      </w:r>
      <w:proofErr w:type="spellEnd"/>
      <w:r w:rsidRPr="005D18F4">
        <w:rPr>
          <w:rFonts w:ascii="Times New Roman" w:hAnsi="Times New Roman" w:cs="Times New Roman"/>
          <w:sz w:val="20"/>
          <w:shd w:val="clear" w:color="auto" w:fill="F5F5F5"/>
          <w:lang w:val="ru-RU"/>
        </w:rPr>
        <w:t xml:space="preserve"> на 2024 </w:t>
      </w:r>
      <w:proofErr w:type="spellStart"/>
      <w:r w:rsidRPr="005D18F4">
        <w:rPr>
          <w:rFonts w:ascii="Times New Roman" w:hAnsi="Times New Roman" w:cs="Times New Roman"/>
          <w:sz w:val="20"/>
          <w:shd w:val="clear" w:color="auto" w:fill="F5F5F5"/>
          <w:lang w:val="ru-RU"/>
        </w:rPr>
        <w:t>рік</w:t>
      </w:r>
      <w:proofErr w:type="spellEnd"/>
      <w:r w:rsidRPr="005D18F4">
        <w:rPr>
          <w:rFonts w:ascii="Times New Roman" w:hAnsi="Times New Roman" w:cs="Times New Roman"/>
          <w:sz w:val="20"/>
          <w:shd w:val="clear" w:color="auto" w:fill="F5F5F5"/>
          <w:lang w:val="ru-RU"/>
        </w:rPr>
        <w:t xml:space="preserve">" </w:t>
      </w:r>
      <w:proofErr w:type="spellStart"/>
      <w:r w:rsidRPr="005D18F4">
        <w:rPr>
          <w:rFonts w:ascii="Times New Roman" w:hAnsi="Times New Roman" w:cs="Times New Roman"/>
          <w:sz w:val="20"/>
          <w:shd w:val="clear" w:color="auto" w:fill="F5F5F5"/>
          <w:lang w:val="ru-RU"/>
        </w:rPr>
        <w:t>від</w:t>
      </w:r>
      <w:proofErr w:type="spellEnd"/>
      <w:r w:rsidRPr="005D18F4">
        <w:rPr>
          <w:rFonts w:ascii="Times New Roman" w:hAnsi="Times New Roman" w:cs="Times New Roman"/>
          <w:sz w:val="20"/>
          <w:shd w:val="clear" w:color="auto" w:fill="F5F5F5"/>
          <w:lang w:val="ru-RU"/>
        </w:rPr>
        <w:t xml:space="preserve"> 0</w:t>
      </w:r>
      <w:r w:rsidR="009E70F1" w:rsidRPr="005D18F4">
        <w:rPr>
          <w:rFonts w:ascii="Times New Roman" w:hAnsi="Times New Roman" w:cs="Times New Roman"/>
          <w:sz w:val="20"/>
          <w:shd w:val="clear" w:color="auto" w:fill="F5F5F5"/>
          <w:lang w:val="ru-RU"/>
        </w:rPr>
        <w:t>9</w:t>
      </w:r>
      <w:r w:rsidRPr="005D18F4">
        <w:rPr>
          <w:rFonts w:ascii="Times New Roman" w:hAnsi="Times New Roman" w:cs="Times New Roman"/>
          <w:sz w:val="20"/>
          <w:shd w:val="clear" w:color="auto" w:fill="F5F5F5"/>
          <w:lang w:val="ru-RU"/>
        </w:rPr>
        <w:t>.11.202</w:t>
      </w:r>
      <w:r w:rsidR="009E70F1" w:rsidRPr="005D18F4">
        <w:rPr>
          <w:rFonts w:ascii="Times New Roman" w:hAnsi="Times New Roman" w:cs="Times New Roman"/>
          <w:sz w:val="20"/>
          <w:shd w:val="clear" w:color="auto" w:fill="F5F5F5"/>
          <w:lang w:val="ru-RU"/>
        </w:rPr>
        <w:t>3</w:t>
      </w:r>
      <w:r w:rsidRPr="005D18F4">
        <w:rPr>
          <w:rFonts w:ascii="Times New Roman" w:hAnsi="Times New Roman" w:cs="Times New Roman"/>
          <w:sz w:val="20"/>
          <w:lang w:val="ru-RU"/>
        </w:rPr>
        <w:t xml:space="preserve"> № </w:t>
      </w:r>
      <w:r w:rsidR="009E70F1" w:rsidRPr="005D18F4">
        <w:rPr>
          <w:rFonts w:ascii="Times New Roman" w:hAnsi="Times New Roman" w:cs="Times New Roman"/>
          <w:sz w:val="20"/>
          <w:shd w:val="clear" w:color="auto" w:fill="F5F5F5"/>
          <w:lang w:val="ru-RU"/>
        </w:rPr>
        <w:t>3460</w:t>
      </w:r>
      <w:r w:rsidRPr="005D18F4">
        <w:rPr>
          <w:rFonts w:ascii="Times New Roman" w:hAnsi="Times New Roman" w:cs="Times New Roman"/>
          <w:sz w:val="20"/>
          <w:shd w:val="clear" w:color="auto" w:fill="F5F5F5"/>
          <w:lang w:val="ru-RU"/>
        </w:rPr>
        <w:t>-</w:t>
      </w:r>
      <w:r w:rsidRPr="005D18F4">
        <w:rPr>
          <w:rFonts w:ascii="Times New Roman" w:hAnsi="Times New Roman" w:cs="Times New Roman"/>
          <w:sz w:val="20"/>
          <w:shd w:val="clear" w:color="auto" w:fill="F5F5F5"/>
        </w:rPr>
        <w:t>IX</w:t>
      </w:r>
      <w:r w:rsidR="003E533F" w:rsidRPr="005D18F4">
        <w:rPr>
          <w:rFonts w:ascii="Times New Roman" w:hAnsi="Times New Roman" w:cs="Times New Roman"/>
          <w:sz w:val="20"/>
          <w:shd w:val="clear" w:color="auto" w:fill="F5F5F5"/>
          <w:lang w:val="uk-UA"/>
        </w:rPr>
        <w:t xml:space="preserve"> (із змінами, внесеними згідно із Законом № 3978-ІХ від 18.09.2024)</w:t>
      </w:r>
      <w:r w:rsidRPr="005D18F4">
        <w:rPr>
          <w:rFonts w:ascii="Times New Roman" w:hAnsi="Times New Roman" w:cs="Times New Roman"/>
          <w:sz w:val="20"/>
          <w:shd w:val="clear" w:color="auto" w:fill="F5F5F5"/>
          <w:lang w:val="uk-UA"/>
        </w:rPr>
        <w:t>,</w:t>
      </w:r>
      <w:r w:rsidRPr="005D18F4">
        <w:rPr>
          <w:rFonts w:ascii="Times New Roman" w:hAnsi="Times New Roman" w:cs="Times New Roman"/>
          <w:sz w:val="20"/>
          <w:shd w:val="clear" w:color="auto" w:fill="F5F5F5"/>
          <w:lang w:val="ru-RU"/>
        </w:rPr>
        <w:t xml:space="preserve"> становить </w:t>
      </w:r>
      <w:r w:rsidR="003E533F" w:rsidRPr="005D18F4">
        <w:rPr>
          <w:rFonts w:ascii="Times New Roman" w:hAnsi="Times New Roman" w:cs="Times New Roman"/>
          <w:sz w:val="20"/>
          <w:shd w:val="clear" w:color="auto" w:fill="F5F5F5"/>
          <w:lang w:val="ru-RU"/>
        </w:rPr>
        <w:t>48</w:t>
      </w:r>
      <w:r w:rsidRPr="005D18F4">
        <w:rPr>
          <w:rFonts w:ascii="Times New Roman" w:hAnsi="Times New Roman" w:cs="Times New Roman"/>
          <w:sz w:val="20"/>
          <w:shd w:val="clear" w:color="auto" w:fill="F5F5F5"/>
          <w:lang w:val="ru-RU"/>
        </w:rPr>
        <w:t xml:space="preserve"> </w:t>
      </w:r>
      <w:proofErr w:type="spellStart"/>
      <w:r w:rsidRPr="005D18F4">
        <w:rPr>
          <w:rFonts w:ascii="Times New Roman" w:hAnsi="Times New Roman" w:cs="Times New Roman"/>
          <w:sz w:val="20"/>
          <w:shd w:val="clear" w:color="auto" w:fill="F5F5F5"/>
          <w:lang w:val="ru-RU"/>
        </w:rPr>
        <w:t>грн</w:t>
      </w:r>
      <w:proofErr w:type="spellEnd"/>
      <w:r w:rsidRPr="005D18F4">
        <w:rPr>
          <w:rFonts w:ascii="Times New Roman" w:hAnsi="Times New Roman" w:cs="Times New Roman"/>
          <w:sz w:val="20"/>
          <w:shd w:val="clear" w:color="auto" w:fill="F5F5F5"/>
          <w:lang w:val="ru-RU"/>
        </w:rPr>
        <w:t xml:space="preserve"> за годину</w:t>
      </w: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B077AF" w:rsidRDefault="00B077AF">
      <w:pPr>
        <w:rPr>
          <w:rFonts w:ascii="Times New Roman" w:eastAsia="Arial" w:hAnsi="Times New Roman" w:cs="Times New Roman"/>
          <w:color w:val="000000"/>
          <w:kern w:val="3"/>
          <w:sz w:val="20"/>
          <w:szCs w:val="20"/>
          <w:shd w:val="clear" w:color="auto" w:fill="F5F5F5"/>
          <w:lang w:val="ru-RU" w:eastAsia="ru-RU"/>
        </w:rPr>
      </w:pPr>
      <w:r>
        <w:rPr>
          <w:rFonts w:ascii="Times New Roman" w:hAnsi="Times New Roman" w:cs="Times New Roman"/>
          <w:sz w:val="20"/>
          <w:shd w:val="clear" w:color="auto" w:fill="F5F5F5"/>
          <w:lang w:val="ru-RU"/>
        </w:rPr>
        <w:br w:type="page"/>
      </w:r>
    </w:p>
    <w:p w:rsidR="00B33E25" w:rsidRPr="00796D25" w:rsidRDefault="00B33E25" w:rsidP="00064661">
      <w:pPr>
        <w:pStyle w:val="1"/>
        <w:suppressAutoHyphens w:val="0"/>
        <w:spacing w:line="240" w:lineRule="auto"/>
        <w:ind w:left="7788"/>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Додаток 3</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БЮДЖЕТНІ ВИТРАТИ</w:t>
      </w: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на адміністрування регулювання для суб’єктів великого і середнього підприємництва</w:t>
      </w:r>
    </w:p>
    <w:p w:rsidR="00B33E25" w:rsidRPr="00796D25" w:rsidRDefault="00B33E25" w:rsidP="00B33E25">
      <w:pPr>
        <w:pStyle w:val="1"/>
        <w:jc w:val="center"/>
        <w:rPr>
          <w:rFonts w:ascii="Times New Roman" w:eastAsia="Times New Roman" w:hAnsi="Times New Roman"/>
          <w:b/>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Cs/>
          <w:color w:val="auto"/>
          <w:kern w:val="0"/>
          <w:sz w:val="28"/>
          <w:lang w:val="uk-UA"/>
        </w:rPr>
      </w:pPr>
      <w:r w:rsidRPr="00796D25">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p w:rsidR="00B33E25" w:rsidRPr="00796D25" w:rsidRDefault="00B33E25" w:rsidP="00B33E25">
      <w:pPr>
        <w:pStyle w:val="Textbody"/>
        <w:spacing w:after="0" w:line="240" w:lineRule="auto"/>
        <w:ind w:firstLine="3963"/>
        <w:jc w:val="center"/>
        <w:rPr>
          <w:rFonts w:ascii="Times New Roman" w:eastAsia="Times New Roman" w:hAnsi="Times New Roman"/>
          <w:color w:val="auto"/>
          <w:sz w:val="28"/>
          <w:shd w:val="clear" w:color="auto" w:fill="FFFFFF"/>
          <w:lang w:val="uk-UA"/>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02"/>
        <w:gridCol w:w="1729"/>
        <w:gridCol w:w="1451"/>
        <w:gridCol w:w="1548"/>
        <w:gridCol w:w="1897"/>
      </w:tblGrid>
      <w:tr w:rsidR="00B33E25" w:rsidRPr="00796D25" w:rsidTr="00B33E25">
        <w:trPr>
          <w:trHeight w:val="2713"/>
        </w:trPr>
        <w:tc>
          <w:tcPr>
            <w:tcW w:w="1043"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650"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Планові витрати часу на процедуру</w:t>
            </w:r>
          </w:p>
        </w:tc>
        <w:tc>
          <w:tcPr>
            <w:tcW w:w="863"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Вартість часу співробітника органу державної влади відповідної категорії (заробітна плата)</w:t>
            </w:r>
          </w:p>
        </w:tc>
        <w:tc>
          <w:tcPr>
            <w:tcW w:w="724"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Оцінка кількості процедур за рік, що припадають на одного суб’єкта</w:t>
            </w:r>
          </w:p>
        </w:tc>
        <w:tc>
          <w:tcPr>
            <w:tcW w:w="772"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Оцінка кількості  </w:t>
            </w:r>
          </w:p>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суб’єктів, що підпадають </w:t>
            </w:r>
          </w:p>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під дію процедури регулювання</w:t>
            </w:r>
          </w:p>
        </w:tc>
        <w:tc>
          <w:tcPr>
            <w:tcW w:w="947"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Витрати на адміністрування регулювання* (за рік), гривень</w:t>
            </w: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1. Облік суб’єкта </w:t>
            </w:r>
            <w:r w:rsidR="00B077AF" w:rsidRPr="00796D25">
              <w:rPr>
                <w:rFonts w:ascii="Times New Roman" w:eastAsia="Times New Roman" w:hAnsi="Times New Roman" w:cs="Times New Roman"/>
                <w:sz w:val="24"/>
                <w:szCs w:val="24"/>
              </w:rPr>
              <w:t>господарювання</w:t>
            </w:r>
            <w:r w:rsidRPr="00796D25">
              <w:rPr>
                <w:rFonts w:ascii="Times New Roman" w:eastAsia="Times New Roman" w:hAnsi="Times New Roman" w:cs="Times New Roman"/>
                <w:sz w:val="24"/>
                <w:szCs w:val="24"/>
              </w:rPr>
              <w:t>, що перебуває у сфері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камеральні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виїзні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3. Підготовка, затвердження та опрацювання одного окремого акта про </w:t>
            </w:r>
            <w:r w:rsidRPr="00796D25">
              <w:rPr>
                <w:rFonts w:ascii="Times New Roman" w:eastAsia="Times New Roman" w:hAnsi="Times New Roman" w:cs="Times New Roman"/>
                <w:sz w:val="24"/>
                <w:szCs w:val="24"/>
              </w:rPr>
              <w:lastRenderedPageBreak/>
              <w:t>порушення вимог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4. Реалізація одного окремого рішення щодо порушення вимог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5. Оскарження одного окремого рішення суб’єктами господарювання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6. Підготовка звітності за результатами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284D93">
        <w:trPr>
          <w:trHeight w:val="5709"/>
        </w:trPr>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7. Інші адміністративні процедури: </w:t>
            </w:r>
          </w:p>
          <w:p w:rsidR="00B33E25" w:rsidRPr="00796D25" w:rsidRDefault="00B33E25" w:rsidP="00B33E25">
            <w:pPr>
              <w:spacing w:before="150" w:after="150"/>
              <w:rPr>
                <w:rFonts w:ascii="Times New Roman" w:hAnsi="Times New Roman" w:cs="Times New Roman"/>
                <w:sz w:val="24"/>
                <w:szCs w:val="24"/>
              </w:rPr>
            </w:pPr>
            <w:r w:rsidRPr="00796D25">
              <w:rPr>
                <w:rFonts w:ascii="Times New Roman" w:hAnsi="Times New Roman" w:cs="Times New Roman"/>
                <w:sz w:val="24"/>
                <w:szCs w:val="24"/>
              </w:rPr>
              <w:t>витрати, пов’язані з переоформленням ліцензій</w:t>
            </w:r>
          </w:p>
          <w:p w:rsidR="00B33E25" w:rsidRPr="00796D25" w:rsidRDefault="00B33E25" w:rsidP="00B33E25">
            <w:pPr>
              <w:spacing w:before="150" w:after="150"/>
              <w:rPr>
                <w:rFonts w:ascii="Times New Roman" w:hAnsi="Times New Roman" w:cs="Times New Roman"/>
                <w:sz w:val="24"/>
                <w:szCs w:val="24"/>
              </w:rPr>
            </w:pPr>
          </w:p>
          <w:p w:rsidR="00B33E25" w:rsidRPr="00796D25" w:rsidRDefault="00B33E25" w:rsidP="00B33E25">
            <w:pPr>
              <w:jc w:val="both"/>
              <w:rPr>
                <w:rFonts w:ascii="Times New Roman" w:hAnsi="Times New Roman" w:cs="Times New Roman"/>
                <w:sz w:val="24"/>
                <w:szCs w:val="24"/>
              </w:rPr>
            </w:pPr>
            <w:r w:rsidRPr="00796D25">
              <w:rPr>
                <w:rFonts w:ascii="Times New Roman" w:hAnsi="Times New Roman" w:cs="Times New Roman"/>
                <w:sz w:val="24"/>
                <w:szCs w:val="24"/>
              </w:rPr>
              <w:t>Витрати, пов’язані з інформуванням закладів професійної (професійно-технічної) освіти про внесені зміни</w:t>
            </w:r>
          </w:p>
        </w:tc>
        <w:tc>
          <w:tcPr>
            <w:tcW w:w="650"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1,5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hAnsi="Times New Roman" w:cs="Times New Roman"/>
                <w:sz w:val="24"/>
                <w:szCs w:val="24"/>
              </w:rPr>
              <w:t>1</w:t>
            </w:r>
            <w:r w:rsidR="0040196B">
              <w:rPr>
                <w:rFonts w:ascii="Times New Roman" w:hAnsi="Times New Roman" w:cs="Times New Roman"/>
                <w:sz w:val="24"/>
                <w:szCs w:val="24"/>
              </w:rPr>
              <w:t>22</w:t>
            </w:r>
            <w:r w:rsidRPr="00796D25">
              <w:rPr>
                <w:rFonts w:ascii="Times New Roman" w:hAnsi="Times New Roman" w:cs="Times New Roman"/>
                <w:sz w:val="24"/>
                <w:szCs w:val="24"/>
              </w:rPr>
              <w:t>,</w:t>
            </w:r>
            <w:r w:rsidR="00284D93">
              <w:rPr>
                <w:rFonts w:ascii="Times New Roman" w:hAnsi="Times New Roman" w:cs="Times New Roman"/>
                <w:sz w:val="24"/>
                <w:szCs w:val="24"/>
              </w:rPr>
              <w:t>0</w:t>
            </w:r>
            <w:r w:rsidR="0040196B">
              <w:rPr>
                <w:rFonts w:ascii="Times New Roman" w:hAnsi="Times New Roman" w:cs="Times New Roman"/>
                <w:sz w:val="24"/>
                <w:szCs w:val="24"/>
              </w:rPr>
              <w:t>0</w:t>
            </w:r>
            <w:r w:rsidR="005D18F4">
              <w:rPr>
                <w:rFonts w:ascii="Times New Roman" w:hAnsi="Times New Roman" w:cs="Times New Roman"/>
                <w:sz w:val="24"/>
                <w:szCs w:val="24"/>
              </w:rPr>
              <w:t>*</w:t>
            </w:r>
            <w:r w:rsidRPr="00796D25">
              <w:rPr>
                <w:rFonts w:ascii="Times New Roman" w:hAnsi="Times New Roman" w:cs="Times New Roman"/>
                <w:sz w:val="24"/>
                <w:szCs w:val="24"/>
              </w:rPr>
              <w:t xml:space="preserve"> </w:t>
            </w:r>
            <w:r w:rsidRPr="00796D25">
              <w:rPr>
                <w:rFonts w:ascii="Times New Roman" w:eastAsia="Times New Roman" w:hAnsi="Times New Roman" w:cs="Times New Roman"/>
                <w:sz w:val="24"/>
                <w:szCs w:val="24"/>
              </w:rPr>
              <w:t>грн/год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Default="00B33E25" w:rsidP="002D018C">
            <w:pPr>
              <w:spacing w:after="0"/>
              <w:jc w:val="both"/>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B33E25" w:rsidRPr="00796D25" w:rsidRDefault="00141818" w:rsidP="002D018C">
            <w:pPr>
              <w:spacing w:after="0"/>
              <w:jc w:val="center"/>
              <w:rPr>
                <w:rFonts w:ascii="Times New Roman" w:hAnsi="Times New Roman" w:cs="Times New Roman"/>
                <w:sz w:val="24"/>
                <w:szCs w:val="24"/>
              </w:rPr>
            </w:pPr>
            <w:r>
              <w:rPr>
                <w:rFonts w:ascii="Times New Roman" w:hAnsi="Times New Roman" w:cs="Times New Roman"/>
                <w:sz w:val="24"/>
                <w:szCs w:val="24"/>
              </w:rPr>
              <w:t>1</w:t>
            </w:r>
            <w:r w:rsidR="00284D93">
              <w:rPr>
                <w:rFonts w:ascii="Times New Roman" w:hAnsi="Times New Roman" w:cs="Times New Roman"/>
                <w:sz w:val="24"/>
                <w:szCs w:val="24"/>
              </w:rPr>
              <w:t>71</w:t>
            </w:r>
            <w:r>
              <w:rPr>
                <w:rFonts w:ascii="Times New Roman" w:hAnsi="Times New Roman" w:cs="Times New Roman"/>
                <w:sz w:val="24"/>
                <w:szCs w:val="24"/>
              </w:rPr>
              <w:t>,</w:t>
            </w:r>
            <w:r w:rsidR="00284D93">
              <w:rPr>
                <w:rFonts w:ascii="Times New Roman" w:hAnsi="Times New Roman" w:cs="Times New Roman"/>
                <w:sz w:val="24"/>
                <w:szCs w:val="24"/>
              </w:rPr>
              <w:t>0</w:t>
            </w:r>
            <w:r>
              <w:rPr>
                <w:rFonts w:ascii="Times New Roman" w:hAnsi="Times New Roman" w:cs="Times New Roman"/>
                <w:sz w:val="24"/>
                <w:szCs w:val="24"/>
              </w:rPr>
              <w:t>1</w:t>
            </w:r>
            <w:r w:rsidR="005D18F4">
              <w:rPr>
                <w:rFonts w:ascii="Times New Roman" w:hAnsi="Times New Roman" w:cs="Times New Roman"/>
                <w:sz w:val="24"/>
                <w:szCs w:val="24"/>
              </w:rPr>
              <w:t>**</w:t>
            </w:r>
            <w:r>
              <w:rPr>
                <w:rFonts w:ascii="Times New Roman" w:hAnsi="Times New Roman" w:cs="Times New Roman"/>
                <w:sz w:val="24"/>
                <w:szCs w:val="24"/>
              </w:rPr>
              <w:t xml:space="preserve"> грн/год</w:t>
            </w: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eastAsia="Times New Roman" w:hAnsi="Times New Roman" w:cs="Times New Roman"/>
                <w:sz w:val="24"/>
                <w:szCs w:val="24"/>
              </w:rPr>
            </w:pPr>
          </w:p>
        </w:tc>
        <w:tc>
          <w:tcPr>
            <w:tcW w:w="724"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EF293E" w:rsidRDefault="0040196B"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EF293E" w:rsidRPr="00796D25" w:rsidRDefault="00EF293E" w:rsidP="002D018C">
            <w:pPr>
              <w:spacing w:after="0"/>
              <w:jc w:val="center"/>
              <w:rPr>
                <w:rFonts w:ascii="Times New Roman" w:eastAsia="Times New Roman" w:hAnsi="Times New Roman" w:cs="Times New Roman"/>
                <w:sz w:val="24"/>
                <w:szCs w:val="24"/>
              </w:rPr>
            </w:pPr>
          </w:p>
        </w:tc>
        <w:tc>
          <w:tcPr>
            <w:tcW w:w="772"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196B" w:rsidRPr="00796D25" w:rsidRDefault="0040196B" w:rsidP="002D018C">
            <w:pPr>
              <w:spacing w:after="0"/>
              <w:jc w:val="center"/>
              <w:rPr>
                <w:rFonts w:ascii="Times New Roman" w:eastAsia="Times New Roman" w:hAnsi="Times New Roman" w:cs="Times New Roman"/>
                <w:sz w:val="24"/>
                <w:szCs w:val="24"/>
              </w:rPr>
            </w:pPr>
          </w:p>
        </w:tc>
        <w:tc>
          <w:tcPr>
            <w:tcW w:w="947"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82 228,00</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Pr="00796D25"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513,03</w:t>
            </w:r>
          </w:p>
        </w:tc>
      </w:tr>
      <w:tr w:rsidR="00B33E25" w:rsidRPr="00796D25" w:rsidTr="00B33E25">
        <w:trPr>
          <w:trHeight w:val="70"/>
        </w:trPr>
        <w:tc>
          <w:tcPr>
            <w:tcW w:w="104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Разом за рік</w:t>
            </w:r>
          </w:p>
        </w:tc>
        <w:tc>
          <w:tcPr>
            <w:tcW w:w="650"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47" w:type="pct"/>
            <w:shd w:val="clear" w:color="auto" w:fill="auto"/>
          </w:tcPr>
          <w:p w:rsidR="00B33E25" w:rsidRPr="00796D25" w:rsidRDefault="005D18F4" w:rsidP="005D18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82 741</w:t>
            </w:r>
            <w:r w:rsidR="00B33E2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p>
        </w:tc>
      </w:tr>
      <w:tr w:rsidR="00B33E25" w:rsidRPr="00796D25" w:rsidTr="00B33E25">
        <w:tc>
          <w:tcPr>
            <w:tcW w:w="104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За 5 років</w:t>
            </w:r>
          </w:p>
        </w:tc>
        <w:tc>
          <w:tcPr>
            <w:tcW w:w="650"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47" w:type="pct"/>
            <w:shd w:val="clear" w:color="auto" w:fill="auto"/>
          </w:tcPr>
          <w:p w:rsidR="00B33E25" w:rsidRPr="00796D25" w:rsidRDefault="005D18F4" w:rsidP="005D18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82 741</w:t>
            </w:r>
            <w:r w:rsidR="00B33E2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p>
        </w:tc>
      </w:tr>
    </w:tbl>
    <w:p w:rsidR="00B33E25" w:rsidRDefault="00B33E25" w:rsidP="00B33E25">
      <w:pPr>
        <w:tabs>
          <w:tab w:val="left" w:pos="8364"/>
        </w:tabs>
        <w:spacing w:after="0"/>
        <w:jc w:val="both"/>
        <w:rPr>
          <w:rFonts w:ascii="Times New Roman" w:hAnsi="Times New Roman" w:cs="Times New Roman"/>
          <w:sz w:val="28"/>
          <w:szCs w:val="28"/>
        </w:rPr>
      </w:pPr>
    </w:p>
    <w:p w:rsidR="005D18F4" w:rsidRPr="005D18F4" w:rsidRDefault="005D18F4" w:rsidP="00B33E25">
      <w:pPr>
        <w:tabs>
          <w:tab w:val="left" w:pos="8364"/>
        </w:tabs>
        <w:spacing w:after="0"/>
        <w:jc w:val="both"/>
        <w:rPr>
          <w:rFonts w:ascii="Times New Roman" w:hAnsi="Times New Roman" w:cs="Times New Roman"/>
          <w:sz w:val="24"/>
          <w:szCs w:val="24"/>
        </w:rPr>
      </w:pPr>
      <w:r>
        <w:rPr>
          <w:rFonts w:ascii="Times New Roman" w:hAnsi="Times New Roman" w:cs="Times New Roman"/>
          <w:sz w:val="24"/>
          <w:szCs w:val="24"/>
        </w:rPr>
        <w:t>*</w:t>
      </w:r>
      <w:r w:rsidRPr="005D18F4">
        <w:rPr>
          <w:rFonts w:ascii="Times New Roman" w:hAnsi="Times New Roman" w:cs="Times New Roman"/>
          <w:sz w:val="24"/>
          <w:szCs w:val="24"/>
        </w:rPr>
        <w:t xml:space="preserve">Для розрахунку вартості часу співробітника МОН використано розмір посадового окладу головного спеціаліста відділу ліцензування освітньої діяльності, який станом на 01.01.2024 </w:t>
      </w:r>
      <w:r w:rsidRPr="005D18F4">
        <w:rPr>
          <w:rFonts w:ascii="Times New Roman" w:hAnsi="Times New Roman" w:cs="Times New Roman"/>
          <w:sz w:val="24"/>
          <w:szCs w:val="24"/>
        </w:rPr>
        <w:lastRenderedPageBreak/>
        <w:t>складає 22451 грн. Виходячи із цих даних, вартість однієї години робочого часу головного спеціаліста становить 122,00 грн</w:t>
      </w:r>
      <w:r>
        <w:rPr>
          <w:rFonts w:ascii="Times New Roman" w:hAnsi="Times New Roman" w:cs="Times New Roman"/>
          <w:sz w:val="24"/>
          <w:szCs w:val="24"/>
        </w:rPr>
        <w:t>.</w:t>
      </w:r>
    </w:p>
    <w:p w:rsidR="00284D93" w:rsidRPr="00284D93" w:rsidRDefault="005D18F4" w:rsidP="005D18F4">
      <w:pPr>
        <w:tabs>
          <w:tab w:val="left" w:pos="8364"/>
        </w:tabs>
        <w:spacing w:before="120" w:after="0"/>
        <w:jc w:val="both"/>
        <w:rPr>
          <w:rFonts w:ascii="Times New Roman" w:hAnsi="Times New Roman" w:cs="Times New Roman"/>
          <w:sz w:val="28"/>
          <w:szCs w:val="28"/>
        </w:rPr>
      </w:pPr>
      <w:r>
        <w:rPr>
          <w:rFonts w:ascii="Times New Roman" w:hAnsi="Times New Roman" w:cs="Times New Roman"/>
        </w:rPr>
        <w:t>**</w:t>
      </w:r>
      <w:r w:rsidR="00284D93" w:rsidRPr="00284D93">
        <w:rPr>
          <w:rFonts w:ascii="Times New Roman" w:hAnsi="Times New Roman" w:cs="Times New Roman"/>
        </w:rPr>
        <w:t>Вартість часу співробітника органу державної влади відповідної категорії (заробітна плата) обраховано з урахуванням посадового окладу головного спеціаліста міністерства (29 186 грн.), встановленого схемою посадових окладів на посадах державної служби з урахуванням сімей і рівнів посад, юрисдикції та типів державних органів у 2024 році, затвердженої постановою Кабінету Міністрів України від 29 грудня 2023 р. № 1409 «Питання оплати праці державних службовців на основі класифікації посад у 2024 році (256 дні з урахуванням святкових днів) та 8-годинного робочого дня. Вартість часу співробітника органу державної влади відповідної категорії (заробітна плата) становить: 29186 х 12 / 256 х 8 = 171,01 грн.</w:t>
      </w:r>
    </w:p>
    <w:sectPr w:rsidR="00284D93" w:rsidRPr="00284D93" w:rsidSect="000F6695">
      <w:headerReference w:type="default" r:id="rId8"/>
      <w:pgSz w:w="11906" w:h="16838"/>
      <w:pgMar w:top="851" w:right="85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376" w:rsidRDefault="00445376" w:rsidP="00CA62D9">
      <w:pPr>
        <w:spacing w:after="0" w:line="240" w:lineRule="auto"/>
      </w:pPr>
      <w:r>
        <w:separator/>
      </w:r>
    </w:p>
  </w:endnote>
  <w:endnote w:type="continuationSeparator" w:id="0">
    <w:p w:rsidR="00445376" w:rsidRDefault="00445376" w:rsidP="00CA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Yu Gothic"/>
    <w:charset w:val="80"/>
    <w:family w:val="auto"/>
    <w:pitch w:val="default"/>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376" w:rsidRDefault="00445376" w:rsidP="00CA62D9">
      <w:pPr>
        <w:spacing w:after="0" w:line="240" w:lineRule="auto"/>
      </w:pPr>
      <w:r>
        <w:separator/>
      </w:r>
    </w:p>
  </w:footnote>
  <w:footnote w:type="continuationSeparator" w:id="0">
    <w:p w:rsidR="00445376" w:rsidRDefault="00445376" w:rsidP="00CA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408460"/>
      <w:docPartObj>
        <w:docPartGallery w:val="Page Numbers (Top of Page)"/>
        <w:docPartUnique/>
      </w:docPartObj>
    </w:sdtPr>
    <w:sdtEndPr/>
    <w:sdtContent>
      <w:p w:rsidR="007608C4" w:rsidRDefault="007608C4">
        <w:pPr>
          <w:pStyle w:val="ab"/>
          <w:jc w:val="center"/>
        </w:pPr>
        <w:r>
          <w:fldChar w:fldCharType="begin"/>
        </w:r>
        <w:r>
          <w:instrText>PAGE   \* MERGEFORMAT</w:instrText>
        </w:r>
        <w:r>
          <w:fldChar w:fldCharType="separate"/>
        </w:r>
        <w:r w:rsidR="000F6695">
          <w:rPr>
            <w:noProof/>
          </w:rPr>
          <w:t>22</w:t>
        </w:r>
        <w:r>
          <w:fldChar w:fldCharType="end"/>
        </w:r>
      </w:p>
    </w:sdtContent>
  </w:sdt>
  <w:p w:rsidR="007608C4" w:rsidRDefault="007608C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BDE"/>
    <w:multiLevelType w:val="multilevel"/>
    <w:tmpl w:val="AD9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F0B7F"/>
    <w:multiLevelType w:val="hybridMultilevel"/>
    <w:tmpl w:val="F9C82F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67D41FA"/>
    <w:multiLevelType w:val="multilevel"/>
    <w:tmpl w:val="034793D8"/>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3" w15:restartNumberingAfterBreak="0">
    <w:nsid w:val="7AE85BFD"/>
    <w:multiLevelType w:val="hybridMultilevel"/>
    <w:tmpl w:val="39CEE28C"/>
    <w:lvl w:ilvl="0" w:tplc="BFFEE38E">
      <w:numFmt w:val="bullet"/>
      <w:lvlText w:val="-"/>
      <w:lvlJc w:val="left"/>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3"/>
    <w:rsid w:val="000102B0"/>
    <w:rsid w:val="00011ED8"/>
    <w:rsid w:val="0001645E"/>
    <w:rsid w:val="00021BDE"/>
    <w:rsid w:val="00063148"/>
    <w:rsid w:val="00064661"/>
    <w:rsid w:val="00072252"/>
    <w:rsid w:val="000849C1"/>
    <w:rsid w:val="000A4F80"/>
    <w:rsid w:val="000C6EBE"/>
    <w:rsid w:val="000D7C4E"/>
    <w:rsid w:val="000F0E17"/>
    <w:rsid w:val="000F6695"/>
    <w:rsid w:val="00113836"/>
    <w:rsid w:val="001414DC"/>
    <w:rsid w:val="00141818"/>
    <w:rsid w:val="001418BB"/>
    <w:rsid w:val="00143B4B"/>
    <w:rsid w:val="00160B3B"/>
    <w:rsid w:val="00186CC6"/>
    <w:rsid w:val="001979B9"/>
    <w:rsid w:val="001A3C19"/>
    <w:rsid w:val="001B1745"/>
    <w:rsid w:val="001B1810"/>
    <w:rsid w:val="001C18D4"/>
    <w:rsid w:val="001D7419"/>
    <w:rsid w:val="001D758A"/>
    <w:rsid w:val="001E3C4C"/>
    <w:rsid w:val="00207AC2"/>
    <w:rsid w:val="002116B2"/>
    <w:rsid w:val="0021302D"/>
    <w:rsid w:val="00255877"/>
    <w:rsid w:val="0027345E"/>
    <w:rsid w:val="00284D93"/>
    <w:rsid w:val="002863A5"/>
    <w:rsid w:val="00287583"/>
    <w:rsid w:val="002A31EC"/>
    <w:rsid w:val="002A42CE"/>
    <w:rsid w:val="002D018C"/>
    <w:rsid w:val="002E6F51"/>
    <w:rsid w:val="00304030"/>
    <w:rsid w:val="00320341"/>
    <w:rsid w:val="0032146C"/>
    <w:rsid w:val="0033349D"/>
    <w:rsid w:val="00347EA0"/>
    <w:rsid w:val="00352569"/>
    <w:rsid w:val="00357072"/>
    <w:rsid w:val="00357425"/>
    <w:rsid w:val="003675F0"/>
    <w:rsid w:val="0037731E"/>
    <w:rsid w:val="003844A0"/>
    <w:rsid w:val="00392CAF"/>
    <w:rsid w:val="003B6CEA"/>
    <w:rsid w:val="003D17E4"/>
    <w:rsid w:val="003E30E1"/>
    <w:rsid w:val="003E533F"/>
    <w:rsid w:val="003F0EA2"/>
    <w:rsid w:val="0040196B"/>
    <w:rsid w:val="004050CD"/>
    <w:rsid w:val="00407A8B"/>
    <w:rsid w:val="00417B8B"/>
    <w:rsid w:val="00445376"/>
    <w:rsid w:val="004462E2"/>
    <w:rsid w:val="004465C4"/>
    <w:rsid w:val="00451753"/>
    <w:rsid w:val="00453226"/>
    <w:rsid w:val="00453FF9"/>
    <w:rsid w:val="004719EC"/>
    <w:rsid w:val="00473D30"/>
    <w:rsid w:val="00496BD1"/>
    <w:rsid w:val="004A18BC"/>
    <w:rsid w:val="004B29FC"/>
    <w:rsid w:val="004B4B84"/>
    <w:rsid w:val="004D3222"/>
    <w:rsid w:val="004E55F5"/>
    <w:rsid w:val="00506147"/>
    <w:rsid w:val="005956AA"/>
    <w:rsid w:val="005962E6"/>
    <w:rsid w:val="005B5F9F"/>
    <w:rsid w:val="005B7498"/>
    <w:rsid w:val="005D18F4"/>
    <w:rsid w:val="005E3204"/>
    <w:rsid w:val="005E3923"/>
    <w:rsid w:val="005F1C27"/>
    <w:rsid w:val="005F5294"/>
    <w:rsid w:val="00623BC3"/>
    <w:rsid w:val="00642CBC"/>
    <w:rsid w:val="0065088D"/>
    <w:rsid w:val="00677FBE"/>
    <w:rsid w:val="0068345B"/>
    <w:rsid w:val="006867BC"/>
    <w:rsid w:val="00695B84"/>
    <w:rsid w:val="006A395C"/>
    <w:rsid w:val="006B3FC2"/>
    <w:rsid w:val="006F0037"/>
    <w:rsid w:val="006F6BE8"/>
    <w:rsid w:val="00715576"/>
    <w:rsid w:val="0073054F"/>
    <w:rsid w:val="00730B2C"/>
    <w:rsid w:val="007608C4"/>
    <w:rsid w:val="0076195D"/>
    <w:rsid w:val="00766B19"/>
    <w:rsid w:val="007711EC"/>
    <w:rsid w:val="00792561"/>
    <w:rsid w:val="007C07DB"/>
    <w:rsid w:val="007C20F5"/>
    <w:rsid w:val="007C60C3"/>
    <w:rsid w:val="007E532D"/>
    <w:rsid w:val="007F1AA6"/>
    <w:rsid w:val="008045E3"/>
    <w:rsid w:val="00807C50"/>
    <w:rsid w:val="008127A3"/>
    <w:rsid w:val="00815C4F"/>
    <w:rsid w:val="00841EE2"/>
    <w:rsid w:val="00845F69"/>
    <w:rsid w:val="008562F6"/>
    <w:rsid w:val="00864DDA"/>
    <w:rsid w:val="00866469"/>
    <w:rsid w:val="008816AB"/>
    <w:rsid w:val="008A7093"/>
    <w:rsid w:val="008C7633"/>
    <w:rsid w:val="008E3184"/>
    <w:rsid w:val="0090265A"/>
    <w:rsid w:val="00914BCC"/>
    <w:rsid w:val="00945159"/>
    <w:rsid w:val="00961371"/>
    <w:rsid w:val="00966A4D"/>
    <w:rsid w:val="00983D6B"/>
    <w:rsid w:val="00995264"/>
    <w:rsid w:val="009A2779"/>
    <w:rsid w:val="009C0407"/>
    <w:rsid w:val="009E0A2B"/>
    <w:rsid w:val="009E70F1"/>
    <w:rsid w:val="009F2D21"/>
    <w:rsid w:val="00A0523D"/>
    <w:rsid w:val="00A304F1"/>
    <w:rsid w:val="00A73079"/>
    <w:rsid w:val="00A73437"/>
    <w:rsid w:val="00AA3655"/>
    <w:rsid w:val="00AB4F90"/>
    <w:rsid w:val="00AC4B1D"/>
    <w:rsid w:val="00AD1C4D"/>
    <w:rsid w:val="00B033C2"/>
    <w:rsid w:val="00B077AF"/>
    <w:rsid w:val="00B15B9E"/>
    <w:rsid w:val="00B21E2D"/>
    <w:rsid w:val="00B33E25"/>
    <w:rsid w:val="00B469C4"/>
    <w:rsid w:val="00B5133B"/>
    <w:rsid w:val="00B52FAD"/>
    <w:rsid w:val="00B75857"/>
    <w:rsid w:val="00B831C4"/>
    <w:rsid w:val="00B84B9A"/>
    <w:rsid w:val="00B865C3"/>
    <w:rsid w:val="00B93263"/>
    <w:rsid w:val="00B94B8A"/>
    <w:rsid w:val="00BA6B78"/>
    <w:rsid w:val="00BC2AB3"/>
    <w:rsid w:val="00BC4175"/>
    <w:rsid w:val="00BC718F"/>
    <w:rsid w:val="00C05C28"/>
    <w:rsid w:val="00C07F7E"/>
    <w:rsid w:val="00C264E5"/>
    <w:rsid w:val="00C360A8"/>
    <w:rsid w:val="00C45C22"/>
    <w:rsid w:val="00C84256"/>
    <w:rsid w:val="00C925FB"/>
    <w:rsid w:val="00C97D96"/>
    <w:rsid w:val="00CA4806"/>
    <w:rsid w:val="00CA62D9"/>
    <w:rsid w:val="00CD16C6"/>
    <w:rsid w:val="00CD33F4"/>
    <w:rsid w:val="00D21722"/>
    <w:rsid w:val="00D240A6"/>
    <w:rsid w:val="00D301FB"/>
    <w:rsid w:val="00D305B4"/>
    <w:rsid w:val="00D42DE4"/>
    <w:rsid w:val="00D53C2C"/>
    <w:rsid w:val="00D55A06"/>
    <w:rsid w:val="00D76C3E"/>
    <w:rsid w:val="00D81FA0"/>
    <w:rsid w:val="00DA389E"/>
    <w:rsid w:val="00DD4F00"/>
    <w:rsid w:val="00DF606F"/>
    <w:rsid w:val="00E00380"/>
    <w:rsid w:val="00E16502"/>
    <w:rsid w:val="00E179D2"/>
    <w:rsid w:val="00E179F9"/>
    <w:rsid w:val="00E21D1F"/>
    <w:rsid w:val="00E35251"/>
    <w:rsid w:val="00E47BBE"/>
    <w:rsid w:val="00E67627"/>
    <w:rsid w:val="00E702FC"/>
    <w:rsid w:val="00E73713"/>
    <w:rsid w:val="00E941BA"/>
    <w:rsid w:val="00E96179"/>
    <w:rsid w:val="00EA160B"/>
    <w:rsid w:val="00EA743E"/>
    <w:rsid w:val="00EB3CA1"/>
    <w:rsid w:val="00ED290F"/>
    <w:rsid w:val="00ED421B"/>
    <w:rsid w:val="00ED4A55"/>
    <w:rsid w:val="00ED5711"/>
    <w:rsid w:val="00EE18DE"/>
    <w:rsid w:val="00EE72CD"/>
    <w:rsid w:val="00EF293E"/>
    <w:rsid w:val="00F17D1D"/>
    <w:rsid w:val="00F20314"/>
    <w:rsid w:val="00F4016D"/>
    <w:rsid w:val="00F4541C"/>
    <w:rsid w:val="00F45513"/>
    <w:rsid w:val="00F7374F"/>
    <w:rsid w:val="00F84492"/>
    <w:rsid w:val="00FB48EC"/>
    <w:rsid w:val="00FF266A"/>
    <w:rsid w:val="00FF7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4FF9"/>
  <w15:chartTrackingRefBased/>
  <w15:docId w15:val="{70A13F5B-74C1-4BEF-B44E-552B6D59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D240A6"/>
  </w:style>
  <w:style w:type="paragraph" w:customStyle="1" w:styleId="1">
    <w:name w:val="Звичайний1"/>
    <w:rsid w:val="00D240A6"/>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table" w:styleId="a3">
    <w:name w:val="Table Grid"/>
    <w:basedOn w:val="a1"/>
    <w:uiPriority w:val="39"/>
    <w:rsid w:val="0018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42DE4"/>
    <w:pPr>
      <w:ind w:left="720"/>
      <w:contextualSpacing/>
    </w:pPr>
  </w:style>
  <w:style w:type="paragraph" w:customStyle="1" w:styleId="rvps12">
    <w:name w:val="rvps12"/>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B33E25"/>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B33E25"/>
    <w:pPr>
      <w:spacing w:after="140" w:line="288" w:lineRule="auto"/>
    </w:pPr>
  </w:style>
  <w:style w:type="paragraph" w:customStyle="1" w:styleId="TableContents">
    <w:name w:val="Table Contents"/>
    <w:basedOn w:val="Standard"/>
    <w:rsid w:val="00B33E25"/>
  </w:style>
  <w:style w:type="character" w:styleId="a6">
    <w:name w:val="Hyperlink"/>
    <w:uiPriority w:val="99"/>
    <w:unhideWhenUsed/>
    <w:rsid w:val="00B33E25"/>
    <w:rPr>
      <w:color w:val="0563C1"/>
      <w:u w:val="single"/>
    </w:rPr>
  </w:style>
  <w:style w:type="character" w:customStyle="1" w:styleId="2">
    <w:name w:val="Основной текст (2)"/>
    <w:rsid w:val="00B33E25"/>
    <w:rPr>
      <w:rFonts w:ascii="Times New Roman" w:eastAsia="Times New Roman" w:hAnsi="Times New Roman"/>
      <w:color w:val="000000"/>
      <w:spacing w:val="0"/>
      <w:w w:val="100"/>
      <w:position w:val="0"/>
      <w:sz w:val="28"/>
      <w:u w:val="none"/>
      <w:lang w:val="uk-UA"/>
    </w:rPr>
  </w:style>
  <w:style w:type="paragraph" w:styleId="a7">
    <w:name w:val="Balloon Text"/>
    <w:basedOn w:val="a"/>
    <w:link w:val="a8"/>
    <w:uiPriority w:val="99"/>
    <w:semiHidden/>
    <w:unhideWhenUsed/>
    <w:rsid w:val="00F7374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7374F"/>
    <w:rPr>
      <w:rFonts w:ascii="Segoe UI" w:hAnsi="Segoe UI" w:cs="Segoe UI"/>
      <w:sz w:val="18"/>
      <w:szCs w:val="18"/>
    </w:rPr>
  </w:style>
  <w:style w:type="character" w:customStyle="1" w:styleId="rvts0">
    <w:name w:val="rvts0"/>
    <w:basedOn w:val="a0"/>
    <w:rsid w:val="005E3204"/>
  </w:style>
  <w:style w:type="paragraph" w:styleId="a9">
    <w:name w:val="Normal (Web)"/>
    <w:basedOn w:val="a"/>
    <w:uiPriority w:val="99"/>
    <w:unhideWhenUsed/>
    <w:rsid w:val="00F454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basedOn w:val="a0"/>
    <w:uiPriority w:val="20"/>
    <w:qFormat/>
    <w:rsid w:val="004B29FC"/>
    <w:rPr>
      <w:i/>
      <w:iCs/>
    </w:rPr>
  </w:style>
  <w:style w:type="paragraph" w:styleId="ab">
    <w:name w:val="header"/>
    <w:basedOn w:val="a"/>
    <w:link w:val="ac"/>
    <w:uiPriority w:val="99"/>
    <w:unhideWhenUsed/>
    <w:rsid w:val="00CA62D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A62D9"/>
  </w:style>
  <w:style w:type="paragraph" w:styleId="ad">
    <w:name w:val="footer"/>
    <w:basedOn w:val="a"/>
    <w:link w:val="ae"/>
    <w:uiPriority w:val="99"/>
    <w:unhideWhenUsed/>
    <w:rsid w:val="00CA62D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A62D9"/>
  </w:style>
  <w:style w:type="character" w:customStyle="1" w:styleId="a5">
    <w:name w:val="Абзац списку Знак"/>
    <w:link w:val="a4"/>
    <w:uiPriority w:val="99"/>
    <w:rsid w:val="00CD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5458">
      <w:bodyDiv w:val="1"/>
      <w:marLeft w:val="0"/>
      <w:marRight w:val="0"/>
      <w:marTop w:val="0"/>
      <w:marBottom w:val="0"/>
      <w:divBdr>
        <w:top w:val="none" w:sz="0" w:space="0" w:color="auto"/>
        <w:left w:val="none" w:sz="0" w:space="0" w:color="auto"/>
        <w:bottom w:val="none" w:sz="0" w:space="0" w:color="auto"/>
        <w:right w:val="none" w:sz="0" w:space="0" w:color="auto"/>
      </w:divBdr>
    </w:div>
    <w:div w:id="1123811732">
      <w:bodyDiv w:val="1"/>
      <w:marLeft w:val="0"/>
      <w:marRight w:val="0"/>
      <w:marTop w:val="0"/>
      <w:marBottom w:val="0"/>
      <w:divBdr>
        <w:top w:val="none" w:sz="0" w:space="0" w:color="auto"/>
        <w:left w:val="none" w:sz="0" w:space="0" w:color="auto"/>
        <w:bottom w:val="none" w:sz="0" w:space="0" w:color="auto"/>
        <w:right w:val="none" w:sz="0" w:space="0" w:color="auto"/>
      </w:divBdr>
    </w:div>
    <w:div w:id="1614361935">
      <w:bodyDiv w:val="1"/>
      <w:marLeft w:val="0"/>
      <w:marRight w:val="0"/>
      <w:marTop w:val="0"/>
      <w:marBottom w:val="0"/>
      <w:divBdr>
        <w:top w:val="none" w:sz="0" w:space="0" w:color="auto"/>
        <w:left w:val="none" w:sz="0" w:space="0" w:color="auto"/>
        <w:bottom w:val="none" w:sz="0" w:space="0" w:color="auto"/>
        <w:right w:val="none" w:sz="0" w:space="0" w:color="auto"/>
      </w:divBdr>
    </w:div>
    <w:div w:id="2052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y.edb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23</Pages>
  <Words>25410</Words>
  <Characters>14485</Characters>
  <Application>Microsoft Office Word</Application>
  <DocSecurity>0</DocSecurity>
  <Lines>120</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Іваненко Людмила</dc:creator>
  <cp:keywords/>
  <dc:description/>
  <cp:lastModifiedBy>Іваненко Людмила</cp:lastModifiedBy>
  <cp:revision>16</cp:revision>
  <cp:lastPrinted>2024-11-01T11:05:00Z</cp:lastPrinted>
  <dcterms:created xsi:type="dcterms:W3CDTF">2024-11-07T12:38:00Z</dcterms:created>
  <dcterms:modified xsi:type="dcterms:W3CDTF">2024-11-12T08:46:00Z</dcterms:modified>
</cp:coreProperties>
</file>