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A" w:rsidRDefault="00954D8A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3B6CA0" w:rsidRDefault="003B6CA0" w:rsidP="003B6CA0">
      <w:pPr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z w:val="28"/>
        </w:rPr>
        <w:t xml:space="preserve"> постанови Кабінету Міністрів України </w:t>
      </w:r>
    </w:p>
    <w:p w:rsidR="003B6CA0" w:rsidRPr="007E69D0" w:rsidRDefault="003B6CA0" w:rsidP="003B6CA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>«</w:t>
      </w:r>
      <w:r w:rsidRPr="003B6CA0">
        <w:rPr>
          <w:b/>
          <w:sz w:val="28"/>
        </w:rPr>
        <w:t>Порядок утворення та функціонування спеціальних груп вихованців з</w:t>
      </w:r>
      <w:r>
        <w:rPr>
          <w:b/>
          <w:sz w:val="28"/>
        </w:rPr>
        <w:t>акладів дошкільної освіти»</w:t>
      </w:r>
    </w:p>
    <w:p w:rsidR="003B6CA0" w:rsidRDefault="003B6CA0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:rsidR="003B6CA0" w:rsidRDefault="007842B5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Метою </w:t>
      </w:r>
      <w:proofErr w:type="spellStart"/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проєкту</w:t>
      </w:r>
      <w:proofErr w:type="spellEnd"/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постанови є визначення чітких організаційних, правових та методичних засад щодо утворення та функціонування спеціальних груп вихованців в закладах дошкільної освіти. Спеціальні групи сприятимуть забезпеченню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індивідуального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підходу в 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організації освітнього процесу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, підтримки розвитку дітей з особливими освітніми потребами та створенню умов для їхнього повноцінного соціального та емоційного розвитку.</w:t>
      </w:r>
    </w:p>
    <w:p w:rsidR="007842B5" w:rsidRPr="007842B5" w:rsidRDefault="007842B5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6CA0" w:rsidRDefault="003B6CA0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Обґрунтування необхідності прийняття акта</w:t>
      </w:r>
    </w:p>
    <w:p w:rsidR="00DD3B11" w:rsidRDefault="00DD3B11" w:rsidP="005B6CC1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3B11">
        <w:rPr>
          <w:rFonts w:ascii="Times New Roman" w:eastAsia="Times New Roman" w:hAnsi="Times New Roman"/>
          <w:color w:val="000000"/>
          <w:sz w:val="28"/>
        </w:rPr>
        <w:t>Розроблення</w:t>
      </w:r>
      <w:r w:rsidR="007221E3" w:rsidRPr="007221E3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проєкту</w:t>
      </w:r>
      <w:proofErr w:type="spellEnd"/>
      <w:r w:rsidR="007221E3" w:rsidRPr="007221E3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є необхідним для забезпечення реалізації статті 13  Закону України «Про дошкільну освіту», якою передбачено утворення та функціонування спеціальних груп у закладах дошкільної освіти. Згідно з абзацом </w:t>
      </w:r>
      <w:r>
        <w:rPr>
          <w:rFonts w:ascii="Times New Roman" w:hAnsi="Times New Roman"/>
          <w:color w:val="000000" w:themeColor="text1"/>
          <w:sz w:val="28"/>
          <w:szCs w:val="28"/>
        </w:rPr>
        <w:t>третім частини п’ятої цієї статті, спеціальні групи повинні  утворюватися та функціонувати  відповідно до затвердженого порядку.</w:t>
      </w:r>
    </w:p>
    <w:p w:rsidR="005B6CC1" w:rsidRPr="00915900" w:rsidRDefault="005B6CC1" w:rsidP="005B6CC1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Україна є підписантом міжнародних угод, таких як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Конвенція ООН про права осіб з інвалідністю. </w:t>
      </w: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Прийняття цього акту є важливим кроком до виконання зобов’язань, взятих Україною на міжнародній арені.</w:t>
      </w:r>
    </w:p>
    <w:p w:rsidR="00DD3B11" w:rsidRDefault="00DD3B11" w:rsidP="00DD3B11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proofErr w:type="spellStart"/>
      <w:r>
        <w:rPr>
          <w:rFonts w:ascii="Times New Roman" w:eastAsia="Times New Roman" w:hAnsi="Times New Roman"/>
          <w:b/>
          <w:sz w:val="28"/>
        </w:rPr>
        <w:t>проєкту</w:t>
      </w:r>
      <w:proofErr w:type="spellEnd"/>
      <w:r w:rsidR="00A03396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акта</w:t>
      </w:r>
      <w:proofErr w:type="spellEnd"/>
    </w:p>
    <w:p w:rsidR="00915900" w:rsidRPr="003A593B" w:rsidRDefault="003B6CA0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Суть </w:t>
      </w:r>
      <w:proofErr w:type="spellStart"/>
      <w:r>
        <w:rPr>
          <w:rFonts w:ascii="Times New Roman" w:eastAsia="Times New Roman" w:hAnsi="Times New Roman"/>
          <w:sz w:val="28"/>
        </w:rPr>
        <w:t>проєкту</w:t>
      </w:r>
      <w:proofErr w:type="spellEnd"/>
      <w:r w:rsidR="00A03396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полягає у </w:t>
      </w:r>
      <w:r w:rsidR="00915900">
        <w:rPr>
          <w:rFonts w:ascii="Times New Roman" w:eastAsia="Times New Roman" w:hAnsi="Times New Roman"/>
          <w:sz w:val="28"/>
        </w:rPr>
        <w:t xml:space="preserve">визначенні механізму </w:t>
      </w:r>
      <w:r w:rsidR="003F52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формування </w:t>
      </w:r>
      <w:r w:rsidR="00D865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спеціальних </w:t>
      </w:r>
      <w:r w:rsidR="003F52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груп за різними  освітніми потребами</w:t>
      </w:r>
      <w:r w:rsidR="003A5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593B" w:rsidRPr="003A5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умов для інтеграції  </w:t>
      </w:r>
      <w:r w:rsidR="00D865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 соціалізації </w:t>
      </w:r>
      <w:r w:rsidR="003A593B" w:rsidRPr="003A5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дітей з особливими освітніми потребами</w:t>
      </w:r>
      <w:r w:rsidR="00D865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та забезпечення спеціального</w:t>
      </w:r>
      <w:r w:rsidR="003A593B" w:rsidRPr="003A5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освітнього середовища</w:t>
      </w:r>
      <w:r w:rsidR="003F524F" w:rsidRPr="003A593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6CA0" w:rsidRPr="00516577" w:rsidRDefault="003B6CA0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Проєктом</w:t>
      </w:r>
      <w:proofErr w:type="spellEnd"/>
      <w:r w:rsidR="00A0339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пропонується </w:t>
      </w:r>
      <w:r w:rsidR="00516577" w:rsidRPr="005165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створення </w:t>
      </w:r>
      <w:r w:rsidR="00D865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спеціального освітнього середовища </w:t>
      </w:r>
      <w:r w:rsidR="00516577" w:rsidRPr="005165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ефективного функціонуванн</w:t>
      </w:r>
      <w:r w:rsidR="00D865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я спеціальних груп в </w:t>
      </w:r>
      <w:r w:rsidR="00516577" w:rsidRPr="005165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закладах </w:t>
      </w:r>
      <w:r w:rsidR="00D865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дошкільної </w:t>
      </w:r>
      <w:r w:rsidR="00516577" w:rsidRPr="005165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освіти, що дозволить покращити умови для навчання </w:t>
      </w:r>
      <w:r w:rsidR="00E715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та розвитку </w:t>
      </w:r>
      <w:r w:rsidR="00516577" w:rsidRPr="0051657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дітей з особливими освітніми потребами</w:t>
      </w:r>
      <w:r w:rsidR="00D865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B6CA0" w:rsidRDefault="003B6CA0" w:rsidP="003B6CA0">
      <w:pPr>
        <w:pStyle w:val="rvps2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3B6CA0" w:rsidRDefault="003B6CA0" w:rsidP="003B6CA0">
      <w:pPr>
        <w:pStyle w:val="1"/>
        <w:tabs>
          <w:tab w:val="left" w:pos="900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bookmarkStart w:id="0" w:name="n1983"/>
      <w:bookmarkStart w:id="1" w:name="n1984"/>
      <w:bookmarkEnd w:id="0"/>
      <w:bookmarkEnd w:id="1"/>
      <w:r>
        <w:rPr>
          <w:rFonts w:ascii="Times New Roman" w:eastAsia="Times New Roman" w:hAnsi="Times New Roman"/>
          <w:b/>
          <w:sz w:val="28"/>
        </w:rPr>
        <w:t>4.Правові аспекти</w:t>
      </w:r>
    </w:p>
    <w:p w:rsidR="003B6CA0" w:rsidRDefault="003B6CA0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закони України «Про </w:t>
      </w:r>
      <w:r w:rsidR="00B412C6">
        <w:rPr>
          <w:rFonts w:ascii="Times New Roman" w:eastAsia="Times New Roman" w:hAnsi="Times New Roman"/>
          <w:sz w:val="28"/>
        </w:rPr>
        <w:t>освіту», «Про дошкільну освіту», «Про повну загальну середню освіту».</w:t>
      </w:r>
    </w:p>
    <w:p w:rsidR="00B412C6" w:rsidRDefault="00B412C6" w:rsidP="009A02C3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:rsidR="003B6CA0" w:rsidRDefault="003B6CA0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проєкту</w:t>
      </w:r>
      <w:proofErr w:type="spellEnd"/>
      <w:r w:rsidR="00A03396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не потребує додаткових фінансових чи інших витрат з державного чи місцевих бюджетів.</w:t>
      </w:r>
    </w:p>
    <w:p w:rsidR="003B6CA0" w:rsidRDefault="003B6CA0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954D8A" w:rsidRDefault="00954D8A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954D8A" w:rsidRDefault="00954D8A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954D8A" w:rsidRDefault="00954D8A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954D8A" w:rsidRDefault="00954D8A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954D8A" w:rsidRDefault="00954D8A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954D8A" w:rsidRDefault="00954D8A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3B6CA0" w:rsidRDefault="003B6CA0" w:rsidP="003B6CA0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Проєкт</w:t>
      </w:r>
      <w:proofErr w:type="spellEnd"/>
      <w:r w:rsidR="00A03396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 w:rsidR="00A03396">
        <w:rPr>
          <w:rFonts w:ascii="Times New Roman" w:eastAsia="Times New Roman" w:hAnsi="Times New Roman"/>
          <w:sz w:val="28"/>
        </w:rPr>
        <w:t xml:space="preserve"> </w:t>
      </w:r>
      <w:r w:rsidR="00A23005">
        <w:rPr>
          <w:rFonts w:ascii="Times New Roman" w:eastAsia="Times New Roman" w:hAnsi="Times New Roman"/>
          <w:sz w:val="28"/>
        </w:rPr>
        <w:t xml:space="preserve">знаходився на публічному громадському обговоренні з </w:t>
      </w:r>
      <w:r w:rsidR="00C95CEF">
        <w:rPr>
          <w:rFonts w:ascii="Times New Roman" w:eastAsia="Times New Roman" w:hAnsi="Times New Roman"/>
          <w:sz w:val="28"/>
        </w:rPr>
        <w:t>10 по 25 жовтня 2024 року</w:t>
      </w:r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Проєкт</w:t>
      </w:r>
      <w:proofErr w:type="spellEnd"/>
      <w:r w:rsidR="00A03396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не стосується сфери трудових відносин. </w:t>
      </w:r>
      <w:proofErr w:type="spellStart"/>
      <w:r>
        <w:rPr>
          <w:rFonts w:ascii="Times New Roman" w:eastAsia="Times New Roman" w:hAnsi="Times New Roman"/>
          <w:sz w:val="28"/>
        </w:rPr>
        <w:t>Проєкт</w:t>
      </w:r>
      <w:proofErr w:type="spellEnd"/>
      <w:r w:rsidR="00A03396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соціальної сфери та прав осіб з інвалідністю, а також сфери наукової та науково-технічної діяльності. </w:t>
      </w:r>
    </w:p>
    <w:p w:rsidR="003600A2" w:rsidRDefault="003600A2" w:rsidP="003600A2">
      <w:pPr>
        <w:ind w:firstLine="851"/>
        <w:jc w:val="both"/>
        <w:rPr>
          <w:sz w:val="28"/>
          <w:szCs w:val="28"/>
        </w:rPr>
      </w:pPr>
      <w:bookmarkStart w:id="2" w:name="n1990"/>
      <w:bookmarkEnd w:id="2"/>
      <w:r>
        <w:rPr>
          <w:sz w:val="28"/>
          <w:szCs w:val="28"/>
        </w:rPr>
        <w:t>П</w:t>
      </w:r>
      <w:r w:rsidRPr="00D750FE">
        <w:rPr>
          <w:sz w:val="28"/>
          <w:szCs w:val="28"/>
        </w:rPr>
        <w:t xml:space="preserve">роект акта є регуляторним актом і матиме вплив на ринкове середовище, забезпечення захисту прав та інтересів суб’єктів господарювання, громадян і держави. </w:t>
      </w:r>
    </w:p>
    <w:p w:rsidR="003B6CA0" w:rsidRDefault="003B6CA0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9A02C3" w:rsidRDefault="009A02C3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proofErr w:type="spellStart"/>
      <w:r>
        <w:rPr>
          <w:rFonts w:ascii="Times New Roman" w:eastAsia="Times New Roman" w:hAnsi="Times New Roman"/>
          <w:sz w:val="28"/>
        </w:rPr>
        <w:t>проєкті</w:t>
      </w:r>
      <w:proofErr w:type="spellEnd"/>
      <w:r w:rsidR="00A03396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3" w:name="n3503"/>
      <w:bookmarkEnd w:id="3"/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4" w:name="n3504"/>
      <w:bookmarkEnd w:id="4"/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5" w:name="n3505"/>
      <w:bookmarkEnd w:id="5"/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Громадська </w:t>
      </w:r>
      <w:proofErr w:type="spellStart"/>
      <w:r>
        <w:rPr>
          <w:rFonts w:ascii="Times New Roman" w:eastAsia="Times New Roman" w:hAnsi="Times New Roman"/>
          <w:sz w:val="28"/>
        </w:rPr>
        <w:t>антидискримінаційна</w:t>
      </w:r>
      <w:proofErr w:type="spellEnd"/>
      <w:r>
        <w:rPr>
          <w:rFonts w:ascii="Times New Roman" w:eastAsia="Times New Roman" w:hAnsi="Times New Roman"/>
          <w:sz w:val="28"/>
        </w:rPr>
        <w:t xml:space="preserve"> експертиза не проводилася.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proofErr w:type="spellStart"/>
      <w:r>
        <w:rPr>
          <w:rFonts w:ascii="Times New Roman" w:eastAsia="Times New Roman" w:hAnsi="Times New Roman"/>
          <w:sz w:val="28"/>
        </w:rPr>
        <w:t>проєкту</w:t>
      </w:r>
      <w:proofErr w:type="spellEnd"/>
      <w:r w:rsidR="00A03396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не проводилася, адже в </w:t>
      </w:r>
      <w:proofErr w:type="spellStart"/>
      <w:r>
        <w:rPr>
          <w:rFonts w:ascii="Times New Roman" w:eastAsia="Times New Roman" w:hAnsi="Times New Roman"/>
          <w:sz w:val="28"/>
        </w:rPr>
        <w:t>проєкті</w:t>
      </w:r>
      <w:proofErr w:type="spellEnd"/>
      <w:r w:rsidR="00A03396">
        <w:rPr>
          <w:rFonts w:ascii="Times New Roman" w:eastAsia="Times New Roman" w:hAnsi="Times New Roman"/>
          <w:sz w:val="28"/>
        </w:rPr>
        <w:t xml:space="preserve"> </w:t>
      </w:r>
      <w:bookmarkStart w:id="6" w:name="_GoBack"/>
      <w:bookmarkEnd w:id="6"/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положення, які не відповідають принципу забезпечення рівних прав та можливостей жінок і чоловіків.</w:t>
      </w:r>
    </w:p>
    <w:p w:rsidR="003B6CA0" w:rsidRDefault="003B6CA0" w:rsidP="003B6CA0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3B6CA0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:rsidR="00887B8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ru-RU"/>
        </w:rPr>
      </w:pPr>
      <w:bookmarkStart w:id="7" w:name="n1717"/>
      <w:bookmarkEnd w:id="7"/>
      <w:r w:rsidRPr="00735C5F">
        <w:rPr>
          <w:sz w:val="28"/>
          <w:szCs w:val="28"/>
          <w:lang w:eastAsia="ru-RU"/>
        </w:rPr>
        <w:t xml:space="preserve">Прийняття </w:t>
      </w:r>
      <w:r>
        <w:rPr>
          <w:sz w:val="28"/>
          <w:szCs w:val="28"/>
          <w:lang w:eastAsia="ru-RU"/>
        </w:rPr>
        <w:t>наказу</w:t>
      </w:r>
      <w:r w:rsidRPr="00735C5F">
        <w:rPr>
          <w:sz w:val="28"/>
          <w:szCs w:val="28"/>
          <w:lang w:eastAsia="ru-RU"/>
        </w:rPr>
        <w:t xml:space="preserve"> дозволить </w:t>
      </w:r>
      <w:r>
        <w:rPr>
          <w:sz w:val="28"/>
          <w:szCs w:val="28"/>
          <w:lang w:eastAsia="ru-RU"/>
        </w:rPr>
        <w:t xml:space="preserve">організувати </w:t>
      </w:r>
      <w:r w:rsidRPr="00DE6CE0">
        <w:rPr>
          <w:color w:val="000000"/>
          <w:sz w:val="28"/>
          <w:szCs w:val="28"/>
        </w:rPr>
        <w:t>психолог</w:t>
      </w:r>
      <w:r>
        <w:rPr>
          <w:color w:val="000000"/>
          <w:sz w:val="28"/>
          <w:szCs w:val="28"/>
        </w:rPr>
        <w:t>о-педагогічний супровід дитини</w:t>
      </w:r>
      <w:r w:rsidRPr="00DE6CE0">
        <w:rPr>
          <w:color w:val="000000"/>
          <w:sz w:val="28"/>
          <w:szCs w:val="28"/>
        </w:rPr>
        <w:t xml:space="preserve"> з особливими о</w:t>
      </w:r>
      <w:r>
        <w:rPr>
          <w:color w:val="000000"/>
          <w:sz w:val="28"/>
          <w:szCs w:val="28"/>
        </w:rPr>
        <w:t>світніми потребами</w:t>
      </w:r>
      <w:r>
        <w:rPr>
          <w:sz w:val="28"/>
          <w:szCs w:val="28"/>
          <w:lang w:eastAsia="ru-RU"/>
        </w:rPr>
        <w:t xml:space="preserve"> у закладі дошкільної освіти </w:t>
      </w:r>
      <w:r w:rsidRPr="00141F5A">
        <w:rPr>
          <w:sz w:val="28"/>
          <w:szCs w:val="28"/>
          <w:lang w:eastAsia="ru-RU"/>
        </w:rPr>
        <w:t xml:space="preserve">шляхом належного кадрового, матеріально-технічного забезпечення, забезпечення універсального дизайну </w:t>
      </w:r>
      <w:r>
        <w:rPr>
          <w:sz w:val="28"/>
          <w:szCs w:val="28"/>
          <w:lang w:eastAsia="ru-RU"/>
        </w:rPr>
        <w:t xml:space="preserve">та/або розумного пристосування відповідно до </w:t>
      </w:r>
      <w:r>
        <w:rPr>
          <w:sz w:val="28"/>
          <w:szCs w:val="28"/>
        </w:rPr>
        <w:t>індивідуальної програми розвитку</w:t>
      </w:r>
      <w:r>
        <w:rPr>
          <w:sz w:val="28"/>
          <w:szCs w:val="28"/>
          <w:lang w:eastAsia="ru-RU"/>
        </w:rPr>
        <w:t xml:space="preserve"> дитини та з урахування її індивідуальних потреб та можливостей. </w:t>
      </w:r>
    </w:p>
    <w:p w:rsidR="00887B8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289"/>
      </w:tblGrid>
      <w:tr w:rsidR="00887B82" w:rsidRPr="00A7773F" w:rsidTr="002172C4">
        <w:trPr>
          <w:trHeight w:val="1481"/>
          <w:tblHeader/>
        </w:trPr>
        <w:tc>
          <w:tcPr>
            <w:tcW w:w="2836" w:type="dxa"/>
            <w:vAlign w:val="center"/>
            <w:hideMark/>
          </w:tcPr>
          <w:p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685" w:type="dxa"/>
            <w:vAlign w:val="center"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:rsidTr="002172C4">
        <w:trPr>
          <w:trHeight w:val="665"/>
        </w:trPr>
        <w:tc>
          <w:tcPr>
            <w:tcW w:w="2836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Pr="00A7773F">
              <w:rPr>
                <w:sz w:val="28"/>
                <w:szCs w:val="28"/>
              </w:rPr>
              <w:t xml:space="preserve"> з особливими освітніми потребами, які здобувають </w:t>
            </w:r>
            <w:r>
              <w:rPr>
                <w:sz w:val="28"/>
                <w:szCs w:val="28"/>
              </w:rPr>
              <w:t>дошкільну освіту</w:t>
            </w:r>
          </w:p>
        </w:tc>
        <w:tc>
          <w:tcPr>
            <w:tcW w:w="3685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>якості навчання</w:t>
            </w:r>
            <w:r>
              <w:rPr>
                <w:sz w:val="28"/>
                <w:szCs w:val="28"/>
              </w:rPr>
              <w:t xml:space="preserve">, розвитку та вихованнядітей </w:t>
            </w:r>
            <w:r w:rsidRPr="00A7773F">
              <w:rPr>
                <w:sz w:val="28"/>
                <w:szCs w:val="28"/>
              </w:rPr>
              <w:t>з особливими освітніми потребами</w:t>
            </w:r>
          </w:p>
        </w:tc>
        <w:tc>
          <w:tcPr>
            <w:tcW w:w="3289" w:type="dxa"/>
          </w:tcPr>
          <w:p w:rsidR="00887B82" w:rsidRDefault="00887B82" w:rsidP="002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дошкільної освіти для дітей з особливими освітніми потребами відповідно до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їх індивідуальних потреб та можливостей. </w:t>
            </w:r>
          </w:p>
          <w:p w:rsidR="00887B82" w:rsidRPr="00A92CFD" w:rsidRDefault="00887B82" w:rsidP="002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87B82" w:rsidRPr="00A7773F" w:rsidTr="002172C4">
        <w:trPr>
          <w:trHeight w:val="665"/>
        </w:trPr>
        <w:tc>
          <w:tcPr>
            <w:tcW w:w="2836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lastRenderedPageBreak/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3685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>якості навчання</w:t>
            </w:r>
            <w:r>
              <w:rPr>
                <w:sz w:val="28"/>
                <w:szCs w:val="28"/>
              </w:rPr>
              <w:t xml:space="preserve">, розвитку та вихованнядітей </w:t>
            </w:r>
            <w:r w:rsidRPr="00A7773F">
              <w:rPr>
                <w:sz w:val="28"/>
                <w:szCs w:val="28"/>
              </w:rPr>
              <w:t>з особливими освітніми потребами</w:t>
            </w:r>
          </w:p>
        </w:tc>
        <w:tc>
          <w:tcPr>
            <w:tcW w:w="3289" w:type="dxa"/>
          </w:tcPr>
          <w:p w:rsidR="00887B82" w:rsidRDefault="00887B82" w:rsidP="002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 w:rsidRPr="00A7773F">
              <w:rPr>
                <w:sz w:val="28"/>
                <w:szCs w:val="28"/>
              </w:rPr>
              <w:t xml:space="preserve">Реалізація акта сприятиме </w:t>
            </w:r>
            <w:r>
              <w:rPr>
                <w:sz w:val="28"/>
                <w:szCs w:val="28"/>
              </w:rPr>
              <w:t xml:space="preserve">створенню належних умов у закладах дошкільної освіти для </w:t>
            </w:r>
            <w:r w:rsidRPr="00A7773F">
              <w:rPr>
                <w:sz w:val="28"/>
                <w:szCs w:val="28"/>
              </w:rPr>
              <w:t>навчання</w:t>
            </w:r>
            <w:r>
              <w:rPr>
                <w:sz w:val="28"/>
                <w:szCs w:val="28"/>
              </w:rPr>
              <w:t xml:space="preserve">, розвитку та вихованнядітей </w:t>
            </w:r>
            <w:r w:rsidRPr="00A7773F">
              <w:rPr>
                <w:sz w:val="28"/>
                <w:szCs w:val="28"/>
              </w:rPr>
              <w:t>з особливими освітніми потребами</w:t>
            </w:r>
            <w:r>
              <w:rPr>
                <w:sz w:val="28"/>
                <w:szCs w:val="28"/>
                <w:lang w:eastAsia="ru-RU"/>
              </w:rPr>
              <w:t xml:space="preserve"> з урахування їх індивідуальних потреб та можливостей. </w:t>
            </w:r>
          </w:p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</w:p>
        </w:tc>
      </w:tr>
    </w:tbl>
    <w:p w:rsidR="00887B82" w:rsidRPr="001F176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87B82" w:rsidRPr="0074091C" w:rsidRDefault="00887B82" w:rsidP="00887B82">
      <w:pPr>
        <w:ind w:firstLine="567"/>
        <w:jc w:val="both"/>
        <w:rPr>
          <w:sz w:val="28"/>
          <w:szCs w:val="28"/>
          <w:lang w:eastAsia="ru-RU"/>
        </w:rPr>
      </w:pPr>
    </w:p>
    <w:p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r>
        <w:rPr>
          <w:sz w:val="28"/>
        </w:rPr>
        <w:t>«_____»_______________2024 р.</w:t>
      </w:r>
    </w:p>
    <w:p w:rsidR="00232FFA" w:rsidRDefault="00232FFA"/>
    <w:sectPr w:rsidR="00232FFA" w:rsidSect="00F01A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3517"/>
    <w:rsid w:val="00232FFA"/>
    <w:rsid w:val="00287537"/>
    <w:rsid w:val="002E47A3"/>
    <w:rsid w:val="003600A2"/>
    <w:rsid w:val="003A593B"/>
    <w:rsid w:val="003B6CA0"/>
    <w:rsid w:val="003F524F"/>
    <w:rsid w:val="004F0F67"/>
    <w:rsid w:val="00516577"/>
    <w:rsid w:val="005B6CC1"/>
    <w:rsid w:val="007221E3"/>
    <w:rsid w:val="007842B5"/>
    <w:rsid w:val="007A46BE"/>
    <w:rsid w:val="007A749D"/>
    <w:rsid w:val="00887B82"/>
    <w:rsid w:val="00915900"/>
    <w:rsid w:val="00954D8A"/>
    <w:rsid w:val="009A02C3"/>
    <w:rsid w:val="00A03396"/>
    <w:rsid w:val="00A23005"/>
    <w:rsid w:val="00B412C6"/>
    <w:rsid w:val="00B6131B"/>
    <w:rsid w:val="00C1196E"/>
    <w:rsid w:val="00C95CEF"/>
    <w:rsid w:val="00CA3517"/>
    <w:rsid w:val="00D04127"/>
    <w:rsid w:val="00D865DD"/>
    <w:rsid w:val="00DD3B11"/>
    <w:rsid w:val="00E1105D"/>
    <w:rsid w:val="00E7154A"/>
    <w:rsid w:val="00F01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C2C9"/>
  <w15:docId w15:val="{F701B630-85EF-4914-B646-4A146AFC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2903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Лотоцька Алевтина Вікторівна</dc:creator>
  <cp:keywords/>
  <dc:description/>
  <cp:lastModifiedBy>Novosad V.</cp:lastModifiedBy>
  <cp:revision>28</cp:revision>
  <dcterms:created xsi:type="dcterms:W3CDTF">2024-11-13T08:43:00Z</dcterms:created>
  <dcterms:modified xsi:type="dcterms:W3CDTF">2024-11-27T11:13:00Z</dcterms:modified>
</cp:coreProperties>
</file>