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C8CC7" w14:textId="77777777" w:rsidR="00E62116" w:rsidRPr="001179B2" w:rsidRDefault="00E62116" w:rsidP="00DF4044">
      <w:pPr>
        <w:spacing w:line="240" w:lineRule="auto"/>
        <w:jc w:val="center"/>
        <w:rPr>
          <w:rFonts w:ascii="Times New Roman" w:hAnsi="Times New Roman" w:cs="Times New Roman"/>
          <w:b/>
          <w:sz w:val="28"/>
          <w:szCs w:val="28"/>
          <w:lang w:val="uk-UA"/>
        </w:rPr>
      </w:pPr>
      <w:r w:rsidRPr="001179B2">
        <w:rPr>
          <w:rFonts w:ascii="Times New Roman" w:hAnsi="Times New Roman" w:cs="Times New Roman"/>
          <w:b/>
          <w:sz w:val="28"/>
          <w:szCs w:val="28"/>
          <w:lang w:val="uk-UA"/>
        </w:rPr>
        <w:t>АНАЛІЗ РЕГУЛЯТОРНОГО ВПЛИВУ</w:t>
      </w:r>
    </w:p>
    <w:p w14:paraId="3E8490A2" w14:textId="3C7557F3" w:rsidR="000B4A4D" w:rsidRPr="001179B2" w:rsidRDefault="00E62116" w:rsidP="00122217">
      <w:pPr>
        <w:spacing w:line="240" w:lineRule="auto"/>
        <w:jc w:val="center"/>
        <w:rPr>
          <w:rFonts w:ascii="Times New Roman" w:hAnsi="Times New Roman" w:cs="Times New Roman"/>
          <w:b/>
          <w:sz w:val="28"/>
          <w:lang w:val="uk-UA"/>
        </w:rPr>
      </w:pPr>
      <w:r w:rsidRPr="001179B2">
        <w:rPr>
          <w:rFonts w:ascii="Times New Roman" w:hAnsi="Times New Roman" w:cs="Times New Roman"/>
          <w:b/>
          <w:sz w:val="28"/>
          <w:szCs w:val="28"/>
          <w:lang w:val="uk-UA"/>
        </w:rPr>
        <w:t>проєкту наказу Міністерства освіти і науки України</w:t>
      </w:r>
      <w:r w:rsidR="004108D4">
        <w:rPr>
          <w:rFonts w:ascii="Times New Roman" w:hAnsi="Times New Roman" w:cs="Times New Roman"/>
          <w:b/>
          <w:sz w:val="28"/>
          <w:szCs w:val="28"/>
          <w:lang w:val="uk-UA"/>
        </w:rPr>
        <w:t xml:space="preserve"> </w:t>
      </w:r>
      <w:r w:rsidR="00122217">
        <w:rPr>
          <w:rFonts w:ascii="Times New Roman" w:hAnsi="Times New Roman" w:cs="Times New Roman"/>
          <w:b/>
          <w:sz w:val="28"/>
          <w:szCs w:val="28"/>
          <w:lang w:val="uk-UA"/>
        </w:rPr>
        <w:t xml:space="preserve">«Про внесення змін до наказу Міністерства освіти і науки України </w:t>
      </w:r>
      <w:r w:rsidR="004108D4">
        <w:rPr>
          <w:rFonts w:ascii="Times New Roman" w:hAnsi="Times New Roman" w:cs="Times New Roman"/>
          <w:b/>
          <w:sz w:val="28"/>
          <w:szCs w:val="28"/>
          <w:lang w:val="uk-UA"/>
        </w:rPr>
        <w:t xml:space="preserve">від 02 липня 2021 року </w:t>
      </w:r>
      <w:r w:rsidR="00122217">
        <w:rPr>
          <w:rFonts w:ascii="Times New Roman" w:hAnsi="Times New Roman" w:cs="Times New Roman"/>
          <w:b/>
          <w:sz w:val="28"/>
          <w:szCs w:val="28"/>
          <w:lang w:val="uk-UA"/>
        </w:rPr>
        <w:t xml:space="preserve">    </w:t>
      </w:r>
      <w:r w:rsidR="004108D4">
        <w:rPr>
          <w:rFonts w:ascii="Times New Roman" w:hAnsi="Times New Roman" w:cs="Times New Roman"/>
          <w:b/>
          <w:sz w:val="28"/>
          <w:szCs w:val="28"/>
          <w:lang w:val="uk-UA"/>
        </w:rPr>
        <w:t xml:space="preserve">№ 762 </w:t>
      </w:r>
      <w:r w:rsidRPr="001179B2">
        <w:rPr>
          <w:rFonts w:ascii="Times New Roman" w:hAnsi="Times New Roman" w:cs="Times New Roman"/>
          <w:b/>
          <w:sz w:val="28"/>
          <w:szCs w:val="28"/>
          <w:lang w:val="uk-UA"/>
        </w:rPr>
        <w:t>«</w:t>
      </w:r>
      <w:r w:rsidR="004108D4">
        <w:rPr>
          <w:rFonts w:ascii="Times New Roman" w:hAnsi="Times New Roman" w:cs="Times New Roman"/>
          <w:b/>
          <w:sz w:val="28"/>
          <w:lang w:val="uk-UA"/>
        </w:rPr>
        <w:t>Деякі питання</w:t>
      </w:r>
      <w:r w:rsidR="000B4A4D" w:rsidRPr="001179B2">
        <w:rPr>
          <w:rFonts w:ascii="Times New Roman" w:hAnsi="Times New Roman" w:cs="Times New Roman"/>
          <w:b/>
          <w:sz w:val="28"/>
          <w:lang w:val="uk-UA"/>
        </w:rPr>
        <w:t xml:space="preserve"> оформлення, переоформлення, видачі, зберігання та обліку сертифікатів про акредитацію освітньо-професійної програми </w:t>
      </w:r>
    </w:p>
    <w:p w14:paraId="7EAD71F6" w14:textId="77777777" w:rsidR="00E62116" w:rsidRPr="001179B2" w:rsidRDefault="000B4A4D" w:rsidP="00DF4044">
      <w:pPr>
        <w:spacing w:line="240" w:lineRule="auto"/>
        <w:jc w:val="center"/>
        <w:rPr>
          <w:rFonts w:ascii="Times New Roman" w:hAnsi="Times New Roman" w:cs="Times New Roman"/>
          <w:b/>
          <w:sz w:val="28"/>
          <w:szCs w:val="28"/>
          <w:lang w:val="uk-UA"/>
        </w:rPr>
      </w:pPr>
      <w:r w:rsidRPr="001179B2">
        <w:rPr>
          <w:rFonts w:ascii="Times New Roman" w:hAnsi="Times New Roman" w:cs="Times New Roman"/>
          <w:b/>
          <w:sz w:val="28"/>
          <w:lang w:val="uk-UA"/>
        </w:rPr>
        <w:t>у сфері фахової передвищої освіти (їх дублікатів)</w:t>
      </w:r>
      <w:r w:rsidR="00E62116" w:rsidRPr="001179B2">
        <w:rPr>
          <w:rFonts w:ascii="Times New Roman" w:hAnsi="Times New Roman" w:cs="Times New Roman"/>
          <w:b/>
          <w:sz w:val="28"/>
          <w:szCs w:val="28"/>
          <w:lang w:val="uk-UA"/>
        </w:rPr>
        <w:t>»</w:t>
      </w:r>
    </w:p>
    <w:p w14:paraId="5EF9E5C6" w14:textId="77777777" w:rsidR="00E62116" w:rsidRPr="001179B2" w:rsidRDefault="00E62116" w:rsidP="00DF4044">
      <w:pPr>
        <w:spacing w:line="240" w:lineRule="auto"/>
        <w:jc w:val="both"/>
        <w:rPr>
          <w:rFonts w:ascii="Times New Roman" w:hAnsi="Times New Roman" w:cs="Times New Roman"/>
          <w:sz w:val="28"/>
          <w:szCs w:val="28"/>
          <w:lang w:val="uk-UA"/>
        </w:rPr>
      </w:pPr>
    </w:p>
    <w:p w14:paraId="33F0BD10" w14:textId="77777777" w:rsidR="00E62116" w:rsidRPr="001179B2" w:rsidRDefault="00E62116" w:rsidP="00DF4044">
      <w:pPr>
        <w:spacing w:line="240" w:lineRule="auto"/>
        <w:ind w:firstLine="708"/>
        <w:jc w:val="both"/>
        <w:rPr>
          <w:rFonts w:ascii="Times New Roman" w:hAnsi="Times New Roman" w:cs="Times New Roman"/>
          <w:b/>
          <w:sz w:val="28"/>
          <w:szCs w:val="28"/>
          <w:lang w:val="uk-UA"/>
        </w:rPr>
      </w:pPr>
      <w:r w:rsidRPr="001179B2">
        <w:rPr>
          <w:rFonts w:ascii="Times New Roman" w:hAnsi="Times New Roman" w:cs="Times New Roman"/>
          <w:b/>
          <w:sz w:val="28"/>
          <w:szCs w:val="28"/>
          <w:lang w:val="uk-UA"/>
        </w:rPr>
        <w:t>І. Визначення проблеми</w:t>
      </w:r>
    </w:p>
    <w:p w14:paraId="3591EA60" w14:textId="4376ABF8" w:rsidR="00E62116" w:rsidRPr="001179B2" w:rsidRDefault="000B4A4D" w:rsidP="00DF4044">
      <w:pPr>
        <w:pStyle w:val="a3"/>
        <w:ind w:firstLine="567"/>
        <w:jc w:val="both"/>
        <w:rPr>
          <w:rFonts w:ascii="Times New Roman" w:hAnsi="Times New Roman" w:cs="Times New Roman"/>
          <w:sz w:val="28"/>
          <w:lang w:val="uk-UA"/>
        </w:rPr>
      </w:pPr>
      <w:r w:rsidRPr="001179B2">
        <w:rPr>
          <w:rFonts w:ascii="Times New Roman" w:hAnsi="Times New Roman" w:cs="Times New Roman"/>
          <w:sz w:val="28"/>
          <w:lang w:val="uk-UA"/>
        </w:rPr>
        <w:t>Оформлення, переоформлення, видача, зберігання та облік сертифікатів про акредитацію освітньо-професійної програми у сфері фахової передвищої освіти (їх дублікатів)</w:t>
      </w:r>
      <w:r w:rsidR="00E62116" w:rsidRPr="001179B2">
        <w:rPr>
          <w:rFonts w:ascii="Times New Roman" w:hAnsi="Times New Roman" w:cs="Times New Roman"/>
          <w:sz w:val="28"/>
          <w:lang w:val="uk-UA"/>
        </w:rPr>
        <w:t xml:space="preserve"> регламентується чинним </w:t>
      </w:r>
      <w:r w:rsidR="00671F6C" w:rsidRPr="00671F6C">
        <w:rPr>
          <w:rFonts w:ascii="Times New Roman" w:hAnsi="Times New Roman" w:cs="Times New Roman"/>
          <w:sz w:val="28"/>
          <w:lang w:val="uk-UA"/>
        </w:rPr>
        <w:t>наказ</w:t>
      </w:r>
      <w:r w:rsidR="00671F6C">
        <w:rPr>
          <w:rFonts w:ascii="Times New Roman" w:hAnsi="Times New Roman" w:cs="Times New Roman"/>
          <w:sz w:val="28"/>
          <w:lang w:val="uk-UA"/>
        </w:rPr>
        <w:t>ом</w:t>
      </w:r>
      <w:r w:rsidR="00671F6C" w:rsidRPr="00671F6C">
        <w:rPr>
          <w:rFonts w:ascii="Times New Roman" w:hAnsi="Times New Roman" w:cs="Times New Roman"/>
          <w:sz w:val="28"/>
          <w:lang w:val="uk-UA"/>
        </w:rPr>
        <w:t xml:space="preserve"> Міністерства освіти і науки України від 02 липня 2021 року № 762 «Деякі питання оформлення, переоформлення, видачі, зберігання та обліку сертифікатів про акредитацію освітньо-професійної програми у сфері фахової передвищої освіти (їх дублікатів)»</w:t>
      </w:r>
      <w:r w:rsidR="00DD3EF5" w:rsidRPr="001179B2">
        <w:rPr>
          <w:rFonts w:ascii="Times New Roman" w:hAnsi="Times New Roman" w:cs="Times New Roman"/>
          <w:sz w:val="28"/>
          <w:lang w:val="uk-UA"/>
        </w:rPr>
        <w:t xml:space="preserve">, зареєстрованого в Міністерстві юстиції України 28 жовтня </w:t>
      </w:r>
      <w:r w:rsidR="00671F6C">
        <w:rPr>
          <w:rFonts w:ascii="Times New Roman" w:hAnsi="Times New Roman" w:cs="Times New Roman"/>
          <w:sz w:val="28"/>
          <w:lang w:val="uk-UA"/>
        </w:rPr>
        <w:t xml:space="preserve">      </w:t>
      </w:r>
      <w:r w:rsidR="00DD3EF5" w:rsidRPr="001179B2">
        <w:rPr>
          <w:rFonts w:ascii="Times New Roman" w:hAnsi="Times New Roman" w:cs="Times New Roman"/>
          <w:sz w:val="28"/>
          <w:lang w:val="uk-UA"/>
        </w:rPr>
        <w:t>2021 року за № 1395/37017</w:t>
      </w:r>
      <w:r w:rsidR="00E62116" w:rsidRPr="001179B2">
        <w:rPr>
          <w:rFonts w:ascii="Times New Roman" w:hAnsi="Times New Roman" w:cs="Times New Roman"/>
          <w:sz w:val="28"/>
          <w:lang w:val="uk-UA"/>
        </w:rPr>
        <w:t xml:space="preserve"> (далі – </w:t>
      </w:r>
      <w:r w:rsidR="00671F6C">
        <w:rPr>
          <w:rFonts w:ascii="Times New Roman" w:hAnsi="Times New Roman" w:cs="Times New Roman"/>
          <w:sz w:val="28"/>
          <w:lang w:val="uk-UA"/>
        </w:rPr>
        <w:t>наказ</w:t>
      </w:r>
      <w:r w:rsidR="00E62116" w:rsidRPr="001179B2">
        <w:rPr>
          <w:rFonts w:ascii="Times New Roman" w:hAnsi="Times New Roman" w:cs="Times New Roman"/>
          <w:sz w:val="28"/>
          <w:lang w:val="uk-UA"/>
        </w:rPr>
        <w:t xml:space="preserve">). З моменту прийняття зміни і доповнення </w:t>
      </w:r>
      <w:r w:rsidR="00671F6C" w:rsidRPr="001179B2">
        <w:rPr>
          <w:rFonts w:ascii="Times New Roman" w:hAnsi="Times New Roman" w:cs="Times New Roman"/>
          <w:sz w:val="28"/>
          <w:lang w:val="uk-UA"/>
        </w:rPr>
        <w:t xml:space="preserve">до нього </w:t>
      </w:r>
      <w:r w:rsidR="00E62116" w:rsidRPr="001179B2">
        <w:rPr>
          <w:rFonts w:ascii="Times New Roman" w:hAnsi="Times New Roman" w:cs="Times New Roman"/>
          <w:sz w:val="28"/>
          <w:lang w:val="uk-UA"/>
        </w:rPr>
        <w:t>не вносилися.</w:t>
      </w:r>
    </w:p>
    <w:p w14:paraId="39D93D5E" w14:textId="14B1600C" w:rsidR="00E62116" w:rsidRPr="001179B2" w:rsidRDefault="00E62116" w:rsidP="00DF4044">
      <w:pPr>
        <w:pStyle w:val="a6"/>
        <w:spacing w:before="0" w:beforeAutospacing="0" w:after="0" w:afterAutospacing="0"/>
        <w:ind w:firstLine="567"/>
        <w:jc w:val="both"/>
        <w:rPr>
          <w:sz w:val="28"/>
          <w:szCs w:val="28"/>
          <w:lang w:val="uk-UA"/>
        </w:rPr>
      </w:pPr>
      <w:r w:rsidRPr="001179B2">
        <w:rPr>
          <w:sz w:val="28"/>
          <w:szCs w:val="28"/>
          <w:lang w:val="uk-UA"/>
        </w:rPr>
        <w:t xml:space="preserve">Поряд з тим, з моменту набуття чинності </w:t>
      </w:r>
      <w:r w:rsidR="00671F6C">
        <w:rPr>
          <w:sz w:val="28"/>
          <w:lang w:val="uk-UA"/>
        </w:rPr>
        <w:t>наказом</w:t>
      </w:r>
      <w:r w:rsidRPr="001179B2">
        <w:rPr>
          <w:sz w:val="28"/>
          <w:szCs w:val="28"/>
          <w:lang w:val="uk-UA"/>
        </w:rPr>
        <w:t xml:space="preserve"> прийнято нов</w:t>
      </w:r>
      <w:r w:rsidR="005A069D" w:rsidRPr="001179B2">
        <w:rPr>
          <w:sz w:val="28"/>
          <w:szCs w:val="28"/>
          <w:lang w:val="uk-UA"/>
        </w:rPr>
        <w:t>і</w:t>
      </w:r>
      <w:r w:rsidRPr="001179B2">
        <w:rPr>
          <w:sz w:val="28"/>
          <w:szCs w:val="28"/>
          <w:lang w:val="uk-UA"/>
        </w:rPr>
        <w:t xml:space="preserve"> законодавч</w:t>
      </w:r>
      <w:r w:rsidR="005A069D" w:rsidRPr="001179B2">
        <w:rPr>
          <w:sz w:val="28"/>
          <w:szCs w:val="28"/>
          <w:lang w:val="uk-UA"/>
        </w:rPr>
        <w:t>і</w:t>
      </w:r>
      <w:r w:rsidRPr="001179B2">
        <w:rPr>
          <w:sz w:val="28"/>
          <w:szCs w:val="28"/>
          <w:lang w:val="uk-UA"/>
        </w:rPr>
        <w:t xml:space="preserve"> акт</w:t>
      </w:r>
      <w:r w:rsidR="005A069D" w:rsidRPr="001179B2">
        <w:rPr>
          <w:sz w:val="28"/>
          <w:szCs w:val="28"/>
          <w:lang w:val="uk-UA"/>
        </w:rPr>
        <w:t>и</w:t>
      </w:r>
      <w:r w:rsidRPr="001179B2">
        <w:rPr>
          <w:sz w:val="28"/>
          <w:szCs w:val="28"/>
          <w:lang w:val="uk-UA"/>
        </w:rPr>
        <w:t>, які обумовлюють необхідність приведення його у відповідність до нових нормативно-правових актів.</w:t>
      </w:r>
    </w:p>
    <w:p w14:paraId="5E14067B" w14:textId="1402209A" w:rsidR="00E62116" w:rsidRPr="001179B2" w:rsidRDefault="00E62116" w:rsidP="00DF4044">
      <w:pPr>
        <w:pStyle w:val="a6"/>
        <w:spacing w:before="0" w:beforeAutospacing="0" w:after="0" w:afterAutospacing="0"/>
        <w:ind w:firstLine="567"/>
        <w:jc w:val="both"/>
        <w:rPr>
          <w:sz w:val="28"/>
          <w:szCs w:val="28"/>
          <w:lang w:val="uk-UA"/>
        </w:rPr>
      </w:pPr>
      <w:r w:rsidRPr="001179B2">
        <w:rPr>
          <w:sz w:val="28"/>
          <w:szCs w:val="28"/>
          <w:lang w:val="uk-UA"/>
        </w:rPr>
        <w:t xml:space="preserve">Метою прийняття проєкту наказу Міністерства освіти і науки України «Про внесення змін до </w:t>
      </w:r>
      <w:r w:rsidR="001264F8">
        <w:rPr>
          <w:sz w:val="28"/>
          <w:lang w:val="uk-UA"/>
        </w:rPr>
        <w:t xml:space="preserve">наказу </w:t>
      </w:r>
      <w:r w:rsidR="001264F8" w:rsidRPr="001179B2">
        <w:rPr>
          <w:sz w:val="28"/>
          <w:lang w:val="uk-UA"/>
        </w:rPr>
        <w:t xml:space="preserve">Міністерства освіти і науки України від   </w:t>
      </w:r>
      <w:r w:rsidR="001264F8">
        <w:rPr>
          <w:sz w:val="28"/>
          <w:lang w:val="uk-UA"/>
        </w:rPr>
        <w:t xml:space="preserve">              </w:t>
      </w:r>
      <w:r w:rsidR="001264F8" w:rsidRPr="001179B2">
        <w:rPr>
          <w:sz w:val="28"/>
          <w:lang w:val="uk-UA"/>
        </w:rPr>
        <w:t>02 липня 2021 року № 762</w:t>
      </w:r>
      <w:r w:rsidR="00665D2A" w:rsidRPr="001179B2">
        <w:rPr>
          <w:sz w:val="28"/>
          <w:lang w:val="uk-UA"/>
        </w:rPr>
        <w:t xml:space="preserve"> </w:t>
      </w:r>
      <w:r w:rsidR="001264F8">
        <w:rPr>
          <w:sz w:val="28"/>
          <w:lang w:val="uk-UA"/>
        </w:rPr>
        <w:t xml:space="preserve">«Деякі питання </w:t>
      </w:r>
      <w:r w:rsidR="00665D2A" w:rsidRPr="001179B2">
        <w:rPr>
          <w:sz w:val="28"/>
          <w:lang w:val="uk-UA"/>
        </w:rPr>
        <w:t>оформлення, переоформлення, видачі, зберігання та обліку сертифікатів про акредитацію освітньо-професійної програми у сфері фахової передвищої освіти (їх дублікатів)</w:t>
      </w:r>
      <w:r w:rsidRPr="001179B2">
        <w:rPr>
          <w:sz w:val="28"/>
          <w:szCs w:val="28"/>
          <w:lang w:val="uk-UA"/>
        </w:rPr>
        <w:t xml:space="preserve">» (далі – проєкт наказу) є приведення норм чинного </w:t>
      </w:r>
      <w:r w:rsidR="00671F6C">
        <w:rPr>
          <w:sz w:val="28"/>
          <w:lang w:val="uk-UA"/>
        </w:rPr>
        <w:t xml:space="preserve">наказу </w:t>
      </w:r>
      <w:r w:rsidR="00671F6C" w:rsidRPr="001179B2">
        <w:rPr>
          <w:sz w:val="28"/>
          <w:lang w:val="uk-UA"/>
        </w:rPr>
        <w:t>Міністерс</w:t>
      </w:r>
      <w:r w:rsidR="00671F6C">
        <w:rPr>
          <w:sz w:val="28"/>
          <w:lang w:val="uk-UA"/>
        </w:rPr>
        <w:t xml:space="preserve">тва освіти і науки України від </w:t>
      </w:r>
      <w:r w:rsidR="00671F6C" w:rsidRPr="001179B2">
        <w:rPr>
          <w:sz w:val="28"/>
          <w:lang w:val="uk-UA"/>
        </w:rPr>
        <w:t xml:space="preserve">02 липня 2021 року № 762 </w:t>
      </w:r>
      <w:r w:rsidR="00671F6C">
        <w:rPr>
          <w:sz w:val="28"/>
          <w:lang w:val="uk-UA"/>
        </w:rPr>
        <w:t xml:space="preserve">«Деякі питання </w:t>
      </w:r>
      <w:r w:rsidR="00671F6C" w:rsidRPr="001179B2">
        <w:rPr>
          <w:sz w:val="28"/>
          <w:lang w:val="uk-UA"/>
        </w:rPr>
        <w:t>оформлення, переоформлення, видачі, зберігання та обліку сертифікатів про акредитацію освітньо-професійної програми у сфері фахової передвищої освіти (їх дублікатів)</w:t>
      </w:r>
      <w:r w:rsidR="00671F6C" w:rsidRPr="001179B2">
        <w:rPr>
          <w:sz w:val="28"/>
          <w:szCs w:val="28"/>
          <w:lang w:val="uk-UA"/>
        </w:rPr>
        <w:t>»</w:t>
      </w:r>
      <w:r w:rsidRPr="001179B2">
        <w:rPr>
          <w:sz w:val="28"/>
          <w:szCs w:val="28"/>
          <w:lang w:val="uk-UA"/>
        </w:rPr>
        <w:t xml:space="preserve"> у відповідність із механізмами та термінологією Закону України «Про адміністративну процедуру» (далі – Закон № 2073-ІХ), який врегульовує відносини органів виконавчої влади та їх посадових осіб з фізичними та юридичними особами щодо розгляду і вирішення адміністративних справ шляхом прийняття та виконання адміністративних актів.</w:t>
      </w:r>
    </w:p>
    <w:p w14:paraId="41497387" w14:textId="77777777" w:rsidR="00E62116" w:rsidRPr="001179B2" w:rsidRDefault="00E62116" w:rsidP="00DF4044">
      <w:pPr>
        <w:pStyle w:val="a3"/>
        <w:ind w:firstLine="567"/>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Відповідно до підпункту 2 пункту 8 розділу ІХ «Прикінцеві та перехідні положення» Закону № 2073-ІХ Кабінету Міністрів України визначено протягом 18 місяців з дня опублікування цього Закону вжити заходів щодо прийняття та/або оновлення нормативних актів органів виконавчої влади, що випливає з цього Закону, забезпечивши набрання ними чинності одночасно з набранням чинності цим Законом.</w:t>
      </w:r>
    </w:p>
    <w:p w14:paraId="39E1C986" w14:textId="77777777" w:rsidR="00E62116" w:rsidRPr="001179B2" w:rsidRDefault="00E62116" w:rsidP="00DF4044">
      <w:pPr>
        <w:pStyle w:val="a3"/>
        <w:ind w:firstLine="567"/>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 xml:space="preserve">Враховуючи доручення Кабінету Міністрів України від 23.06.2022 </w:t>
      </w:r>
      <w:r w:rsidR="005A069D" w:rsidRPr="001179B2">
        <w:rPr>
          <w:rFonts w:ascii="Times New Roman" w:hAnsi="Times New Roman" w:cs="Times New Roman"/>
          <w:sz w:val="28"/>
          <w:szCs w:val="28"/>
          <w:lang w:val="uk-UA"/>
        </w:rPr>
        <w:t xml:space="preserve">             </w:t>
      </w:r>
      <w:r w:rsidRPr="001179B2">
        <w:rPr>
          <w:rFonts w:ascii="Times New Roman" w:hAnsi="Times New Roman" w:cs="Times New Roman"/>
          <w:sz w:val="28"/>
          <w:szCs w:val="28"/>
          <w:lang w:val="uk-UA"/>
        </w:rPr>
        <w:t>№ 14838/1/1-22, пункт 1.5 Плану організації підготовки про</w:t>
      </w:r>
      <w:r w:rsidR="00B27F46" w:rsidRPr="001179B2">
        <w:rPr>
          <w:rFonts w:ascii="Times New Roman" w:hAnsi="Times New Roman" w:cs="Times New Roman"/>
          <w:sz w:val="28"/>
          <w:szCs w:val="28"/>
          <w:lang w:val="uk-UA"/>
        </w:rPr>
        <w:t>є</w:t>
      </w:r>
      <w:r w:rsidRPr="001179B2">
        <w:rPr>
          <w:rFonts w:ascii="Times New Roman" w:hAnsi="Times New Roman" w:cs="Times New Roman"/>
          <w:sz w:val="28"/>
          <w:szCs w:val="28"/>
          <w:lang w:val="uk-UA"/>
        </w:rPr>
        <w:t>ктів актів та виконання інших завдань, необхідних для забезпечення реалізації Закону України від 17 лютого 2022 р. № 2073-ІХ «Про адміністративну процедуру», центральним органам виконавчої влади доручено привести власні нормативно-правові акти у відповідність із Законом № 2073-ІХ.</w:t>
      </w:r>
    </w:p>
    <w:p w14:paraId="25FCFE76" w14:textId="6B7A8EE0" w:rsidR="00E62116" w:rsidRPr="001179B2" w:rsidRDefault="00E62116" w:rsidP="00DF4044">
      <w:pPr>
        <w:pStyle w:val="a3"/>
        <w:ind w:firstLine="567"/>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lastRenderedPageBreak/>
        <w:t xml:space="preserve">Запропоновані до </w:t>
      </w:r>
      <w:r w:rsidR="00671F6C">
        <w:rPr>
          <w:rFonts w:ascii="Times New Roman" w:hAnsi="Times New Roman" w:cs="Times New Roman"/>
          <w:sz w:val="28"/>
          <w:szCs w:val="28"/>
          <w:lang w:val="uk-UA"/>
        </w:rPr>
        <w:t>наказу</w:t>
      </w:r>
      <w:r w:rsidRPr="001179B2">
        <w:rPr>
          <w:rFonts w:ascii="Times New Roman" w:hAnsi="Times New Roman" w:cs="Times New Roman"/>
          <w:sz w:val="28"/>
          <w:szCs w:val="28"/>
          <w:lang w:val="uk-UA"/>
        </w:rPr>
        <w:t xml:space="preserve"> зміни дають змогу узгодити його положення із Законом № 2073-ІХ.</w:t>
      </w:r>
    </w:p>
    <w:p w14:paraId="75BAB41B" w14:textId="2C64A512" w:rsidR="00E62116" w:rsidRPr="001179B2" w:rsidRDefault="00DF4044" w:rsidP="00DF4044">
      <w:pPr>
        <w:shd w:val="clear" w:color="auto" w:fill="FFFFFF"/>
        <w:spacing w:line="240" w:lineRule="auto"/>
        <w:ind w:firstLine="567"/>
        <w:jc w:val="both"/>
        <w:rPr>
          <w:rFonts w:ascii="Times New Roman" w:hAnsi="Times New Roman" w:cs="Times New Roman"/>
          <w:sz w:val="28"/>
          <w:szCs w:val="28"/>
          <w:lang w:val="uk-UA"/>
        </w:rPr>
      </w:pPr>
      <w:r w:rsidRPr="00DF4044">
        <w:rPr>
          <w:rFonts w:ascii="Times New Roman" w:eastAsiaTheme="minorHAnsi" w:hAnsi="Times New Roman" w:cs="Times New Roman"/>
          <w:color w:val="auto"/>
          <w:kern w:val="0"/>
          <w:sz w:val="28"/>
          <w:lang w:val="uk-UA" w:eastAsia="en-US" w:bidi="ar-SA"/>
        </w:rPr>
        <w:t>Прийняття проєкту акта забезпечить уточнення механізму переоформлення сертифікатів про акредитацію освітньо-професійних програм у сфері фахової передвищої освіти з врахуванням строків розгляду заяви про переоформлення сертифіката, прийняття Державною службою якості освіти України рішень про залишення заяви без руху або відмову в переоформленні сертифіката, конкретизує процедуру підтвердження рішення про акредитацію освітньо-професійних програм у сфері фахової передвищої освіти засобами Єдиної державної бази з питань освіти та</w:t>
      </w:r>
      <w:r w:rsidR="00665D2A" w:rsidRPr="00DF4044">
        <w:rPr>
          <w:rFonts w:ascii="Times New Roman" w:eastAsiaTheme="minorHAnsi" w:hAnsi="Times New Roman" w:cs="Times New Roman"/>
          <w:color w:val="auto"/>
          <w:kern w:val="0"/>
          <w:sz w:val="28"/>
          <w:lang w:val="uk-UA" w:eastAsia="en-US" w:bidi="ar-SA"/>
        </w:rPr>
        <w:t xml:space="preserve"> дозволить </w:t>
      </w:r>
      <w:r w:rsidR="00B27F46" w:rsidRPr="00DF4044">
        <w:rPr>
          <w:rFonts w:ascii="Times New Roman" w:eastAsiaTheme="minorHAnsi" w:hAnsi="Times New Roman" w:cs="Times New Roman"/>
          <w:color w:val="auto"/>
          <w:kern w:val="0"/>
          <w:sz w:val="28"/>
          <w:lang w:val="uk-UA" w:eastAsia="en-US" w:bidi="ar-SA"/>
        </w:rPr>
        <w:t>Державній службі якості освіти України</w:t>
      </w:r>
      <w:r w:rsidR="00665D2A" w:rsidRPr="00DF4044">
        <w:rPr>
          <w:rFonts w:ascii="Times New Roman" w:eastAsiaTheme="minorHAnsi" w:hAnsi="Times New Roman" w:cs="Times New Roman"/>
          <w:color w:val="auto"/>
          <w:kern w:val="0"/>
          <w:sz w:val="28"/>
          <w:lang w:val="uk-UA" w:eastAsia="en-US" w:bidi="ar-SA"/>
        </w:rPr>
        <w:t xml:space="preserve"> реалізувати покладені</w:t>
      </w:r>
      <w:r w:rsidR="00665D2A" w:rsidRPr="001179B2">
        <w:rPr>
          <w:rFonts w:ascii="Times New Roman" w:hAnsi="Times New Roman" w:cs="Times New Roman"/>
          <w:sz w:val="28"/>
          <w:lang w:val="uk-UA"/>
        </w:rPr>
        <w:t xml:space="preserve"> на неї законодавством функції у чітко визначений порядок та спосіб.</w:t>
      </w:r>
    </w:p>
    <w:p w14:paraId="169C5557" w14:textId="77777777" w:rsidR="00E62116" w:rsidRPr="001179B2" w:rsidRDefault="00E62116" w:rsidP="00DF4044">
      <w:pPr>
        <w:pStyle w:val="a6"/>
        <w:spacing w:before="0" w:beforeAutospacing="0" w:after="0" w:afterAutospacing="0"/>
        <w:ind w:firstLine="567"/>
        <w:jc w:val="both"/>
        <w:rPr>
          <w:sz w:val="28"/>
          <w:szCs w:val="28"/>
          <w:lang w:val="uk-UA"/>
        </w:rPr>
      </w:pPr>
    </w:p>
    <w:p w14:paraId="0682A2E1" w14:textId="77777777" w:rsidR="00E62116" w:rsidRPr="001179B2" w:rsidRDefault="00E62116"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Реалізація проєкту регуляторного акта вплине на:</w:t>
      </w:r>
    </w:p>
    <w:p w14:paraId="5CAF5506" w14:textId="77777777" w:rsidR="00E62116" w:rsidRPr="001179B2" w:rsidRDefault="00E62116" w:rsidP="00DF4044">
      <w:pPr>
        <w:spacing w:line="240" w:lineRule="auto"/>
        <w:jc w:val="both"/>
        <w:rPr>
          <w:rFonts w:ascii="Times New Roman" w:hAnsi="Times New Roman" w:cs="Times New Roman"/>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058"/>
        <w:gridCol w:w="3055"/>
      </w:tblGrid>
      <w:tr w:rsidR="00E62116" w:rsidRPr="001179B2" w14:paraId="31367476" w14:textId="77777777" w:rsidTr="00FA7B01">
        <w:tc>
          <w:tcPr>
            <w:tcW w:w="3146" w:type="dxa"/>
            <w:shd w:val="clear" w:color="auto" w:fill="auto"/>
          </w:tcPr>
          <w:p w14:paraId="4D5DA55D"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Групи (підгрупи)</w:t>
            </w:r>
          </w:p>
        </w:tc>
        <w:tc>
          <w:tcPr>
            <w:tcW w:w="3105" w:type="dxa"/>
            <w:shd w:val="clear" w:color="auto" w:fill="auto"/>
          </w:tcPr>
          <w:p w14:paraId="1C9DC6FD"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Так</w:t>
            </w:r>
          </w:p>
        </w:tc>
        <w:tc>
          <w:tcPr>
            <w:tcW w:w="3105" w:type="dxa"/>
            <w:shd w:val="clear" w:color="auto" w:fill="auto"/>
          </w:tcPr>
          <w:p w14:paraId="6BE7A875"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Ні</w:t>
            </w:r>
          </w:p>
        </w:tc>
      </w:tr>
      <w:tr w:rsidR="00E62116" w:rsidRPr="001179B2" w14:paraId="6EF4BBC2" w14:textId="77777777" w:rsidTr="00FA7B01">
        <w:tc>
          <w:tcPr>
            <w:tcW w:w="3146" w:type="dxa"/>
            <w:shd w:val="clear" w:color="auto" w:fill="auto"/>
          </w:tcPr>
          <w:p w14:paraId="111E9256"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Громадяни</w:t>
            </w:r>
          </w:p>
        </w:tc>
        <w:tc>
          <w:tcPr>
            <w:tcW w:w="3105" w:type="dxa"/>
            <w:shd w:val="clear" w:color="auto" w:fill="auto"/>
          </w:tcPr>
          <w:p w14:paraId="5CE09AF2"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3105" w:type="dxa"/>
            <w:shd w:val="clear" w:color="auto" w:fill="auto"/>
          </w:tcPr>
          <w:p w14:paraId="2FA52E7A" w14:textId="77777777" w:rsidR="00E62116" w:rsidRPr="001179B2" w:rsidRDefault="00E62116" w:rsidP="00DF4044">
            <w:pPr>
              <w:spacing w:line="240" w:lineRule="auto"/>
              <w:jc w:val="both"/>
              <w:rPr>
                <w:rFonts w:ascii="Times New Roman" w:hAnsi="Times New Roman" w:cs="Times New Roman"/>
                <w:sz w:val="24"/>
                <w:szCs w:val="24"/>
                <w:lang w:val="uk-UA"/>
              </w:rPr>
            </w:pPr>
          </w:p>
        </w:tc>
      </w:tr>
      <w:tr w:rsidR="00E62116" w:rsidRPr="001179B2" w14:paraId="48F8D836" w14:textId="77777777" w:rsidTr="00FA7B01">
        <w:tc>
          <w:tcPr>
            <w:tcW w:w="3146" w:type="dxa"/>
            <w:shd w:val="clear" w:color="auto" w:fill="auto"/>
          </w:tcPr>
          <w:p w14:paraId="3DD3FF95"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Держава</w:t>
            </w:r>
          </w:p>
        </w:tc>
        <w:tc>
          <w:tcPr>
            <w:tcW w:w="3105" w:type="dxa"/>
            <w:shd w:val="clear" w:color="auto" w:fill="auto"/>
          </w:tcPr>
          <w:p w14:paraId="0900C595"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3105" w:type="dxa"/>
            <w:shd w:val="clear" w:color="auto" w:fill="auto"/>
          </w:tcPr>
          <w:p w14:paraId="7DA89F6B" w14:textId="77777777" w:rsidR="00E62116" w:rsidRPr="001179B2" w:rsidRDefault="00E62116" w:rsidP="00DF4044">
            <w:pPr>
              <w:spacing w:line="240" w:lineRule="auto"/>
              <w:jc w:val="both"/>
              <w:rPr>
                <w:rFonts w:ascii="Times New Roman" w:hAnsi="Times New Roman" w:cs="Times New Roman"/>
                <w:sz w:val="24"/>
                <w:szCs w:val="24"/>
                <w:lang w:val="uk-UA"/>
              </w:rPr>
            </w:pPr>
          </w:p>
        </w:tc>
      </w:tr>
      <w:tr w:rsidR="00E62116" w:rsidRPr="001179B2" w14:paraId="56832930" w14:textId="77777777" w:rsidTr="00FA7B01">
        <w:tc>
          <w:tcPr>
            <w:tcW w:w="3146" w:type="dxa"/>
            <w:shd w:val="clear" w:color="auto" w:fill="auto"/>
          </w:tcPr>
          <w:p w14:paraId="0D8B71B4"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Суб’єкти господарювання, у тому числі суб’єкти малого підприємництва</w:t>
            </w:r>
          </w:p>
        </w:tc>
        <w:tc>
          <w:tcPr>
            <w:tcW w:w="3105" w:type="dxa"/>
            <w:shd w:val="clear" w:color="auto" w:fill="auto"/>
          </w:tcPr>
          <w:p w14:paraId="3995B0F3"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3105" w:type="dxa"/>
            <w:shd w:val="clear" w:color="auto" w:fill="auto"/>
          </w:tcPr>
          <w:p w14:paraId="3EB23AB6" w14:textId="77777777" w:rsidR="00E62116" w:rsidRPr="001179B2" w:rsidRDefault="00E62116" w:rsidP="00DF4044">
            <w:pPr>
              <w:spacing w:line="240" w:lineRule="auto"/>
              <w:jc w:val="both"/>
              <w:rPr>
                <w:rFonts w:ascii="Times New Roman" w:hAnsi="Times New Roman" w:cs="Times New Roman"/>
                <w:sz w:val="24"/>
                <w:szCs w:val="24"/>
                <w:lang w:val="uk-UA"/>
              </w:rPr>
            </w:pPr>
          </w:p>
        </w:tc>
      </w:tr>
    </w:tbl>
    <w:p w14:paraId="00D004D0" w14:textId="77777777" w:rsidR="00E62116" w:rsidRPr="001179B2" w:rsidRDefault="00E62116" w:rsidP="00DF4044">
      <w:pPr>
        <w:spacing w:line="240" w:lineRule="auto"/>
        <w:jc w:val="both"/>
        <w:rPr>
          <w:rFonts w:ascii="Times New Roman" w:hAnsi="Times New Roman" w:cs="Times New Roman"/>
          <w:sz w:val="28"/>
          <w:szCs w:val="28"/>
          <w:lang w:val="uk-UA"/>
        </w:rPr>
      </w:pPr>
    </w:p>
    <w:p w14:paraId="47554208" w14:textId="77777777" w:rsidR="00E62116" w:rsidRPr="001179B2" w:rsidRDefault="00E62116"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Зазначена проблема не може бути розв’язана за допомогою ринкових механізмів, оскільки питання, що порушуються в ній, не стосуються механізмів стихійного регулювання ціни, темпів і пропорцій суспільного виробництва.</w:t>
      </w:r>
    </w:p>
    <w:p w14:paraId="2CD2F5AA" w14:textId="77777777" w:rsidR="00E62116" w:rsidRPr="001179B2" w:rsidRDefault="00E62116" w:rsidP="00DF4044">
      <w:pPr>
        <w:spacing w:line="240" w:lineRule="auto"/>
        <w:ind w:firstLine="567"/>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Також ця проблема не може бути розв’язана за допомогою діючих регуляторних актів, у зв’язку з тим, що на сьогодні відсутні регуляторні акти, які б вирішували зазначену проблему.</w:t>
      </w:r>
    </w:p>
    <w:p w14:paraId="34274803" w14:textId="77777777" w:rsidR="00E62116" w:rsidRPr="001179B2" w:rsidRDefault="00E62116" w:rsidP="00DF4044">
      <w:pPr>
        <w:spacing w:line="240" w:lineRule="auto"/>
        <w:ind w:firstLine="567"/>
        <w:jc w:val="both"/>
        <w:rPr>
          <w:rFonts w:ascii="Times New Roman" w:hAnsi="Times New Roman" w:cs="Times New Roman"/>
          <w:sz w:val="28"/>
          <w:szCs w:val="28"/>
          <w:lang w:val="uk-UA"/>
        </w:rPr>
      </w:pPr>
    </w:p>
    <w:p w14:paraId="620258FB" w14:textId="77777777" w:rsidR="00E62116" w:rsidRPr="001179B2" w:rsidRDefault="00E62116" w:rsidP="00DF4044">
      <w:pPr>
        <w:spacing w:line="240" w:lineRule="auto"/>
        <w:ind w:firstLine="708"/>
        <w:jc w:val="both"/>
        <w:rPr>
          <w:rFonts w:ascii="Times New Roman" w:hAnsi="Times New Roman" w:cs="Times New Roman"/>
          <w:b/>
          <w:sz w:val="28"/>
          <w:szCs w:val="28"/>
          <w:lang w:val="uk-UA"/>
        </w:rPr>
      </w:pPr>
      <w:r w:rsidRPr="001179B2">
        <w:rPr>
          <w:rFonts w:ascii="Times New Roman" w:hAnsi="Times New Roman" w:cs="Times New Roman"/>
          <w:b/>
          <w:sz w:val="28"/>
          <w:szCs w:val="28"/>
          <w:lang w:val="uk-UA"/>
        </w:rPr>
        <w:t>II. Цілі державного регулювання</w:t>
      </w:r>
    </w:p>
    <w:p w14:paraId="0F1C7060" w14:textId="77777777" w:rsidR="00E62116" w:rsidRPr="001179B2" w:rsidRDefault="00E62116" w:rsidP="00DF4044">
      <w:pPr>
        <w:spacing w:line="240" w:lineRule="auto"/>
        <w:jc w:val="both"/>
        <w:rPr>
          <w:rFonts w:ascii="Times New Roman" w:hAnsi="Times New Roman" w:cs="Times New Roman"/>
          <w:sz w:val="28"/>
          <w:szCs w:val="28"/>
          <w:lang w:val="uk-UA"/>
        </w:rPr>
      </w:pPr>
    </w:p>
    <w:p w14:paraId="510FC886" w14:textId="5B9E6727" w:rsidR="00E62116" w:rsidRPr="001179B2" w:rsidRDefault="00E62116" w:rsidP="00DF4044">
      <w:pPr>
        <w:pStyle w:val="a3"/>
        <w:ind w:firstLine="567"/>
        <w:jc w:val="both"/>
        <w:rPr>
          <w:rFonts w:ascii="Times New Roman" w:hAnsi="Times New Roman" w:cs="Times New Roman"/>
          <w:sz w:val="28"/>
          <w:lang w:val="uk-UA"/>
        </w:rPr>
      </w:pPr>
      <w:r w:rsidRPr="001179B2">
        <w:rPr>
          <w:rFonts w:ascii="Times New Roman" w:hAnsi="Times New Roman" w:cs="Times New Roman"/>
          <w:sz w:val="28"/>
          <w:szCs w:val="28"/>
          <w:lang w:val="uk-UA"/>
        </w:rPr>
        <w:t>Основною ціллю державного регулювання запропонованого регуляторного акта є удосконалення процедури</w:t>
      </w:r>
      <w:r w:rsidRPr="001179B2">
        <w:rPr>
          <w:rFonts w:ascii="Times New Roman" w:hAnsi="Times New Roman" w:cs="Times New Roman"/>
          <w:sz w:val="28"/>
          <w:lang w:val="uk-UA"/>
        </w:rPr>
        <w:t xml:space="preserve"> </w:t>
      </w:r>
      <w:r w:rsidR="00665D2A" w:rsidRPr="001179B2">
        <w:rPr>
          <w:rFonts w:ascii="Times New Roman" w:hAnsi="Times New Roman" w:cs="Times New Roman"/>
          <w:sz w:val="28"/>
          <w:lang w:val="uk-UA"/>
        </w:rPr>
        <w:t>оформлення, переоформлення, видачі, зберігання та обліку сертифікатів про акредитацію освітньо-професійної програми у сфері фахової передвищої освіти</w:t>
      </w:r>
      <w:r w:rsidR="007E7435">
        <w:rPr>
          <w:rFonts w:ascii="Times New Roman" w:hAnsi="Times New Roman" w:cs="Times New Roman"/>
          <w:sz w:val="28"/>
          <w:lang w:val="uk-UA"/>
        </w:rPr>
        <w:t xml:space="preserve"> </w:t>
      </w:r>
      <w:r w:rsidR="007E7435" w:rsidRPr="001179B2">
        <w:rPr>
          <w:rFonts w:ascii="Times New Roman" w:hAnsi="Times New Roman" w:cs="Times New Roman"/>
          <w:sz w:val="28"/>
          <w:lang w:val="uk-UA"/>
        </w:rPr>
        <w:t>(їх дублікатів)</w:t>
      </w:r>
      <w:r w:rsidR="007E7435">
        <w:rPr>
          <w:rFonts w:ascii="Times New Roman" w:hAnsi="Times New Roman" w:cs="Times New Roman"/>
          <w:sz w:val="28"/>
          <w:lang w:val="uk-UA"/>
        </w:rPr>
        <w:t xml:space="preserve">, </w:t>
      </w:r>
      <w:r w:rsidR="007E7435" w:rsidRPr="00DF4044">
        <w:rPr>
          <w:rFonts w:ascii="Times New Roman" w:hAnsi="Times New Roman" w:cs="Times New Roman"/>
          <w:sz w:val="28"/>
          <w:lang w:val="uk-UA"/>
        </w:rPr>
        <w:t>конкретиз</w:t>
      </w:r>
      <w:r w:rsidR="007E7435">
        <w:rPr>
          <w:rFonts w:ascii="Times New Roman" w:hAnsi="Times New Roman" w:cs="Times New Roman"/>
          <w:sz w:val="28"/>
          <w:lang w:val="uk-UA"/>
        </w:rPr>
        <w:t>ація</w:t>
      </w:r>
      <w:r w:rsidR="007E7435" w:rsidRPr="00DF4044">
        <w:rPr>
          <w:rFonts w:ascii="Times New Roman" w:hAnsi="Times New Roman" w:cs="Times New Roman"/>
          <w:sz w:val="28"/>
          <w:lang w:val="uk-UA"/>
        </w:rPr>
        <w:t xml:space="preserve"> процедур</w:t>
      </w:r>
      <w:r w:rsidR="007E7435">
        <w:rPr>
          <w:rFonts w:ascii="Times New Roman" w:hAnsi="Times New Roman" w:cs="Times New Roman"/>
          <w:sz w:val="28"/>
          <w:lang w:val="uk-UA"/>
        </w:rPr>
        <w:t>и</w:t>
      </w:r>
      <w:r w:rsidR="007E7435" w:rsidRPr="00DF4044">
        <w:rPr>
          <w:rFonts w:ascii="Times New Roman" w:hAnsi="Times New Roman" w:cs="Times New Roman"/>
          <w:sz w:val="28"/>
          <w:lang w:val="uk-UA"/>
        </w:rPr>
        <w:t xml:space="preserve"> підтвердження рішення про акредитацію освітньо-професійних програм у сфері фахової передвищої освіти</w:t>
      </w:r>
      <w:r w:rsidR="00665D2A" w:rsidRPr="001179B2">
        <w:rPr>
          <w:rFonts w:ascii="Times New Roman" w:hAnsi="Times New Roman" w:cs="Times New Roman"/>
          <w:sz w:val="28"/>
          <w:lang w:val="uk-UA"/>
        </w:rPr>
        <w:t xml:space="preserve"> </w:t>
      </w:r>
      <w:r w:rsidRPr="001179B2">
        <w:rPr>
          <w:rFonts w:ascii="Times New Roman" w:hAnsi="Times New Roman" w:cs="Times New Roman"/>
          <w:sz w:val="28"/>
          <w:lang w:val="uk-UA"/>
        </w:rPr>
        <w:t>шляхом узгодження його положень із Законом № 2073-ІХ, що не втратить актуальн</w:t>
      </w:r>
      <w:r w:rsidR="00B27F46" w:rsidRPr="001179B2">
        <w:rPr>
          <w:rFonts w:ascii="Times New Roman" w:hAnsi="Times New Roman" w:cs="Times New Roman"/>
          <w:sz w:val="28"/>
          <w:lang w:val="uk-UA"/>
        </w:rPr>
        <w:t>ості</w:t>
      </w:r>
      <w:r w:rsidRPr="001179B2">
        <w:rPr>
          <w:rFonts w:ascii="Times New Roman" w:hAnsi="Times New Roman" w:cs="Times New Roman"/>
          <w:sz w:val="28"/>
          <w:lang w:val="uk-UA"/>
        </w:rPr>
        <w:t xml:space="preserve"> </w:t>
      </w:r>
      <w:r w:rsidR="00B27F46" w:rsidRPr="001179B2">
        <w:rPr>
          <w:rFonts w:ascii="Times New Roman" w:hAnsi="Times New Roman" w:cs="Times New Roman"/>
          <w:sz w:val="28"/>
          <w:lang w:val="uk-UA"/>
        </w:rPr>
        <w:t>й</w:t>
      </w:r>
      <w:r w:rsidRPr="001179B2">
        <w:rPr>
          <w:rFonts w:ascii="Times New Roman" w:hAnsi="Times New Roman" w:cs="Times New Roman"/>
          <w:sz w:val="28"/>
          <w:lang w:val="uk-UA"/>
        </w:rPr>
        <w:t xml:space="preserve"> після його завершення. </w:t>
      </w:r>
    </w:p>
    <w:p w14:paraId="658C989D" w14:textId="77777777" w:rsidR="00E62116" w:rsidRPr="001179B2" w:rsidRDefault="00E62116" w:rsidP="00DF4044">
      <w:pPr>
        <w:spacing w:line="240" w:lineRule="auto"/>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 xml:space="preserve"> </w:t>
      </w:r>
    </w:p>
    <w:p w14:paraId="5DC7BA5E" w14:textId="77777777" w:rsidR="00E62116" w:rsidRPr="001179B2" w:rsidRDefault="00E62116" w:rsidP="00DF4044">
      <w:pPr>
        <w:spacing w:line="240" w:lineRule="auto"/>
        <w:ind w:firstLine="708"/>
        <w:jc w:val="center"/>
        <w:rPr>
          <w:rFonts w:ascii="Times New Roman" w:hAnsi="Times New Roman" w:cs="Times New Roman"/>
          <w:b/>
          <w:sz w:val="28"/>
          <w:szCs w:val="28"/>
          <w:lang w:val="uk-UA"/>
        </w:rPr>
      </w:pPr>
      <w:r w:rsidRPr="001179B2">
        <w:rPr>
          <w:rFonts w:ascii="Times New Roman" w:hAnsi="Times New Roman" w:cs="Times New Roman"/>
          <w:b/>
          <w:sz w:val="28"/>
          <w:szCs w:val="28"/>
          <w:lang w:val="uk-UA"/>
        </w:rPr>
        <w:t>III. Визначення та оцінка альтернативних способів досягнення цілей</w:t>
      </w:r>
    </w:p>
    <w:p w14:paraId="5245813D" w14:textId="77777777" w:rsidR="00E62116" w:rsidRPr="001179B2" w:rsidRDefault="00E62116"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1. Визначення альтернативних способів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5364"/>
      </w:tblGrid>
      <w:tr w:rsidR="00E62116" w:rsidRPr="001179B2" w14:paraId="1DA24B84" w14:textId="77777777" w:rsidTr="00FA7B01">
        <w:trPr>
          <w:tblHeader/>
        </w:trPr>
        <w:tc>
          <w:tcPr>
            <w:tcW w:w="2130" w:type="pct"/>
            <w:shd w:val="clear" w:color="auto" w:fill="auto"/>
          </w:tcPr>
          <w:p w14:paraId="4F7BD9E0"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Вид альтернативи</w:t>
            </w:r>
          </w:p>
        </w:tc>
        <w:tc>
          <w:tcPr>
            <w:tcW w:w="2870" w:type="pct"/>
            <w:shd w:val="clear" w:color="auto" w:fill="auto"/>
          </w:tcPr>
          <w:p w14:paraId="5D62429C"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Опис альтернативи</w:t>
            </w:r>
          </w:p>
        </w:tc>
      </w:tr>
      <w:tr w:rsidR="00E62116" w:rsidRPr="00E62D4E" w14:paraId="31C3028F" w14:textId="77777777" w:rsidTr="00FA7B01">
        <w:tc>
          <w:tcPr>
            <w:tcW w:w="2130" w:type="pct"/>
            <w:shd w:val="clear" w:color="auto" w:fill="auto"/>
          </w:tcPr>
          <w:p w14:paraId="7637CF8E" w14:textId="77777777" w:rsidR="00E62116" w:rsidRPr="001179B2" w:rsidRDefault="00E62116" w:rsidP="00DF4044">
            <w:pPr>
              <w:spacing w:line="240" w:lineRule="auto"/>
              <w:rPr>
                <w:rFonts w:ascii="Times New Roman" w:hAnsi="Times New Roman" w:cs="Times New Roman"/>
                <w:sz w:val="24"/>
                <w:szCs w:val="24"/>
                <w:lang w:val="uk-UA"/>
              </w:rPr>
            </w:pPr>
            <w:r w:rsidRPr="001179B2">
              <w:rPr>
                <w:rFonts w:ascii="Times New Roman" w:hAnsi="Times New Roman" w:cs="Times New Roman"/>
                <w:sz w:val="24"/>
                <w:szCs w:val="24"/>
                <w:lang w:val="uk-UA"/>
              </w:rPr>
              <w:t>Альтернатива 1</w:t>
            </w:r>
          </w:p>
          <w:p w14:paraId="56227B29"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(збереження чинного регулювання)</w:t>
            </w:r>
          </w:p>
          <w:p w14:paraId="03DBC869" w14:textId="77777777" w:rsidR="00E62116" w:rsidRPr="001179B2" w:rsidRDefault="00E62116" w:rsidP="00DF4044">
            <w:pPr>
              <w:spacing w:line="240" w:lineRule="auto"/>
              <w:rPr>
                <w:rFonts w:ascii="Times New Roman" w:hAnsi="Times New Roman" w:cs="Times New Roman"/>
                <w:sz w:val="24"/>
                <w:szCs w:val="24"/>
                <w:lang w:val="uk-UA"/>
              </w:rPr>
            </w:pPr>
          </w:p>
        </w:tc>
        <w:tc>
          <w:tcPr>
            <w:tcW w:w="2870" w:type="pct"/>
            <w:shd w:val="clear" w:color="auto" w:fill="auto"/>
          </w:tcPr>
          <w:p w14:paraId="21A428EE" w14:textId="77777777" w:rsidR="00E62116" w:rsidRPr="001179B2" w:rsidRDefault="00E62116" w:rsidP="007E7435">
            <w:pPr>
              <w:spacing w:line="240" w:lineRule="auto"/>
              <w:ind w:firstLine="584"/>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lastRenderedPageBreak/>
              <w:t xml:space="preserve">Збереження чинного нормативного регулювання процедури </w:t>
            </w:r>
            <w:r w:rsidR="00665D2A" w:rsidRPr="001179B2">
              <w:rPr>
                <w:rFonts w:ascii="Times New Roman" w:hAnsi="Times New Roman" w:cs="Times New Roman"/>
                <w:sz w:val="24"/>
                <w:szCs w:val="24"/>
                <w:lang w:val="uk-UA"/>
              </w:rPr>
              <w:t xml:space="preserve">оформлення, </w:t>
            </w:r>
            <w:r w:rsidR="00665D2A" w:rsidRPr="001179B2">
              <w:rPr>
                <w:rFonts w:ascii="Times New Roman" w:hAnsi="Times New Roman" w:cs="Times New Roman"/>
                <w:sz w:val="24"/>
                <w:szCs w:val="24"/>
                <w:lang w:val="uk-UA"/>
              </w:rPr>
              <w:lastRenderedPageBreak/>
              <w:t>переоформлення, видачі, зберігання та обліку сертифікатів про акредитацію освітньо-професійної програми у сфері фахової передвищої освіти (їх дублікатів)</w:t>
            </w:r>
            <w:r w:rsidRPr="001179B2">
              <w:rPr>
                <w:rFonts w:ascii="Times New Roman" w:hAnsi="Times New Roman" w:cs="Times New Roman"/>
                <w:sz w:val="24"/>
                <w:szCs w:val="24"/>
                <w:lang w:val="uk-UA"/>
              </w:rPr>
              <w:t xml:space="preserve">призведе </w:t>
            </w:r>
            <w:r w:rsidR="00B27F46" w:rsidRPr="001179B2">
              <w:rPr>
                <w:rFonts w:ascii="Times New Roman" w:hAnsi="Times New Roman" w:cs="Times New Roman"/>
                <w:sz w:val="24"/>
                <w:szCs w:val="24"/>
                <w:lang w:val="uk-UA"/>
              </w:rPr>
              <w:t xml:space="preserve">до </w:t>
            </w:r>
            <w:r w:rsidRPr="001179B2">
              <w:rPr>
                <w:rFonts w:ascii="Times New Roman" w:hAnsi="Times New Roman" w:cs="Times New Roman"/>
                <w:sz w:val="24"/>
                <w:szCs w:val="24"/>
                <w:lang w:val="uk-UA"/>
              </w:rPr>
              <w:t xml:space="preserve">порушення вимог законодавства щодо </w:t>
            </w:r>
            <w:r w:rsidRPr="001179B2">
              <w:rPr>
                <w:rFonts w:ascii="Times New Roman" w:eastAsia="Calibri" w:hAnsi="Times New Roman" w:cs="Times New Roman"/>
                <w:sz w:val="24"/>
                <w:szCs w:val="24"/>
                <w:lang w:val="uk-UA"/>
              </w:rPr>
              <w:t xml:space="preserve">вирішення адміністративних справ </w:t>
            </w:r>
            <w:r w:rsidR="00665D2A" w:rsidRPr="001179B2">
              <w:rPr>
                <w:rFonts w:ascii="Times New Roman" w:eastAsia="Calibri" w:hAnsi="Times New Roman" w:cs="Times New Roman"/>
                <w:sz w:val="24"/>
                <w:szCs w:val="24"/>
                <w:lang w:val="uk-UA"/>
              </w:rPr>
              <w:t>у частині строків розгляду заяви про переоформлення сертифіката</w:t>
            </w:r>
            <w:r w:rsidR="00B27F46" w:rsidRPr="001179B2">
              <w:rPr>
                <w:rFonts w:ascii="Times New Roman" w:eastAsia="Calibri" w:hAnsi="Times New Roman" w:cs="Times New Roman"/>
                <w:sz w:val="24"/>
                <w:szCs w:val="24"/>
                <w:lang w:val="uk-UA"/>
              </w:rPr>
              <w:t>.</w:t>
            </w:r>
          </w:p>
        </w:tc>
      </w:tr>
      <w:tr w:rsidR="00E62116" w:rsidRPr="00E62D4E" w14:paraId="515EEA74" w14:textId="77777777" w:rsidTr="00FA7B01">
        <w:tc>
          <w:tcPr>
            <w:tcW w:w="2130" w:type="pct"/>
            <w:shd w:val="clear" w:color="auto" w:fill="auto"/>
          </w:tcPr>
          <w:p w14:paraId="21460876"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lastRenderedPageBreak/>
              <w:t>Альтернатива 2:</w:t>
            </w:r>
          </w:p>
          <w:p w14:paraId="16BF488C"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прийняття нормативного акта та проведення його державної реєстрації </w:t>
            </w:r>
          </w:p>
        </w:tc>
        <w:tc>
          <w:tcPr>
            <w:tcW w:w="2870" w:type="pct"/>
            <w:shd w:val="clear" w:color="auto" w:fill="auto"/>
          </w:tcPr>
          <w:p w14:paraId="434EE6BF" w14:textId="77777777" w:rsidR="00E62116" w:rsidRPr="001179B2" w:rsidRDefault="00E62116" w:rsidP="00DF4044">
            <w:pPr>
              <w:shd w:val="clear" w:color="auto" w:fill="FFFFFF"/>
              <w:spacing w:line="240" w:lineRule="auto"/>
              <w:ind w:firstLine="567"/>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Забезпечує досягнення цілей. Сприятиме реалізації засад державної політики у сфері освіти та принципів освітньої діяльності. </w:t>
            </w:r>
          </w:p>
          <w:p w14:paraId="44F6F697" w14:textId="77777777" w:rsidR="00E62116" w:rsidRPr="001179B2" w:rsidRDefault="00E62116" w:rsidP="00DF4044">
            <w:pPr>
              <w:spacing w:line="240" w:lineRule="auto"/>
              <w:ind w:firstLine="442"/>
              <w:jc w:val="both"/>
              <w:rPr>
                <w:rFonts w:ascii="Times New Roman" w:hAnsi="Times New Roman" w:cs="Times New Roman"/>
                <w:sz w:val="24"/>
                <w:szCs w:val="24"/>
                <w:lang w:val="uk-UA"/>
              </w:rPr>
            </w:pPr>
            <w:r w:rsidRPr="001179B2">
              <w:rPr>
                <w:rFonts w:ascii="Times New Roman" w:hAnsi="Times New Roman" w:cs="Times New Roman"/>
                <w:sz w:val="24"/>
                <w:szCs w:val="24"/>
                <w:shd w:val="clear" w:color="auto" w:fill="FFFFFF"/>
                <w:lang w:val="uk-UA"/>
              </w:rPr>
              <w:t xml:space="preserve">Прийняття проєкту акта забезпечить </w:t>
            </w:r>
            <w:r w:rsidR="00665D2A" w:rsidRPr="001179B2">
              <w:rPr>
                <w:rFonts w:ascii="Times New Roman" w:hAnsi="Times New Roman" w:cs="Times New Roman"/>
                <w:sz w:val="24"/>
                <w:szCs w:val="24"/>
                <w:shd w:val="clear" w:color="auto" w:fill="FFFFFF"/>
                <w:lang w:val="uk-UA"/>
              </w:rPr>
              <w:t xml:space="preserve">уточнення механізму переоформлення сертифікатів про акредитацію освітньо-професійних програм у сфері фахової передвищої освіти з врахуванням строків розгляду заяви про переоформлення сертифіката, прийняття </w:t>
            </w:r>
            <w:r w:rsidR="00B27F46" w:rsidRPr="001179B2">
              <w:rPr>
                <w:rFonts w:ascii="Times New Roman" w:hAnsi="Times New Roman" w:cs="Times New Roman"/>
                <w:sz w:val="24"/>
                <w:szCs w:val="24"/>
                <w:shd w:val="clear" w:color="auto" w:fill="FFFFFF"/>
                <w:lang w:val="uk-UA"/>
              </w:rPr>
              <w:t>Державною службою якості освіти України</w:t>
            </w:r>
            <w:r w:rsidR="00665D2A" w:rsidRPr="001179B2">
              <w:rPr>
                <w:rFonts w:ascii="Times New Roman" w:hAnsi="Times New Roman" w:cs="Times New Roman"/>
                <w:sz w:val="24"/>
                <w:szCs w:val="24"/>
                <w:shd w:val="clear" w:color="auto" w:fill="FFFFFF"/>
                <w:lang w:val="uk-UA"/>
              </w:rPr>
              <w:t xml:space="preserve"> рішень про залишення заяви без руху або відмову в переоформленні сертифіката, конкретизує процедуру підтвердження рішення про акредитацію освітньо-професійних програм у сфері фахової передвищої освіти засобами Єдиної державної бази з питань освіти.</w:t>
            </w:r>
            <w:r w:rsidRPr="001179B2">
              <w:rPr>
                <w:rFonts w:ascii="Times New Roman" w:hAnsi="Times New Roman" w:cs="Times New Roman"/>
                <w:sz w:val="24"/>
                <w:szCs w:val="24"/>
                <w:lang w:val="uk-UA"/>
              </w:rPr>
              <w:t xml:space="preserve">  </w:t>
            </w:r>
          </w:p>
        </w:tc>
      </w:tr>
    </w:tbl>
    <w:p w14:paraId="415537B0" w14:textId="77777777" w:rsidR="00E62116" w:rsidRPr="001179B2" w:rsidRDefault="00E62116" w:rsidP="00DF4044">
      <w:pPr>
        <w:spacing w:line="240" w:lineRule="auto"/>
        <w:jc w:val="both"/>
        <w:rPr>
          <w:rFonts w:ascii="Times New Roman" w:hAnsi="Times New Roman" w:cs="Times New Roman"/>
          <w:sz w:val="28"/>
          <w:szCs w:val="28"/>
          <w:lang w:val="uk-UA"/>
        </w:rPr>
      </w:pPr>
    </w:p>
    <w:p w14:paraId="7D4622B7" w14:textId="77777777" w:rsidR="00E62116" w:rsidRPr="001179B2" w:rsidRDefault="00E62116" w:rsidP="00DF4044">
      <w:pPr>
        <w:spacing w:line="240" w:lineRule="auto"/>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 xml:space="preserve">2. Оцінка вибраних альтернативних способів досягнення цілей </w:t>
      </w:r>
    </w:p>
    <w:p w14:paraId="06AEC723" w14:textId="77777777" w:rsidR="00E62116" w:rsidRPr="001179B2" w:rsidRDefault="00E62116" w:rsidP="00DF4044">
      <w:pPr>
        <w:spacing w:line="240" w:lineRule="auto"/>
        <w:jc w:val="both"/>
        <w:rPr>
          <w:rFonts w:ascii="Times New Roman" w:hAnsi="Times New Roman" w:cs="Times New Roman"/>
          <w:sz w:val="28"/>
          <w:szCs w:val="28"/>
          <w:lang w:val="uk-UA"/>
        </w:rPr>
      </w:pPr>
    </w:p>
    <w:p w14:paraId="7A1A388B" w14:textId="77777777" w:rsidR="00E62116" w:rsidRPr="001179B2" w:rsidRDefault="00E62116" w:rsidP="00DF4044">
      <w:pPr>
        <w:spacing w:line="240" w:lineRule="auto"/>
        <w:jc w:val="center"/>
        <w:rPr>
          <w:rFonts w:ascii="Times New Roman" w:hAnsi="Times New Roman" w:cs="Times New Roman"/>
          <w:sz w:val="28"/>
          <w:szCs w:val="28"/>
          <w:lang w:val="uk-UA"/>
        </w:rPr>
      </w:pPr>
      <w:r w:rsidRPr="001179B2">
        <w:rPr>
          <w:rFonts w:ascii="Times New Roman" w:hAnsi="Times New Roman" w:cs="Times New Roman"/>
          <w:sz w:val="28"/>
          <w:szCs w:val="28"/>
          <w:lang w:val="uk-UA"/>
        </w:rPr>
        <w:t>Оцінка впливу на сферу інтересів держави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321"/>
        <w:gridCol w:w="3704"/>
      </w:tblGrid>
      <w:tr w:rsidR="00E62116" w:rsidRPr="001179B2" w14:paraId="1A0AD1FA" w14:textId="77777777" w:rsidTr="00FA7B01">
        <w:tc>
          <w:tcPr>
            <w:tcW w:w="1241" w:type="pct"/>
            <w:shd w:val="clear" w:color="auto" w:fill="auto"/>
          </w:tcPr>
          <w:p w14:paraId="5AF81A7D"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Вид альтернативи</w:t>
            </w:r>
          </w:p>
        </w:tc>
        <w:tc>
          <w:tcPr>
            <w:tcW w:w="1777" w:type="pct"/>
            <w:shd w:val="clear" w:color="auto" w:fill="auto"/>
          </w:tcPr>
          <w:p w14:paraId="7B1D201F"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Вигоди</w:t>
            </w:r>
          </w:p>
        </w:tc>
        <w:tc>
          <w:tcPr>
            <w:tcW w:w="1982" w:type="pct"/>
            <w:shd w:val="clear" w:color="auto" w:fill="auto"/>
          </w:tcPr>
          <w:p w14:paraId="276648FD"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Витрати</w:t>
            </w:r>
          </w:p>
        </w:tc>
      </w:tr>
      <w:tr w:rsidR="00E62116" w:rsidRPr="001179B2" w14:paraId="1E85669C" w14:textId="77777777" w:rsidTr="00FA7B01">
        <w:tc>
          <w:tcPr>
            <w:tcW w:w="1241" w:type="pct"/>
            <w:shd w:val="clear" w:color="auto" w:fill="auto"/>
          </w:tcPr>
          <w:p w14:paraId="2C2622E9"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Альтернатива 1</w:t>
            </w:r>
          </w:p>
        </w:tc>
        <w:tc>
          <w:tcPr>
            <w:tcW w:w="1777" w:type="pct"/>
            <w:shd w:val="clear" w:color="auto" w:fill="auto"/>
          </w:tcPr>
          <w:p w14:paraId="4E161C3C"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Відсутні</w:t>
            </w:r>
          </w:p>
        </w:tc>
        <w:tc>
          <w:tcPr>
            <w:tcW w:w="1982" w:type="pct"/>
            <w:shd w:val="clear" w:color="auto" w:fill="auto"/>
          </w:tcPr>
          <w:p w14:paraId="41461099"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Порушення чинного законодавства України. Відсутність </w:t>
            </w:r>
            <w:r w:rsidR="00DF4474" w:rsidRPr="001179B2">
              <w:rPr>
                <w:rFonts w:ascii="Times New Roman" w:hAnsi="Times New Roman" w:cs="Times New Roman"/>
                <w:sz w:val="24"/>
                <w:szCs w:val="24"/>
                <w:lang w:val="uk-UA"/>
              </w:rPr>
              <w:t xml:space="preserve">чітко визначених </w:t>
            </w:r>
            <w:r w:rsidR="00DF4474" w:rsidRPr="001179B2">
              <w:rPr>
                <w:rFonts w:ascii="Times New Roman" w:hAnsi="Times New Roman" w:cs="Times New Roman"/>
                <w:sz w:val="24"/>
                <w:szCs w:val="24"/>
                <w:shd w:val="clear" w:color="auto" w:fill="FFFFFF"/>
                <w:lang w:val="uk-UA"/>
              </w:rPr>
              <w:t>строків розгляду заяви про переоформлення сертифіката, рішень про залишення заяви без руху або відмову в переоформленні сертифіката</w:t>
            </w:r>
            <w:r w:rsidRPr="001179B2">
              <w:rPr>
                <w:rFonts w:ascii="Times New Roman" w:hAnsi="Times New Roman" w:cs="Times New Roman"/>
                <w:sz w:val="24"/>
                <w:szCs w:val="24"/>
                <w:lang w:val="uk-UA"/>
              </w:rPr>
              <w:t>.</w:t>
            </w:r>
          </w:p>
          <w:p w14:paraId="37F79F84" w14:textId="77777777" w:rsidR="00B27F46" w:rsidRPr="001179B2" w:rsidRDefault="00B27F4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Не враховується </w:t>
            </w:r>
            <w:r w:rsidRPr="001179B2">
              <w:rPr>
                <w:rFonts w:ascii="Times New Roman" w:hAnsi="Times New Roman" w:cs="Times New Roman"/>
                <w:sz w:val="24"/>
                <w:szCs w:val="24"/>
                <w:shd w:val="clear" w:color="auto" w:fill="FFFFFF"/>
                <w:lang w:val="uk-UA"/>
              </w:rPr>
              <w:t>процедуру підтвердження рішення про акредитацію освітньо-професійних програм у сфері фахової передвищої освіти засобами Єдиної державної бази з питань освіти</w:t>
            </w:r>
          </w:p>
          <w:p w14:paraId="31AF4DF1"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Фінансові витрати не змінюються.</w:t>
            </w:r>
          </w:p>
          <w:p w14:paraId="2D4DD8DD" w14:textId="77777777" w:rsidR="00E62116" w:rsidRPr="001179B2" w:rsidRDefault="00E62116" w:rsidP="00DF4044">
            <w:pPr>
              <w:spacing w:line="240" w:lineRule="auto"/>
              <w:jc w:val="both"/>
              <w:rPr>
                <w:rFonts w:ascii="Times New Roman" w:hAnsi="Times New Roman" w:cs="Times New Roman"/>
                <w:sz w:val="24"/>
                <w:szCs w:val="24"/>
                <w:lang w:val="uk-UA"/>
              </w:rPr>
            </w:pPr>
          </w:p>
        </w:tc>
      </w:tr>
      <w:tr w:rsidR="00E62116" w:rsidRPr="00E62D4E" w14:paraId="13006E72" w14:textId="77777777" w:rsidTr="00FA7B01">
        <w:trPr>
          <w:trHeight w:val="6653"/>
        </w:trPr>
        <w:tc>
          <w:tcPr>
            <w:tcW w:w="1241" w:type="pct"/>
            <w:shd w:val="clear" w:color="auto" w:fill="auto"/>
          </w:tcPr>
          <w:p w14:paraId="7EBE3DB8"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lastRenderedPageBreak/>
              <w:t>Альтернатива 2</w:t>
            </w:r>
          </w:p>
        </w:tc>
        <w:tc>
          <w:tcPr>
            <w:tcW w:w="1777" w:type="pct"/>
            <w:shd w:val="clear" w:color="auto" w:fill="auto"/>
          </w:tcPr>
          <w:p w14:paraId="6352ADE2"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Забезпечить досягнення цілей. Сприятиме реалізації засад державної політики у сфері освіти та принципів освітньої діяльності. </w:t>
            </w:r>
          </w:p>
          <w:p w14:paraId="75E5A29F"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Забезпечить: </w:t>
            </w:r>
          </w:p>
          <w:p w14:paraId="059CA0B5"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відповідність нормативно-правового акта нормам Закону України «Про адміністративну процедуру» та іншим, прийнятим у 2022, 2023 роках нормативно-правовим актам.</w:t>
            </w:r>
          </w:p>
          <w:p w14:paraId="64CDE571" w14:textId="77777777" w:rsidR="00E62116" w:rsidRPr="001179B2" w:rsidRDefault="00E62116" w:rsidP="00DF4044">
            <w:pPr>
              <w:spacing w:line="240" w:lineRule="auto"/>
              <w:ind w:firstLine="402"/>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Забезпечить </w:t>
            </w:r>
            <w:r w:rsidR="00DF4474" w:rsidRPr="001179B2">
              <w:rPr>
                <w:rFonts w:ascii="Times New Roman" w:hAnsi="Times New Roman" w:cs="Times New Roman"/>
                <w:sz w:val="24"/>
                <w:szCs w:val="24"/>
                <w:shd w:val="clear" w:color="auto" w:fill="FFFFFF"/>
                <w:lang w:val="uk-UA"/>
              </w:rPr>
              <w:t xml:space="preserve">уточнення механізму переоформлення сертифікатів про акредитацію освітньо-професійних програм у сфері фахової передвищої освіти з врахуванням строків розгляду заяви про переоформлення сертифіката, прийняття </w:t>
            </w:r>
            <w:r w:rsidR="00B27F46" w:rsidRPr="001179B2">
              <w:rPr>
                <w:rFonts w:ascii="Times New Roman" w:hAnsi="Times New Roman" w:cs="Times New Roman"/>
                <w:sz w:val="24"/>
                <w:szCs w:val="24"/>
                <w:shd w:val="clear" w:color="auto" w:fill="FFFFFF"/>
                <w:lang w:val="uk-UA"/>
              </w:rPr>
              <w:t>Державною службою якості освіти України</w:t>
            </w:r>
            <w:r w:rsidR="00DF4474" w:rsidRPr="001179B2">
              <w:rPr>
                <w:rFonts w:ascii="Times New Roman" w:hAnsi="Times New Roman" w:cs="Times New Roman"/>
                <w:sz w:val="24"/>
                <w:szCs w:val="24"/>
                <w:shd w:val="clear" w:color="auto" w:fill="FFFFFF"/>
                <w:lang w:val="uk-UA"/>
              </w:rPr>
              <w:t xml:space="preserve"> рішень про залишення заяви без руху або відмову в переоформленні сертифіката, конкретизує процедуру підтвердження рішення про акредитацію освітньо-професійних програм у сфері фахової передвищої освіти засобами Єдиної державної бази з питань освіти.</w:t>
            </w:r>
          </w:p>
        </w:tc>
        <w:tc>
          <w:tcPr>
            <w:tcW w:w="1982" w:type="pct"/>
            <w:shd w:val="clear" w:color="auto" w:fill="auto"/>
          </w:tcPr>
          <w:p w14:paraId="49E807E7" w14:textId="636BA36F"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Додаткові витрати на процедури</w:t>
            </w:r>
            <w:r w:rsidR="00DF4474" w:rsidRPr="001179B2">
              <w:rPr>
                <w:rFonts w:ascii="Times New Roman" w:hAnsi="Times New Roman" w:cs="Times New Roman"/>
                <w:sz w:val="24"/>
                <w:szCs w:val="24"/>
                <w:lang w:val="uk-UA"/>
              </w:rPr>
              <w:t xml:space="preserve"> оформлення, переоформлення, видачі, зберігання та обліку сертифікатів про акредитацію освітньо-професійної програми у сфері фахової передвищої освіти (їх дублікатів)</w:t>
            </w:r>
            <w:r w:rsidRPr="001179B2">
              <w:rPr>
                <w:rFonts w:ascii="Times New Roman" w:hAnsi="Times New Roman" w:cs="Times New Roman"/>
                <w:sz w:val="24"/>
                <w:szCs w:val="24"/>
                <w:lang w:val="uk-UA"/>
              </w:rPr>
              <w:t xml:space="preserve">, які здійснюватимуться </w:t>
            </w:r>
            <w:r w:rsidR="00B27F46" w:rsidRPr="001179B2">
              <w:rPr>
                <w:rFonts w:ascii="Times New Roman" w:hAnsi="Times New Roman" w:cs="Times New Roman"/>
                <w:sz w:val="24"/>
                <w:szCs w:val="24"/>
                <w:lang w:val="uk-UA"/>
              </w:rPr>
              <w:t xml:space="preserve">відповідно до </w:t>
            </w:r>
            <w:r w:rsidRPr="001179B2">
              <w:rPr>
                <w:rFonts w:ascii="Times New Roman" w:hAnsi="Times New Roman" w:cs="Times New Roman"/>
                <w:sz w:val="24"/>
                <w:szCs w:val="24"/>
                <w:lang w:val="uk-UA"/>
              </w:rPr>
              <w:t xml:space="preserve"> </w:t>
            </w:r>
            <w:r w:rsidR="00671F6C">
              <w:rPr>
                <w:rFonts w:ascii="Times New Roman" w:hAnsi="Times New Roman" w:cs="Times New Roman"/>
                <w:sz w:val="24"/>
                <w:szCs w:val="24"/>
                <w:lang w:val="uk-UA"/>
              </w:rPr>
              <w:t>наказу</w:t>
            </w:r>
            <w:r w:rsidRPr="001179B2">
              <w:rPr>
                <w:rFonts w:ascii="Times New Roman" w:hAnsi="Times New Roman" w:cs="Times New Roman"/>
                <w:sz w:val="24"/>
                <w:szCs w:val="24"/>
                <w:lang w:val="uk-UA"/>
              </w:rPr>
              <w:t xml:space="preserve"> з внесеними змінами, що пропонуються проєктом акта, не передбачаються.</w:t>
            </w:r>
          </w:p>
          <w:p w14:paraId="6583F950"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 </w:t>
            </w:r>
          </w:p>
        </w:tc>
      </w:tr>
    </w:tbl>
    <w:p w14:paraId="323F5FD8" w14:textId="77777777" w:rsidR="00E62116" w:rsidRPr="001179B2" w:rsidRDefault="00E62116" w:rsidP="00DF4044">
      <w:pPr>
        <w:spacing w:line="240" w:lineRule="auto"/>
        <w:jc w:val="center"/>
        <w:rPr>
          <w:rFonts w:ascii="Times New Roman" w:hAnsi="Times New Roman" w:cs="Times New Roman"/>
          <w:sz w:val="28"/>
          <w:szCs w:val="28"/>
          <w:lang w:val="uk-UA"/>
        </w:rPr>
      </w:pPr>
      <w:r w:rsidRPr="001179B2">
        <w:rPr>
          <w:rFonts w:ascii="Times New Roman" w:hAnsi="Times New Roman" w:cs="Times New Roman"/>
          <w:sz w:val="28"/>
          <w:szCs w:val="28"/>
          <w:lang w:val="uk-UA"/>
        </w:rPr>
        <w:t>Оцінка впливу на сферу інтересів громадян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3183"/>
        <w:gridCol w:w="3564"/>
      </w:tblGrid>
      <w:tr w:rsidR="00E62116" w:rsidRPr="001179B2" w14:paraId="6BE72902" w14:textId="77777777" w:rsidTr="00FA7B01">
        <w:tc>
          <w:tcPr>
            <w:tcW w:w="1390" w:type="pct"/>
            <w:shd w:val="clear" w:color="auto" w:fill="auto"/>
          </w:tcPr>
          <w:p w14:paraId="444C9C96"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Вид альтернативи</w:t>
            </w:r>
          </w:p>
        </w:tc>
        <w:tc>
          <w:tcPr>
            <w:tcW w:w="1703" w:type="pct"/>
            <w:shd w:val="clear" w:color="auto" w:fill="auto"/>
          </w:tcPr>
          <w:p w14:paraId="4A200C65"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Вигоди</w:t>
            </w:r>
          </w:p>
        </w:tc>
        <w:tc>
          <w:tcPr>
            <w:tcW w:w="1907" w:type="pct"/>
            <w:shd w:val="clear" w:color="auto" w:fill="auto"/>
          </w:tcPr>
          <w:p w14:paraId="4A8859BB"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Витрати</w:t>
            </w:r>
          </w:p>
        </w:tc>
      </w:tr>
      <w:tr w:rsidR="00E62116" w:rsidRPr="00E62D4E" w14:paraId="4E528033" w14:textId="77777777" w:rsidTr="00FA7B01">
        <w:tc>
          <w:tcPr>
            <w:tcW w:w="1390" w:type="pct"/>
            <w:shd w:val="clear" w:color="auto" w:fill="auto"/>
          </w:tcPr>
          <w:p w14:paraId="1E1D15E8"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Альтернатива 1</w:t>
            </w:r>
          </w:p>
        </w:tc>
        <w:tc>
          <w:tcPr>
            <w:tcW w:w="1703" w:type="pct"/>
            <w:shd w:val="clear" w:color="auto" w:fill="auto"/>
          </w:tcPr>
          <w:p w14:paraId="5CDE3993"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Відсутні</w:t>
            </w:r>
          </w:p>
        </w:tc>
        <w:tc>
          <w:tcPr>
            <w:tcW w:w="1907" w:type="pct"/>
            <w:shd w:val="clear" w:color="auto" w:fill="auto"/>
          </w:tcPr>
          <w:p w14:paraId="5453A381" w14:textId="77777777" w:rsidR="00D276F6" w:rsidRPr="001179B2" w:rsidRDefault="00B27F4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П</w:t>
            </w:r>
            <w:r w:rsidR="00E62116" w:rsidRPr="001179B2">
              <w:rPr>
                <w:rFonts w:ascii="Times New Roman" w:hAnsi="Times New Roman" w:cs="Times New Roman"/>
                <w:sz w:val="24"/>
                <w:szCs w:val="24"/>
                <w:lang w:val="uk-UA"/>
              </w:rPr>
              <w:t xml:space="preserve">орушення вимог законодавства  щодо </w:t>
            </w:r>
            <w:r w:rsidR="00E62116" w:rsidRPr="001179B2">
              <w:rPr>
                <w:rFonts w:ascii="Times New Roman" w:eastAsia="Calibri" w:hAnsi="Times New Roman" w:cs="Times New Roman"/>
                <w:sz w:val="24"/>
                <w:szCs w:val="24"/>
                <w:lang w:val="uk-UA"/>
              </w:rPr>
              <w:t>вирішення адміністративних справ шляхом прийняття та виконання адміністративних актів</w:t>
            </w:r>
            <w:r w:rsidRPr="001179B2">
              <w:rPr>
                <w:rFonts w:ascii="Times New Roman" w:eastAsia="Calibri" w:hAnsi="Times New Roman" w:cs="Times New Roman"/>
                <w:sz w:val="24"/>
                <w:szCs w:val="24"/>
                <w:lang w:val="uk-UA"/>
              </w:rPr>
              <w:t xml:space="preserve"> у частині чітко визначених термінів процедур переоформлення сертифікатів чи підтвердження рішення про акредитацію</w:t>
            </w:r>
            <w:r w:rsidR="00D276F6" w:rsidRPr="001179B2">
              <w:rPr>
                <w:rFonts w:ascii="Times New Roman" w:eastAsia="Calibri" w:hAnsi="Times New Roman" w:cs="Times New Roman"/>
                <w:sz w:val="24"/>
                <w:szCs w:val="24"/>
                <w:lang w:val="uk-UA"/>
              </w:rPr>
              <w:t xml:space="preserve"> </w:t>
            </w:r>
            <w:r w:rsidR="00D276F6" w:rsidRPr="001179B2">
              <w:rPr>
                <w:rFonts w:ascii="Times New Roman" w:hAnsi="Times New Roman" w:cs="Times New Roman"/>
                <w:sz w:val="24"/>
                <w:szCs w:val="24"/>
                <w:shd w:val="clear" w:color="auto" w:fill="FFFFFF"/>
                <w:lang w:val="uk-UA"/>
              </w:rPr>
              <w:t>освітньо-професійних програм у сфері фахової передвищої освіти засобами Єдиної державної бази з питань освіти</w:t>
            </w:r>
            <w:r w:rsidR="00E62116" w:rsidRPr="001179B2">
              <w:rPr>
                <w:rFonts w:ascii="Times New Roman" w:eastAsia="Calibri" w:hAnsi="Times New Roman" w:cs="Times New Roman"/>
                <w:sz w:val="24"/>
                <w:szCs w:val="24"/>
                <w:lang w:val="uk-UA"/>
              </w:rPr>
              <w:t>, внаслідок чого збільшується ризик не</w:t>
            </w:r>
            <w:r w:rsidR="00E62116" w:rsidRPr="001179B2">
              <w:rPr>
                <w:rFonts w:ascii="Times New Roman" w:hAnsi="Times New Roman" w:cs="Times New Roman"/>
                <w:sz w:val="24"/>
                <w:szCs w:val="24"/>
                <w:lang w:val="uk-UA"/>
              </w:rPr>
              <w:t xml:space="preserve">отримання освітньої послуги здобувачами фахової передвищої освіти за кошти </w:t>
            </w:r>
            <w:r w:rsidR="00E62116" w:rsidRPr="001179B2">
              <w:rPr>
                <w:rFonts w:ascii="Times New Roman" w:hAnsi="Times New Roman" w:cs="Times New Roman"/>
                <w:sz w:val="24"/>
                <w:szCs w:val="24"/>
                <w:lang w:val="uk-UA"/>
              </w:rPr>
              <w:lastRenderedPageBreak/>
              <w:t xml:space="preserve">державного або регіонального замовлення, а також документів про фахову передвищу освіту </w:t>
            </w:r>
            <w:r w:rsidR="00D276F6" w:rsidRPr="001179B2">
              <w:rPr>
                <w:rFonts w:ascii="Times New Roman" w:hAnsi="Times New Roman" w:cs="Times New Roman"/>
                <w:sz w:val="24"/>
                <w:szCs w:val="24"/>
                <w:lang w:val="uk-UA"/>
              </w:rPr>
              <w:t>у зв’язку з відсутністю сертифіката</w:t>
            </w:r>
            <w:r w:rsidR="00E62116" w:rsidRPr="001179B2">
              <w:rPr>
                <w:rFonts w:ascii="Times New Roman" w:hAnsi="Times New Roman" w:cs="Times New Roman"/>
                <w:sz w:val="24"/>
                <w:szCs w:val="24"/>
                <w:lang w:val="uk-UA"/>
              </w:rPr>
              <w:t xml:space="preserve"> про акредитацію освітньо-професійних програм освітнього ступеня фахового молодшого бакалавра</w:t>
            </w:r>
            <w:r w:rsidR="00D276F6" w:rsidRPr="001179B2">
              <w:rPr>
                <w:rFonts w:ascii="Times New Roman" w:hAnsi="Times New Roman" w:cs="Times New Roman"/>
                <w:sz w:val="24"/>
                <w:szCs w:val="24"/>
                <w:lang w:val="uk-UA"/>
              </w:rPr>
              <w:t>.</w:t>
            </w:r>
            <w:r w:rsidR="00E62116" w:rsidRPr="001179B2">
              <w:rPr>
                <w:rFonts w:ascii="Times New Roman" w:hAnsi="Times New Roman" w:cs="Times New Roman"/>
                <w:sz w:val="24"/>
                <w:szCs w:val="24"/>
                <w:lang w:val="uk-UA"/>
              </w:rPr>
              <w:t xml:space="preserve"> </w:t>
            </w:r>
          </w:p>
          <w:p w14:paraId="27B4634E"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Фінансові витрати громадян не змінюються. </w:t>
            </w:r>
          </w:p>
        </w:tc>
      </w:tr>
      <w:tr w:rsidR="00E62116" w:rsidRPr="001179B2" w14:paraId="0E1235C5" w14:textId="77777777" w:rsidTr="00FA7B01">
        <w:tc>
          <w:tcPr>
            <w:tcW w:w="1390" w:type="pct"/>
            <w:shd w:val="clear" w:color="auto" w:fill="auto"/>
          </w:tcPr>
          <w:p w14:paraId="4E0D0EB3"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lastRenderedPageBreak/>
              <w:t>Альтернатива 2</w:t>
            </w:r>
          </w:p>
        </w:tc>
        <w:tc>
          <w:tcPr>
            <w:tcW w:w="1703" w:type="pct"/>
            <w:shd w:val="clear" w:color="auto" w:fill="auto"/>
          </w:tcPr>
          <w:p w14:paraId="65F9D1A0"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Забезпечить: </w:t>
            </w:r>
          </w:p>
          <w:p w14:paraId="3BEBD6D8"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відповідність нормативно-правового акта нормам Закону України «Про адміністративну процедуру» та іншим, прийнятим у 2022, 2023 роках нормативно-правовим актам.</w:t>
            </w:r>
          </w:p>
          <w:p w14:paraId="619DEFA3" w14:textId="77777777" w:rsidR="00E62116" w:rsidRPr="001179B2" w:rsidRDefault="00E62116" w:rsidP="00DF4044">
            <w:pPr>
              <w:pStyle w:val="a6"/>
              <w:spacing w:before="0" w:beforeAutospacing="0" w:after="0" w:afterAutospacing="0"/>
              <w:jc w:val="both"/>
              <w:rPr>
                <w:lang w:val="uk-UA"/>
              </w:rPr>
            </w:pPr>
            <w:r w:rsidRPr="001179B2">
              <w:rPr>
                <w:lang w:val="uk-UA"/>
              </w:rPr>
              <w:t>Врегулювання відносин  органів виконавчої влади та їх посадових осіб з фізичними та юридичними особами щодо розгляду і вирішення адміністративних справ шляхом прийняття та виконання адміністративних актів.</w:t>
            </w:r>
          </w:p>
          <w:p w14:paraId="02FF31E3"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Реалізацію права здобувачів фахової передвищої освіти на здобуття якісної освіти у закладах фахової передвищої освіти та забезпечення прозорості</w:t>
            </w:r>
            <w:r w:rsidR="003A6C75" w:rsidRPr="001179B2">
              <w:rPr>
                <w:rFonts w:ascii="Times New Roman" w:hAnsi="Times New Roman" w:cs="Times New Roman"/>
                <w:sz w:val="24"/>
                <w:szCs w:val="24"/>
                <w:lang w:val="uk-UA"/>
              </w:rPr>
              <w:t xml:space="preserve"> у частині наявності сертифіката про акредитацію </w:t>
            </w:r>
          </w:p>
          <w:p w14:paraId="132973A3"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при виборі освітньо</w:t>
            </w:r>
            <w:r w:rsidR="00D276F6" w:rsidRPr="001179B2">
              <w:rPr>
                <w:rFonts w:ascii="Times New Roman" w:hAnsi="Times New Roman" w:cs="Times New Roman"/>
                <w:sz w:val="24"/>
                <w:szCs w:val="24"/>
                <w:lang w:val="uk-UA"/>
              </w:rPr>
              <w:t>-професійної</w:t>
            </w:r>
            <w:r w:rsidRPr="001179B2">
              <w:rPr>
                <w:rFonts w:ascii="Times New Roman" w:hAnsi="Times New Roman" w:cs="Times New Roman"/>
                <w:sz w:val="24"/>
                <w:szCs w:val="24"/>
                <w:lang w:val="uk-UA"/>
              </w:rPr>
              <w:t xml:space="preserve"> програми та закладу освіти.</w:t>
            </w:r>
          </w:p>
          <w:p w14:paraId="3845E11A" w14:textId="77777777" w:rsidR="00E62116" w:rsidRPr="001179B2" w:rsidRDefault="00E62116" w:rsidP="00DF4044">
            <w:pPr>
              <w:pStyle w:val="a6"/>
              <w:spacing w:before="0" w:beforeAutospacing="0" w:after="0" w:afterAutospacing="0"/>
              <w:jc w:val="both"/>
              <w:rPr>
                <w:lang w:val="uk-UA"/>
              </w:rPr>
            </w:pPr>
          </w:p>
        </w:tc>
        <w:tc>
          <w:tcPr>
            <w:tcW w:w="1907" w:type="pct"/>
            <w:shd w:val="clear" w:color="auto" w:fill="auto"/>
          </w:tcPr>
          <w:p w14:paraId="6BD9655B"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              Відсутні</w:t>
            </w:r>
          </w:p>
        </w:tc>
      </w:tr>
    </w:tbl>
    <w:p w14:paraId="6BA574A5" w14:textId="77777777" w:rsidR="00E62116" w:rsidRPr="001179B2" w:rsidRDefault="00E62116" w:rsidP="00DF4044">
      <w:pPr>
        <w:spacing w:line="240" w:lineRule="auto"/>
        <w:jc w:val="both"/>
        <w:rPr>
          <w:rFonts w:ascii="Times New Roman" w:hAnsi="Times New Roman" w:cs="Times New Roman"/>
          <w:sz w:val="28"/>
          <w:szCs w:val="28"/>
          <w:lang w:val="uk-UA"/>
        </w:rPr>
      </w:pPr>
    </w:p>
    <w:p w14:paraId="4578D2FB" w14:textId="77777777" w:rsidR="00E62116" w:rsidRPr="001179B2" w:rsidRDefault="00E62116" w:rsidP="00DF4044">
      <w:pPr>
        <w:spacing w:line="240" w:lineRule="auto"/>
        <w:jc w:val="center"/>
        <w:rPr>
          <w:rFonts w:ascii="Times New Roman" w:hAnsi="Times New Roman" w:cs="Times New Roman"/>
          <w:sz w:val="28"/>
          <w:szCs w:val="28"/>
          <w:lang w:val="uk-UA"/>
        </w:rPr>
      </w:pPr>
      <w:r w:rsidRPr="001179B2">
        <w:rPr>
          <w:rFonts w:ascii="Times New Roman" w:hAnsi="Times New Roman" w:cs="Times New Roman"/>
          <w:sz w:val="28"/>
          <w:szCs w:val="28"/>
          <w:lang w:val="uk-UA"/>
        </w:rPr>
        <w:t>Оцінка впливу на сферу інтересів суб’єктів господарювання</w:t>
      </w:r>
    </w:p>
    <w:p w14:paraId="4742B688" w14:textId="77777777" w:rsidR="00E62116" w:rsidRPr="001179B2" w:rsidRDefault="00E62116" w:rsidP="00DF4044">
      <w:pPr>
        <w:spacing w:line="240" w:lineRule="auto"/>
        <w:jc w:val="both"/>
        <w:rPr>
          <w:rFonts w:ascii="Times New Roman" w:hAnsi="Times New Roman" w:cs="Times New Roman"/>
          <w:sz w:val="28"/>
          <w:szCs w:val="28"/>
          <w:lang w:val="uk-UA"/>
        </w:rPr>
      </w:pPr>
    </w:p>
    <w:p w14:paraId="656166F5" w14:textId="77777777" w:rsidR="00E62116" w:rsidRPr="001179B2" w:rsidRDefault="00E62116"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Дія проєкту регуляторного акта поширюватиметься на сферу інтересів суб’єктів господарювання (заклади вищої, фахової передвищої та професійно-технічної освіти, які мають ліцензію та здійснюють підготовку фахівців у сфері фахової передвищої освіти).</w:t>
      </w:r>
    </w:p>
    <w:p w14:paraId="64B79FE4" w14:textId="77777777" w:rsidR="00E62116" w:rsidRPr="001179B2" w:rsidRDefault="00E62116" w:rsidP="00DF4044">
      <w:pPr>
        <w:spacing w:line="240" w:lineRule="auto"/>
        <w:jc w:val="both"/>
        <w:rPr>
          <w:rFonts w:ascii="Times New Roman" w:hAnsi="Times New Roman" w:cs="Times New Roman"/>
          <w:sz w:val="28"/>
          <w:szCs w:val="28"/>
          <w:lang w:val="uk-UA"/>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844"/>
        <w:gridCol w:w="1117"/>
        <w:gridCol w:w="1239"/>
        <w:gridCol w:w="122"/>
        <w:gridCol w:w="999"/>
        <w:gridCol w:w="1358"/>
        <w:gridCol w:w="1482"/>
        <w:gridCol w:w="13"/>
      </w:tblGrid>
      <w:tr w:rsidR="00E62116" w:rsidRPr="001179B2" w14:paraId="490DFD33" w14:textId="77777777" w:rsidTr="00FA7B01">
        <w:trPr>
          <w:gridAfter w:val="1"/>
          <w:wAfter w:w="7" w:type="pct"/>
          <w:jc w:val="center"/>
        </w:trPr>
        <w:tc>
          <w:tcPr>
            <w:tcW w:w="1617" w:type="pct"/>
            <w:gridSpan w:val="2"/>
            <w:tcBorders>
              <w:top w:val="single" w:sz="4" w:space="0" w:color="auto"/>
              <w:left w:val="single" w:sz="4" w:space="0" w:color="auto"/>
              <w:bottom w:val="single" w:sz="4" w:space="0" w:color="auto"/>
              <w:right w:val="single" w:sz="4" w:space="0" w:color="auto"/>
            </w:tcBorders>
            <w:shd w:val="clear" w:color="auto" w:fill="auto"/>
          </w:tcPr>
          <w:p w14:paraId="737DD454" w14:textId="77777777" w:rsidR="00E62116" w:rsidRPr="001179B2" w:rsidRDefault="00E62116" w:rsidP="00DF4044">
            <w:pPr>
              <w:spacing w:line="240" w:lineRule="auto"/>
              <w:jc w:val="both"/>
              <w:rPr>
                <w:rFonts w:ascii="Times New Roman" w:hAnsi="Times New Roman" w:cs="Times New Roman"/>
                <w:b/>
                <w:sz w:val="24"/>
                <w:szCs w:val="24"/>
                <w:lang w:val="uk-UA"/>
              </w:rPr>
            </w:pPr>
            <w:r w:rsidRPr="001179B2">
              <w:rPr>
                <w:rFonts w:ascii="Times New Roman" w:hAnsi="Times New Roman" w:cs="Times New Roman"/>
                <w:b/>
                <w:sz w:val="24"/>
                <w:szCs w:val="24"/>
                <w:lang w:val="uk-UA"/>
              </w:rPr>
              <w:t>Показник</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D4786F0" w14:textId="77777777" w:rsidR="00E62116" w:rsidRPr="001179B2" w:rsidRDefault="00E62116" w:rsidP="00DF4044">
            <w:pPr>
              <w:spacing w:line="240" w:lineRule="auto"/>
              <w:jc w:val="both"/>
              <w:rPr>
                <w:rFonts w:ascii="Times New Roman" w:hAnsi="Times New Roman" w:cs="Times New Roman"/>
                <w:b/>
                <w:sz w:val="24"/>
                <w:szCs w:val="24"/>
                <w:lang w:val="uk-UA"/>
              </w:rPr>
            </w:pPr>
            <w:r w:rsidRPr="001179B2">
              <w:rPr>
                <w:rFonts w:ascii="Times New Roman" w:hAnsi="Times New Roman" w:cs="Times New Roman"/>
                <w:b/>
                <w:sz w:val="24"/>
                <w:szCs w:val="24"/>
                <w:lang w:val="uk-UA"/>
              </w:rPr>
              <w:t>Великі</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7C1078BB" w14:textId="77777777" w:rsidR="00E62116" w:rsidRPr="001179B2" w:rsidRDefault="00E62116" w:rsidP="00DF4044">
            <w:pPr>
              <w:spacing w:line="240" w:lineRule="auto"/>
              <w:jc w:val="both"/>
              <w:rPr>
                <w:rFonts w:ascii="Times New Roman" w:hAnsi="Times New Roman" w:cs="Times New Roman"/>
                <w:b/>
                <w:sz w:val="24"/>
                <w:szCs w:val="24"/>
                <w:lang w:val="uk-UA"/>
              </w:rPr>
            </w:pPr>
            <w:r w:rsidRPr="001179B2">
              <w:rPr>
                <w:rFonts w:ascii="Times New Roman" w:hAnsi="Times New Roman" w:cs="Times New Roman"/>
                <w:b/>
                <w:sz w:val="24"/>
                <w:szCs w:val="24"/>
                <w:lang w:val="uk-UA"/>
              </w:rPr>
              <w:t>Середні</w:t>
            </w:r>
          </w:p>
        </w:tc>
        <w:tc>
          <w:tcPr>
            <w:tcW w:w="599" w:type="pct"/>
            <w:gridSpan w:val="2"/>
            <w:tcBorders>
              <w:top w:val="single" w:sz="4" w:space="0" w:color="auto"/>
              <w:left w:val="single" w:sz="4" w:space="0" w:color="auto"/>
              <w:right w:val="single" w:sz="4" w:space="0" w:color="auto"/>
            </w:tcBorders>
            <w:shd w:val="clear" w:color="auto" w:fill="auto"/>
          </w:tcPr>
          <w:p w14:paraId="1EF48C15" w14:textId="77777777" w:rsidR="00E62116" w:rsidRPr="001179B2" w:rsidRDefault="00E62116" w:rsidP="00DF4044">
            <w:pPr>
              <w:spacing w:line="240" w:lineRule="auto"/>
              <w:jc w:val="both"/>
              <w:rPr>
                <w:rFonts w:ascii="Times New Roman" w:hAnsi="Times New Roman" w:cs="Times New Roman"/>
                <w:b/>
                <w:sz w:val="24"/>
                <w:szCs w:val="24"/>
                <w:lang w:val="uk-UA"/>
              </w:rPr>
            </w:pPr>
            <w:r w:rsidRPr="001179B2">
              <w:rPr>
                <w:rFonts w:ascii="Times New Roman" w:hAnsi="Times New Roman" w:cs="Times New Roman"/>
                <w:b/>
                <w:sz w:val="24"/>
                <w:szCs w:val="24"/>
                <w:lang w:val="uk-UA"/>
              </w:rPr>
              <w:t>Малі</w:t>
            </w:r>
          </w:p>
        </w:tc>
        <w:tc>
          <w:tcPr>
            <w:tcW w:w="726" w:type="pct"/>
            <w:tcBorders>
              <w:top w:val="single" w:sz="4" w:space="0" w:color="auto"/>
              <w:left w:val="single" w:sz="4" w:space="0" w:color="auto"/>
              <w:right w:val="single" w:sz="4" w:space="0" w:color="auto"/>
            </w:tcBorders>
            <w:shd w:val="clear" w:color="auto" w:fill="auto"/>
          </w:tcPr>
          <w:p w14:paraId="26AEB5B5" w14:textId="77777777" w:rsidR="00E62116" w:rsidRPr="001179B2" w:rsidRDefault="00E62116" w:rsidP="00DF4044">
            <w:pPr>
              <w:spacing w:line="240" w:lineRule="auto"/>
              <w:jc w:val="both"/>
              <w:rPr>
                <w:rFonts w:ascii="Times New Roman" w:hAnsi="Times New Roman" w:cs="Times New Roman"/>
                <w:b/>
                <w:sz w:val="24"/>
                <w:szCs w:val="24"/>
                <w:lang w:val="uk-UA"/>
              </w:rPr>
            </w:pPr>
            <w:r w:rsidRPr="001179B2">
              <w:rPr>
                <w:rFonts w:ascii="Times New Roman" w:hAnsi="Times New Roman" w:cs="Times New Roman"/>
                <w:b/>
                <w:sz w:val="24"/>
                <w:szCs w:val="24"/>
                <w:lang w:val="uk-UA"/>
              </w:rPr>
              <w:t>Мікро</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177D9D73" w14:textId="77777777" w:rsidR="00E62116" w:rsidRPr="001179B2" w:rsidRDefault="00E62116" w:rsidP="00DF4044">
            <w:pPr>
              <w:spacing w:line="240" w:lineRule="auto"/>
              <w:jc w:val="both"/>
              <w:rPr>
                <w:rFonts w:ascii="Times New Roman" w:hAnsi="Times New Roman" w:cs="Times New Roman"/>
                <w:b/>
                <w:sz w:val="24"/>
                <w:szCs w:val="24"/>
                <w:lang w:val="uk-UA"/>
              </w:rPr>
            </w:pPr>
            <w:r w:rsidRPr="001179B2">
              <w:rPr>
                <w:rFonts w:ascii="Times New Roman" w:hAnsi="Times New Roman" w:cs="Times New Roman"/>
                <w:b/>
                <w:sz w:val="24"/>
                <w:szCs w:val="24"/>
                <w:lang w:val="uk-UA"/>
              </w:rPr>
              <w:t>Разом</w:t>
            </w:r>
          </w:p>
        </w:tc>
      </w:tr>
      <w:tr w:rsidR="00E62116" w:rsidRPr="001179B2" w14:paraId="2C18AAB3" w14:textId="77777777" w:rsidTr="00FA7B01">
        <w:trPr>
          <w:gridAfter w:val="1"/>
          <w:wAfter w:w="7" w:type="pct"/>
          <w:jc w:val="center"/>
        </w:trPr>
        <w:tc>
          <w:tcPr>
            <w:tcW w:w="1617" w:type="pct"/>
            <w:gridSpan w:val="2"/>
            <w:tcBorders>
              <w:top w:val="single" w:sz="4" w:space="0" w:color="auto"/>
              <w:left w:val="single" w:sz="4" w:space="0" w:color="auto"/>
              <w:bottom w:val="single" w:sz="4" w:space="0" w:color="auto"/>
              <w:right w:val="single" w:sz="4" w:space="0" w:color="auto"/>
            </w:tcBorders>
            <w:shd w:val="clear" w:color="auto" w:fill="auto"/>
          </w:tcPr>
          <w:p w14:paraId="38B75EC0"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Кількість суб’єктів господарювання, що підпадають під дію регулювання, одиниць</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6DBAC1B1"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0A58A41"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865</w:t>
            </w:r>
          </w:p>
        </w:tc>
        <w:tc>
          <w:tcPr>
            <w:tcW w:w="599" w:type="pct"/>
            <w:gridSpan w:val="2"/>
            <w:tcBorders>
              <w:left w:val="single" w:sz="4" w:space="0" w:color="auto"/>
              <w:right w:val="single" w:sz="4" w:space="0" w:color="auto"/>
            </w:tcBorders>
            <w:shd w:val="clear" w:color="auto" w:fill="auto"/>
            <w:vAlign w:val="center"/>
          </w:tcPr>
          <w:p w14:paraId="59B5A944"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75</w:t>
            </w:r>
          </w:p>
        </w:tc>
        <w:tc>
          <w:tcPr>
            <w:tcW w:w="726" w:type="pct"/>
            <w:tcBorders>
              <w:left w:val="single" w:sz="4" w:space="0" w:color="auto"/>
              <w:right w:val="single" w:sz="4" w:space="0" w:color="auto"/>
            </w:tcBorders>
            <w:shd w:val="clear" w:color="auto" w:fill="auto"/>
            <w:vAlign w:val="center"/>
          </w:tcPr>
          <w:p w14:paraId="292B84C0" w14:textId="77777777" w:rsidR="00E62116" w:rsidRPr="001179B2" w:rsidRDefault="00E62116" w:rsidP="00DF4044">
            <w:pPr>
              <w:spacing w:line="240" w:lineRule="auto"/>
              <w:jc w:val="both"/>
              <w:rPr>
                <w:rFonts w:ascii="Times New Roman" w:hAnsi="Times New Roman" w:cs="Times New Roman"/>
                <w:sz w:val="24"/>
                <w:szCs w:val="24"/>
                <w:lang w:val="uk-UA"/>
              </w:rPr>
            </w:pPr>
          </w:p>
          <w:p w14:paraId="05907493"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11D4CF12"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937</w:t>
            </w:r>
          </w:p>
        </w:tc>
      </w:tr>
      <w:tr w:rsidR="00E62116" w:rsidRPr="001179B2" w14:paraId="67A06096" w14:textId="77777777" w:rsidTr="00FA7B01">
        <w:trPr>
          <w:gridAfter w:val="1"/>
          <w:wAfter w:w="7" w:type="pct"/>
          <w:jc w:val="center"/>
        </w:trPr>
        <w:tc>
          <w:tcPr>
            <w:tcW w:w="1617" w:type="pct"/>
            <w:gridSpan w:val="2"/>
            <w:tcBorders>
              <w:top w:val="single" w:sz="4" w:space="0" w:color="auto"/>
              <w:left w:val="single" w:sz="4" w:space="0" w:color="auto"/>
              <w:bottom w:val="single" w:sz="4" w:space="0" w:color="auto"/>
              <w:right w:val="single" w:sz="4" w:space="0" w:color="auto"/>
            </w:tcBorders>
            <w:shd w:val="clear" w:color="auto" w:fill="auto"/>
          </w:tcPr>
          <w:p w14:paraId="4959619B"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lastRenderedPageBreak/>
              <w:t>Питома вага групи у загальній кількості, відсотків</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05024337"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2D94888"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92%</w:t>
            </w:r>
          </w:p>
        </w:tc>
        <w:tc>
          <w:tcPr>
            <w:tcW w:w="599" w:type="pct"/>
            <w:gridSpan w:val="2"/>
            <w:tcBorders>
              <w:left w:val="single" w:sz="4" w:space="0" w:color="auto"/>
              <w:bottom w:val="single" w:sz="4" w:space="0" w:color="auto"/>
              <w:right w:val="single" w:sz="4" w:space="0" w:color="auto"/>
            </w:tcBorders>
            <w:shd w:val="clear" w:color="auto" w:fill="auto"/>
            <w:vAlign w:val="center"/>
          </w:tcPr>
          <w:p w14:paraId="24C0620C"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8%</w:t>
            </w:r>
          </w:p>
        </w:tc>
        <w:tc>
          <w:tcPr>
            <w:tcW w:w="726" w:type="pct"/>
            <w:tcBorders>
              <w:left w:val="single" w:sz="4" w:space="0" w:color="auto"/>
              <w:bottom w:val="single" w:sz="4" w:space="0" w:color="auto"/>
              <w:right w:val="single" w:sz="4" w:space="0" w:color="auto"/>
            </w:tcBorders>
            <w:shd w:val="clear" w:color="auto" w:fill="auto"/>
            <w:vAlign w:val="center"/>
          </w:tcPr>
          <w:p w14:paraId="037E3BA2"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1CC25E17"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100%</w:t>
            </w:r>
          </w:p>
        </w:tc>
      </w:tr>
      <w:tr w:rsidR="00E62116" w:rsidRPr="001179B2" w14:paraId="10F33CBB" w14:textId="77777777" w:rsidTr="00FA7B01">
        <w:trPr>
          <w:gridAfter w:val="1"/>
          <w:wAfter w:w="7" w:type="pct"/>
          <w:jc w:val="center"/>
        </w:trPr>
        <w:tc>
          <w:tcPr>
            <w:tcW w:w="1617" w:type="pct"/>
            <w:gridSpan w:val="2"/>
            <w:tcBorders>
              <w:top w:val="single" w:sz="4" w:space="0" w:color="auto"/>
              <w:left w:val="nil"/>
              <w:bottom w:val="single" w:sz="4" w:space="0" w:color="auto"/>
              <w:right w:val="nil"/>
            </w:tcBorders>
            <w:shd w:val="clear" w:color="auto" w:fill="auto"/>
          </w:tcPr>
          <w:p w14:paraId="0EA6383B" w14:textId="77777777" w:rsidR="00E62116" w:rsidRPr="001179B2" w:rsidRDefault="00E62116" w:rsidP="00DF4044">
            <w:pPr>
              <w:spacing w:line="240" w:lineRule="auto"/>
              <w:jc w:val="both"/>
              <w:rPr>
                <w:rFonts w:ascii="Times New Roman" w:hAnsi="Times New Roman" w:cs="Times New Roman"/>
                <w:sz w:val="28"/>
                <w:szCs w:val="28"/>
                <w:lang w:val="uk-UA"/>
              </w:rPr>
            </w:pPr>
          </w:p>
        </w:tc>
        <w:tc>
          <w:tcPr>
            <w:tcW w:w="597" w:type="pct"/>
            <w:tcBorders>
              <w:top w:val="single" w:sz="4" w:space="0" w:color="auto"/>
              <w:left w:val="nil"/>
              <w:bottom w:val="single" w:sz="4" w:space="0" w:color="auto"/>
              <w:right w:val="nil"/>
            </w:tcBorders>
            <w:shd w:val="clear" w:color="auto" w:fill="auto"/>
            <w:vAlign w:val="center"/>
          </w:tcPr>
          <w:p w14:paraId="19C7EBD4" w14:textId="77777777" w:rsidR="00E62116" w:rsidRPr="001179B2" w:rsidRDefault="00E62116" w:rsidP="00DF4044">
            <w:pPr>
              <w:spacing w:line="240" w:lineRule="auto"/>
              <w:jc w:val="both"/>
              <w:rPr>
                <w:rFonts w:ascii="Times New Roman" w:hAnsi="Times New Roman" w:cs="Times New Roman"/>
                <w:sz w:val="28"/>
                <w:szCs w:val="28"/>
                <w:lang w:val="uk-UA"/>
              </w:rPr>
            </w:pPr>
          </w:p>
        </w:tc>
        <w:tc>
          <w:tcPr>
            <w:tcW w:w="662" w:type="pct"/>
            <w:tcBorders>
              <w:top w:val="single" w:sz="4" w:space="0" w:color="auto"/>
              <w:left w:val="nil"/>
              <w:bottom w:val="single" w:sz="4" w:space="0" w:color="auto"/>
              <w:right w:val="nil"/>
            </w:tcBorders>
            <w:shd w:val="clear" w:color="auto" w:fill="auto"/>
            <w:vAlign w:val="center"/>
          </w:tcPr>
          <w:p w14:paraId="25AEE6EE" w14:textId="77777777" w:rsidR="00E62116" w:rsidRPr="001179B2" w:rsidRDefault="00E62116" w:rsidP="00DF4044">
            <w:pPr>
              <w:spacing w:line="240" w:lineRule="auto"/>
              <w:jc w:val="both"/>
              <w:rPr>
                <w:rFonts w:ascii="Times New Roman" w:hAnsi="Times New Roman" w:cs="Times New Roman"/>
                <w:sz w:val="28"/>
                <w:szCs w:val="28"/>
                <w:lang w:val="uk-UA"/>
              </w:rPr>
            </w:pPr>
          </w:p>
        </w:tc>
        <w:tc>
          <w:tcPr>
            <w:tcW w:w="599" w:type="pct"/>
            <w:gridSpan w:val="2"/>
            <w:tcBorders>
              <w:left w:val="nil"/>
              <w:bottom w:val="single" w:sz="4" w:space="0" w:color="auto"/>
              <w:right w:val="nil"/>
            </w:tcBorders>
            <w:shd w:val="clear" w:color="auto" w:fill="auto"/>
            <w:vAlign w:val="center"/>
          </w:tcPr>
          <w:p w14:paraId="41DDF3CE" w14:textId="77777777" w:rsidR="00E62116" w:rsidRPr="001179B2" w:rsidRDefault="00E62116" w:rsidP="00DF4044">
            <w:pPr>
              <w:spacing w:line="240" w:lineRule="auto"/>
              <w:jc w:val="both"/>
              <w:rPr>
                <w:rFonts w:ascii="Times New Roman" w:hAnsi="Times New Roman" w:cs="Times New Roman"/>
                <w:sz w:val="28"/>
                <w:szCs w:val="28"/>
                <w:lang w:val="uk-UA"/>
              </w:rPr>
            </w:pPr>
          </w:p>
        </w:tc>
        <w:tc>
          <w:tcPr>
            <w:tcW w:w="726" w:type="pct"/>
            <w:tcBorders>
              <w:left w:val="nil"/>
              <w:bottom w:val="single" w:sz="4" w:space="0" w:color="auto"/>
              <w:right w:val="nil"/>
            </w:tcBorders>
            <w:shd w:val="clear" w:color="auto" w:fill="auto"/>
            <w:vAlign w:val="center"/>
          </w:tcPr>
          <w:p w14:paraId="7ADEFA47" w14:textId="77777777" w:rsidR="00E62116" w:rsidRPr="001179B2" w:rsidRDefault="00E62116" w:rsidP="00DF4044">
            <w:pPr>
              <w:spacing w:line="240" w:lineRule="auto"/>
              <w:jc w:val="both"/>
              <w:rPr>
                <w:rFonts w:ascii="Times New Roman" w:hAnsi="Times New Roman" w:cs="Times New Roman"/>
                <w:sz w:val="28"/>
                <w:szCs w:val="28"/>
                <w:lang w:val="uk-UA"/>
              </w:rPr>
            </w:pPr>
          </w:p>
        </w:tc>
        <w:tc>
          <w:tcPr>
            <w:tcW w:w="792" w:type="pct"/>
            <w:tcBorders>
              <w:top w:val="single" w:sz="4" w:space="0" w:color="auto"/>
              <w:left w:val="nil"/>
              <w:bottom w:val="single" w:sz="4" w:space="0" w:color="auto"/>
              <w:right w:val="nil"/>
            </w:tcBorders>
            <w:shd w:val="clear" w:color="auto" w:fill="auto"/>
            <w:vAlign w:val="center"/>
          </w:tcPr>
          <w:p w14:paraId="57346AD4" w14:textId="77777777" w:rsidR="00E62116" w:rsidRPr="001179B2" w:rsidRDefault="00E62116" w:rsidP="00DF4044">
            <w:pPr>
              <w:spacing w:line="240" w:lineRule="auto"/>
              <w:jc w:val="both"/>
              <w:rPr>
                <w:rFonts w:ascii="Times New Roman" w:hAnsi="Times New Roman" w:cs="Times New Roman"/>
                <w:sz w:val="28"/>
                <w:szCs w:val="28"/>
                <w:lang w:val="uk-UA"/>
              </w:rPr>
            </w:pPr>
          </w:p>
        </w:tc>
      </w:tr>
      <w:tr w:rsidR="00E62116" w:rsidRPr="001179B2" w14:paraId="7BA333C1" w14:textId="77777777" w:rsidTr="00FA7B01">
        <w:tblPrEx>
          <w:jc w:val="left"/>
        </w:tblPrEx>
        <w:trPr>
          <w:tblHeader/>
        </w:trPr>
        <w:tc>
          <w:tcPr>
            <w:tcW w:w="1166" w:type="pct"/>
            <w:shd w:val="clear" w:color="auto" w:fill="auto"/>
          </w:tcPr>
          <w:p w14:paraId="5E6D931F"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Вид альтернативи</w:t>
            </w:r>
          </w:p>
        </w:tc>
        <w:tc>
          <w:tcPr>
            <w:tcW w:w="1775" w:type="pct"/>
            <w:gridSpan w:val="4"/>
            <w:shd w:val="clear" w:color="auto" w:fill="auto"/>
          </w:tcPr>
          <w:p w14:paraId="2CB1E727"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Вигоди</w:t>
            </w:r>
          </w:p>
        </w:tc>
        <w:tc>
          <w:tcPr>
            <w:tcW w:w="2059" w:type="pct"/>
            <w:gridSpan w:val="4"/>
            <w:shd w:val="clear" w:color="auto" w:fill="auto"/>
          </w:tcPr>
          <w:p w14:paraId="3FFD834F"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Витрати</w:t>
            </w:r>
          </w:p>
        </w:tc>
      </w:tr>
      <w:tr w:rsidR="00E62116" w:rsidRPr="00E62D4E" w14:paraId="2B72AAAF" w14:textId="77777777" w:rsidTr="00FA7B01">
        <w:tblPrEx>
          <w:jc w:val="left"/>
        </w:tblPrEx>
        <w:trPr>
          <w:trHeight w:val="3250"/>
        </w:trPr>
        <w:tc>
          <w:tcPr>
            <w:tcW w:w="1166" w:type="pct"/>
            <w:shd w:val="clear" w:color="auto" w:fill="auto"/>
          </w:tcPr>
          <w:p w14:paraId="3F056CF2"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Альтернатива 1</w:t>
            </w:r>
          </w:p>
        </w:tc>
        <w:tc>
          <w:tcPr>
            <w:tcW w:w="1775" w:type="pct"/>
            <w:gridSpan w:val="4"/>
            <w:shd w:val="clear" w:color="auto" w:fill="auto"/>
          </w:tcPr>
          <w:p w14:paraId="4E31673D"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Відсутні</w:t>
            </w:r>
          </w:p>
          <w:p w14:paraId="58527B81" w14:textId="77777777" w:rsidR="00E62116" w:rsidRPr="001179B2" w:rsidRDefault="00E62116" w:rsidP="00DF4044">
            <w:pPr>
              <w:spacing w:line="240" w:lineRule="auto"/>
              <w:jc w:val="both"/>
              <w:rPr>
                <w:rFonts w:ascii="Times New Roman" w:hAnsi="Times New Roman" w:cs="Times New Roman"/>
                <w:sz w:val="24"/>
                <w:szCs w:val="24"/>
                <w:lang w:val="uk-UA"/>
              </w:rPr>
            </w:pPr>
          </w:p>
        </w:tc>
        <w:tc>
          <w:tcPr>
            <w:tcW w:w="2059" w:type="pct"/>
            <w:gridSpan w:val="4"/>
            <w:shd w:val="clear" w:color="auto" w:fill="auto"/>
          </w:tcPr>
          <w:p w14:paraId="6F58F6BA" w14:textId="31C2DC04"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Порушення прав суб’єкта господарювання внаслідок невідповідності </w:t>
            </w:r>
            <w:r w:rsidR="007E7435">
              <w:rPr>
                <w:rFonts w:ascii="Times New Roman" w:hAnsi="Times New Roman" w:cs="Times New Roman"/>
                <w:sz w:val="24"/>
                <w:szCs w:val="24"/>
                <w:lang w:val="uk-UA"/>
              </w:rPr>
              <w:t xml:space="preserve">чинного </w:t>
            </w:r>
            <w:r w:rsidR="00780695">
              <w:rPr>
                <w:rFonts w:ascii="Times New Roman" w:hAnsi="Times New Roman" w:cs="Times New Roman"/>
                <w:sz w:val="24"/>
                <w:szCs w:val="24"/>
                <w:lang w:val="uk-UA"/>
              </w:rPr>
              <w:t xml:space="preserve">наказу «Деякі питання </w:t>
            </w:r>
            <w:r w:rsidR="003A6C75" w:rsidRPr="001179B2">
              <w:rPr>
                <w:rFonts w:ascii="Times New Roman" w:hAnsi="Times New Roman" w:cs="Times New Roman"/>
                <w:sz w:val="24"/>
                <w:szCs w:val="24"/>
                <w:lang w:val="uk-UA"/>
              </w:rPr>
              <w:t>оформлення, переоформлення, видачі, зберігання та обліку сертифікатів про акредитацію освітньо-професійної програми у сфері фахової передвищої освіти (їх дублікатів)</w:t>
            </w:r>
            <w:r w:rsidR="00780695">
              <w:rPr>
                <w:rFonts w:ascii="Times New Roman" w:hAnsi="Times New Roman" w:cs="Times New Roman"/>
                <w:sz w:val="24"/>
                <w:szCs w:val="24"/>
                <w:lang w:val="uk-UA"/>
              </w:rPr>
              <w:t>»</w:t>
            </w:r>
            <w:r w:rsidR="003A6C75" w:rsidRPr="001179B2">
              <w:rPr>
                <w:rFonts w:ascii="Times New Roman" w:hAnsi="Times New Roman" w:cs="Times New Roman"/>
                <w:sz w:val="24"/>
                <w:szCs w:val="24"/>
                <w:lang w:val="uk-UA"/>
              </w:rPr>
              <w:t xml:space="preserve"> </w:t>
            </w:r>
            <w:r w:rsidRPr="001179B2">
              <w:rPr>
                <w:rFonts w:ascii="Times New Roman" w:hAnsi="Times New Roman" w:cs="Times New Roman"/>
                <w:sz w:val="24"/>
                <w:szCs w:val="24"/>
                <w:lang w:val="uk-UA"/>
              </w:rPr>
              <w:t xml:space="preserve">вимогам законодавства  щодо </w:t>
            </w:r>
            <w:r w:rsidRPr="001179B2">
              <w:rPr>
                <w:rFonts w:ascii="Times New Roman" w:eastAsia="Calibri" w:hAnsi="Times New Roman" w:cs="Times New Roman"/>
                <w:sz w:val="24"/>
                <w:szCs w:val="24"/>
                <w:lang w:val="uk-UA"/>
              </w:rPr>
              <w:t xml:space="preserve">вирішення адміністративних справ шляхом прийняття та виконання адміністративних актів,  внаслідок чого збільшується ризик </w:t>
            </w:r>
            <w:r w:rsidR="003A6C75" w:rsidRPr="001179B2">
              <w:rPr>
                <w:rFonts w:ascii="Times New Roman" w:eastAsia="Calibri" w:hAnsi="Times New Roman" w:cs="Times New Roman"/>
                <w:sz w:val="24"/>
                <w:szCs w:val="24"/>
                <w:lang w:val="uk-UA"/>
              </w:rPr>
              <w:t>невчасного переоформлення сертифікатів про акредитацію</w:t>
            </w:r>
            <w:r w:rsidR="00D276F6" w:rsidRPr="001179B2">
              <w:rPr>
                <w:rFonts w:ascii="Times New Roman" w:eastAsia="Calibri" w:hAnsi="Times New Roman" w:cs="Times New Roman"/>
                <w:sz w:val="24"/>
                <w:szCs w:val="24"/>
                <w:lang w:val="uk-UA"/>
              </w:rPr>
              <w:t xml:space="preserve"> шляхом </w:t>
            </w:r>
            <w:r w:rsidR="00D276F6" w:rsidRPr="001179B2">
              <w:rPr>
                <w:rFonts w:ascii="Times New Roman" w:hAnsi="Times New Roman" w:cs="Times New Roman"/>
                <w:sz w:val="24"/>
                <w:szCs w:val="24"/>
                <w:shd w:val="clear" w:color="auto" w:fill="FFFFFF"/>
                <w:lang w:val="uk-UA"/>
              </w:rPr>
              <w:t>підтвердження рішення про акредитацію освітньо-професійних програм у сфері фахової передвищої освіти засобами Єдиної державної бази з питань освіти</w:t>
            </w:r>
            <w:r w:rsidR="003A6C75" w:rsidRPr="001179B2">
              <w:rPr>
                <w:rFonts w:ascii="Times New Roman" w:eastAsia="Calibri" w:hAnsi="Times New Roman" w:cs="Times New Roman"/>
                <w:sz w:val="24"/>
                <w:szCs w:val="24"/>
                <w:lang w:val="uk-UA"/>
              </w:rPr>
              <w:t xml:space="preserve"> і, як наслідок, вступ або отрим</w:t>
            </w:r>
            <w:r w:rsidRPr="001179B2">
              <w:rPr>
                <w:rFonts w:ascii="Times New Roman" w:eastAsia="Calibri" w:hAnsi="Times New Roman" w:cs="Times New Roman"/>
                <w:sz w:val="24"/>
                <w:szCs w:val="24"/>
                <w:lang w:val="uk-UA"/>
              </w:rPr>
              <w:t xml:space="preserve">ання </w:t>
            </w:r>
            <w:r w:rsidRPr="001179B2">
              <w:rPr>
                <w:rFonts w:ascii="Times New Roman" w:hAnsi="Times New Roman" w:cs="Times New Roman"/>
                <w:sz w:val="24"/>
                <w:szCs w:val="24"/>
                <w:lang w:val="uk-UA"/>
              </w:rPr>
              <w:t xml:space="preserve">освітньої послуги за неакредитованими освітньо-професійними програмами фахової передвищої освіти. </w:t>
            </w:r>
          </w:p>
          <w:p w14:paraId="42FE28DE" w14:textId="77777777" w:rsidR="00E62116" w:rsidRPr="001179B2" w:rsidRDefault="00E62116" w:rsidP="00DF4044">
            <w:pPr>
              <w:spacing w:line="240" w:lineRule="auto"/>
              <w:jc w:val="both"/>
              <w:rPr>
                <w:rFonts w:ascii="Times New Roman" w:hAnsi="Times New Roman" w:cs="Times New Roman"/>
                <w:sz w:val="24"/>
                <w:szCs w:val="24"/>
                <w:lang w:val="uk-UA"/>
              </w:rPr>
            </w:pPr>
          </w:p>
        </w:tc>
      </w:tr>
      <w:tr w:rsidR="00E62116" w:rsidRPr="00E62D4E" w14:paraId="7AABFC17" w14:textId="77777777" w:rsidTr="00FA7B01">
        <w:tblPrEx>
          <w:jc w:val="left"/>
        </w:tblPrEx>
        <w:trPr>
          <w:trHeight w:val="699"/>
        </w:trPr>
        <w:tc>
          <w:tcPr>
            <w:tcW w:w="1166" w:type="pct"/>
            <w:shd w:val="clear" w:color="auto" w:fill="auto"/>
          </w:tcPr>
          <w:p w14:paraId="690AD3D6"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Альтернатива 2</w:t>
            </w:r>
          </w:p>
        </w:tc>
        <w:tc>
          <w:tcPr>
            <w:tcW w:w="1775" w:type="pct"/>
            <w:gridSpan w:val="4"/>
            <w:shd w:val="clear" w:color="auto" w:fill="auto"/>
          </w:tcPr>
          <w:p w14:paraId="5F6DB7E5" w14:textId="00A2AFFB"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Забезпечення прав суб’єкта господарювання щодо </w:t>
            </w:r>
            <w:r w:rsidRPr="001179B2">
              <w:rPr>
                <w:rFonts w:ascii="Times New Roman" w:eastAsia="Calibri" w:hAnsi="Times New Roman" w:cs="Times New Roman"/>
                <w:sz w:val="24"/>
                <w:szCs w:val="24"/>
                <w:lang w:val="uk-UA"/>
              </w:rPr>
              <w:t xml:space="preserve">вирішення адміністративних справ шляхом прийняття та виконання адміністративних актів, внаслідок чого зменшується ризик </w:t>
            </w:r>
            <w:r w:rsidR="003A6C75" w:rsidRPr="001179B2">
              <w:rPr>
                <w:rFonts w:ascii="Times New Roman" w:eastAsia="Calibri" w:hAnsi="Times New Roman" w:cs="Times New Roman"/>
                <w:sz w:val="24"/>
                <w:szCs w:val="24"/>
                <w:lang w:val="uk-UA"/>
              </w:rPr>
              <w:t>невчасного переоформлення сертифікатів про акредитацію</w:t>
            </w:r>
            <w:r w:rsidRPr="001179B2">
              <w:rPr>
                <w:rFonts w:ascii="Times New Roman" w:hAnsi="Times New Roman" w:cs="Times New Roman"/>
                <w:sz w:val="24"/>
                <w:szCs w:val="24"/>
                <w:lang w:val="uk-UA"/>
              </w:rPr>
              <w:t xml:space="preserve"> освітньо-професійни</w:t>
            </w:r>
            <w:r w:rsidR="003A6C75" w:rsidRPr="001179B2">
              <w:rPr>
                <w:rFonts w:ascii="Times New Roman" w:hAnsi="Times New Roman" w:cs="Times New Roman"/>
                <w:sz w:val="24"/>
                <w:szCs w:val="24"/>
                <w:lang w:val="uk-UA"/>
              </w:rPr>
              <w:t>х</w:t>
            </w:r>
            <w:r w:rsidRPr="001179B2">
              <w:rPr>
                <w:rFonts w:ascii="Times New Roman" w:hAnsi="Times New Roman" w:cs="Times New Roman"/>
                <w:sz w:val="24"/>
                <w:szCs w:val="24"/>
                <w:lang w:val="uk-UA"/>
              </w:rPr>
              <w:t xml:space="preserve"> програм</w:t>
            </w:r>
            <w:r w:rsidR="003A6C75" w:rsidRPr="001179B2">
              <w:rPr>
                <w:rFonts w:ascii="Times New Roman" w:hAnsi="Times New Roman" w:cs="Times New Roman"/>
                <w:sz w:val="24"/>
                <w:szCs w:val="24"/>
                <w:lang w:val="uk-UA"/>
              </w:rPr>
              <w:t xml:space="preserve"> у сфері</w:t>
            </w:r>
            <w:r w:rsidRPr="001179B2">
              <w:rPr>
                <w:rFonts w:ascii="Times New Roman" w:hAnsi="Times New Roman" w:cs="Times New Roman"/>
                <w:sz w:val="24"/>
                <w:szCs w:val="24"/>
                <w:lang w:val="uk-UA"/>
              </w:rPr>
              <w:t xml:space="preserve"> фахової передвищої освіти</w:t>
            </w:r>
            <w:r w:rsidR="00D276F6" w:rsidRPr="001179B2">
              <w:rPr>
                <w:rFonts w:ascii="Times New Roman" w:hAnsi="Times New Roman" w:cs="Times New Roman"/>
                <w:sz w:val="24"/>
                <w:szCs w:val="24"/>
                <w:lang w:val="uk-UA"/>
              </w:rPr>
              <w:t xml:space="preserve"> </w:t>
            </w:r>
            <w:r w:rsidR="00D276F6" w:rsidRPr="001179B2">
              <w:rPr>
                <w:rFonts w:ascii="Times New Roman" w:eastAsia="Calibri" w:hAnsi="Times New Roman" w:cs="Times New Roman"/>
                <w:sz w:val="24"/>
                <w:szCs w:val="24"/>
                <w:lang w:val="uk-UA"/>
              </w:rPr>
              <w:t xml:space="preserve">шляхом </w:t>
            </w:r>
            <w:r w:rsidR="00D276F6" w:rsidRPr="001179B2">
              <w:rPr>
                <w:rFonts w:ascii="Times New Roman" w:hAnsi="Times New Roman" w:cs="Times New Roman"/>
                <w:sz w:val="24"/>
                <w:szCs w:val="24"/>
                <w:shd w:val="clear" w:color="auto" w:fill="FFFFFF"/>
                <w:lang w:val="uk-UA"/>
              </w:rPr>
              <w:t>підтвердження рішення про акредитацію освітньо-професійних програм у сфері фахової передвищої освіти засобами Єдиної державної бази з питань освіти</w:t>
            </w:r>
            <w:r w:rsidRPr="001179B2">
              <w:rPr>
                <w:rFonts w:ascii="Times New Roman" w:hAnsi="Times New Roman" w:cs="Times New Roman"/>
                <w:sz w:val="24"/>
                <w:szCs w:val="24"/>
                <w:lang w:val="uk-UA"/>
              </w:rPr>
              <w:t xml:space="preserve">. </w:t>
            </w:r>
          </w:p>
          <w:p w14:paraId="0F34AF66" w14:textId="77777777" w:rsidR="00E62116" w:rsidRPr="001179B2" w:rsidRDefault="003A6C75"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shd w:val="clear" w:color="auto" w:fill="FFFFFF"/>
                <w:lang w:val="uk-UA"/>
              </w:rPr>
              <w:t>Уточнення механізму переоформлення сертифікатів про акредитацію освітньо-</w:t>
            </w:r>
            <w:r w:rsidRPr="001179B2">
              <w:rPr>
                <w:rFonts w:ascii="Times New Roman" w:hAnsi="Times New Roman" w:cs="Times New Roman"/>
                <w:sz w:val="24"/>
                <w:szCs w:val="24"/>
                <w:shd w:val="clear" w:color="auto" w:fill="FFFFFF"/>
                <w:lang w:val="uk-UA"/>
              </w:rPr>
              <w:lastRenderedPageBreak/>
              <w:t xml:space="preserve">професійних програм у сфері фахової передвищої освіти з врахуванням строків розгляду заяви про переоформлення сертифіката, прийняття </w:t>
            </w:r>
            <w:r w:rsidR="00D276F6" w:rsidRPr="001179B2">
              <w:rPr>
                <w:rFonts w:ascii="Times New Roman" w:hAnsi="Times New Roman" w:cs="Times New Roman"/>
                <w:sz w:val="24"/>
                <w:szCs w:val="24"/>
                <w:shd w:val="clear" w:color="auto" w:fill="FFFFFF"/>
                <w:lang w:val="uk-UA"/>
              </w:rPr>
              <w:t>Державною службою якості освіти України</w:t>
            </w:r>
            <w:r w:rsidRPr="001179B2">
              <w:rPr>
                <w:rFonts w:ascii="Times New Roman" w:hAnsi="Times New Roman" w:cs="Times New Roman"/>
                <w:sz w:val="24"/>
                <w:szCs w:val="24"/>
                <w:shd w:val="clear" w:color="auto" w:fill="FFFFFF"/>
                <w:lang w:val="uk-UA"/>
              </w:rPr>
              <w:t xml:space="preserve"> рішень про залишення заяви без руху або відмову в переоформленні сертифіката, конкретиз</w:t>
            </w:r>
            <w:r w:rsidR="00FA7B01" w:rsidRPr="001179B2">
              <w:rPr>
                <w:rFonts w:ascii="Times New Roman" w:hAnsi="Times New Roman" w:cs="Times New Roman"/>
                <w:sz w:val="24"/>
                <w:szCs w:val="24"/>
                <w:shd w:val="clear" w:color="auto" w:fill="FFFFFF"/>
                <w:lang w:val="uk-UA"/>
              </w:rPr>
              <w:t>ація</w:t>
            </w:r>
            <w:r w:rsidRPr="001179B2">
              <w:rPr>
                <w:rFonts w:ascii="Times New Roman" w:hAnsi="Times New Roman" w:cs="Times New Roman"/>
                <w:sz w:val="24"/>
                <w:szCs w:val="24"/>
                <w:shd w:val="clear" w:color="auto" w:fill="FFFFFF"/>
                <w:lang w:val="uk-UA"/>
              </w:rPr>
              <w:t xml:space="preserve"> процедур</w:t>
            </w:r>
            <w:r w:rsidR="00FA7B01" w:rsidRPr="001179B2">
              <w:rPr>
                <w:rFonts w:ascii="Times New Roman" w:hAnsi="Times New Roman" w:cs="Times New Roman"/>
                <w:sz w:val="24"/>
                <w:szCs w:val="24"/>
                <w:shd w:val="clear" w:color="auto" w:fill="FFFFFF"/>
                <w:lang w:val="uk-UA"/>
              </w:rPr>
              <w:t>и</w:t>
            </w:r>
            <w:r w:rsidRPr="001179B2">
              <w:rPr>
                <w:rFonts w:ascii="Times New Roman" w:hAnsi="Times New Roman" w:cs="Times New Roman"/>
                <w:sz w:val="24"/>
                <w:szCs w:val="24"/>
                <w:shd w:val="clear" w:color="auto" w:fill="FFFFFF"/>
                <w:lang w:val="uk-UA"/>
              </w:rPr>
              <w:t xml:space="preserve"> підтвердження рішення про акредитацію освітньо-професійних програм у сфері фахової передвищої освіти засобами Єдиної державної бази з питань освіти</w:t>
            </w:r>
            <w:r w:rsidR="00E62116" w:rsidRPr="001179B2">
              <w:rPr>
                <w:rFonts w:ascii="Times New Roman" w:hAnsi="Times New Roman" w:cs="Times New Roman"/>
                <w:sz w:val="24"/>
                <w:szCs w:val="24"/>
                <w:lang w:val="uk-UA"/>
              </w:rPr>
              <w:t xml:space="preserve"> </w:t>
            </w:r>
            <w:r w:rsidRPr="001179B2">
              <w:rPr>
                <w:rFonts w:ascii="Times New Roman" w:hAnsi="Times New Roman" w:cs="Times New Roman"/>
                <w:sz w:val="24"/>
                <w:szCs w:val="24"/>
                <w:lang w:val="uk-UA"/>
              </w:rPr>
              <w:t>надасть</w:t>
            </w:r>
            <w:r w:rsidR="00E62116" w:rsidRPr="001179B2">
              <w:rPr>
                <w:rFonts w:ascii="Times New Roman" w:hAnsi="Times New Roman" w:cs="Times New Roman"/>
                <w:sz w:val="24"/>
                <w:szCs w:val="24"/>
                <w:lang w:val="uk-UA"/>
              </w:rPr>
              <w:t xml:space="preserve">  </w:t>
            </w:r>
            <w:r w:rsidRPr="001179B2">
              <w:rPr>
                <w:rFonts w:ascii="Times New Roman" w:hAnsi="Times New Roman" w:cs="Times New Roman"/>
                <w:sz w:val="24"/>
                <w:szCs w:val="24"/>
                <w:lang w:val="uk-UA"/>
              </w:rPr>
              <w:t>можливість</w:t>
            </w:r>
            <w:r w:rsidR="00FA7B01" w:rsidRPr="001179B2">
              <w:rPr>
                <w:rFonts w:ascii="Times New Roman" w:hAnsi="Times New Roman" w:cs="Times New Roman"/>
                <w:sz w:val="24"/>
                <w:szCs w:val="24"/>
                <w:lang w:val="uk-UA"/>
              </w:rPr>
              <w:t xml:space="preserve"> закладу освіти отримувати фінансування з державного або місцевого бюджетів та у визначені терміни видати здобувачам освіти документи про фахову передвищу освіту</w:t>
            </w:r>
            <w:r w:rsidR="00E62116" w:rsidRPr="001179B2">
              <w:rPr>
                <w:rFonts w:ascii="Times New Roman" w:hAnsi="Times New Roman" w:cs="Times New Roman"/>
                <w:sz w:val="24"/>
                <w:szCs w:val="24"/>
                <w:lang w:val="uk-UA"/>
              </w:rPr>
              <w:t xml:space="preserve">. </w:t>
            </w:r>
          </w:p>
        </w:tc>
        <w:tc>
          <w:tcPr>
            <w:tcW w:w="2059" w:type="pct"/>
            <w:gridSpan w:val="4"/>
            <w:shd w:val="clear" w:color="auto" w:fill="auto"/>
          </w:tcPr>
          <w:p w14:paraId="7339A269" w14:textId="7D833074"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lastRenderedPageBreak/>
              <w:t>Додаткові фінансові витрати на процедури</w:t>
            </w:r>
            <w:r w:rsidR="003E1E44" w:rsidRPr="001179B2">
              <w:rPr>
                <w:rFonts w:ascii="Times New Roman" w:hAnsi="Times New Roman" w:cs="Times New Roman"/>
                <w:sz w:val="24"/>
                <w:szCs w:val="24"/>
                <w:lang w:val="uk-UA"/>
              </w:rPr>
              <w:t xml:space="preserve"> оформлення, переоформлення, видачі, зберігання та обліку сертифікатів про акредитацію освітньо-професійної програми у сфері фахової передвищої освіти (їх дублікатів)</w:t>
            </w:r>
            <w:r w:rsidRPr="001179B2">
              <w:rPr>
                <w:rFonts w:ascii="Times New Roman" w:hAnsi="Times New Roman" w:cs="Times New Roman"/>
                <w:sz w:val="24"/>
                <w:szCs w:val="24"/>
                <w:lang w:val="uk-UA"/>
              </w:rPr>
              <w:t xml:space="preserve">, які здійснюватимуться за </w:t>
            </w:r>
            <w:r w:rsidR="00671F6C">
              <w:rPr>
                <w:rFonts w:ascii="Times New Roman" w:hAnsi="Times New Roman" w:cs="Times New Roman"/>
                <w:sz w:val="24"/>
                <w:szCs w:val="24"/>
                <w:lang w:val="uk-UA"/>
              </w:rPr>
              <w:t>наказом</w:t>
            </w:r>
            <w:r w:rsidR="00780695">
              <w:rPr>
                <w:rFonts w:ascii="Times New Roman" w:hAnsi="Times New Roman" w:cs="Times New Roman"/>
                <w:sz w:val="24"/>
                <w:szCs w:val="24"/>
                <w:lang w:val="uk-UA"/>
              </w:rPr>
              <w:t xml:space="preserve"> зі змінами</w:t>
            </w:r>
            <w:r w:rsidRPr="001179B2">
              <w:rPr>
                <w:rFonts w:ascii="Times New Roman" w:hAnsi="Times New Roman" w:cs="Times New Roman"/>
                <w:sz w:val="24"/>
                <w:szCs w:val="24"/>
                <w:lang w:val="uk-UA"/>
              </w:rPr>
              <w:t>, що пропонуються проєктом акта, не передбачаються.</w:t>
            </w:r>
          </w:p>
          <w:p w14:paraId="0518857E" w14:textId="77777777" w:rsidR="00E62116" w:rsidRPr="001179B2" w:rsidRDefault="00E62116" w:rsidP="00DF4044">
            <w:pPr>
              <w:spacing w:line="240" w:lineRule="auto"/>
              <w:jc w:val="both"/>
              <w:rPr>
                <w:rFonts w:ascii="Times New Roman" w:hAnsi="Times New Roman" w:cs="Times New Roman"/>
                <w:sz w:val="24"/>
                <w:szCs w:val="24"/>
                <w:lang w:val="uk-UA"/>
              </w:rPr>
            </w:pPr>
          </w:p>
          <w:p w14:paraId="18C5E341" w14:textId="77777777" w:rsidR="00E62116" w:rsidRPr="001179B2" w:rsidRDefault="00E62116" w:rsidP="00DF4044">
            <w:pPr>
              <w:suppressAutoHyphens w:val="0"/>
              <w:spacing w:line="240" w:lineRule="auto"/>
              <w:ind w:firstLine="321"/>
              <w:jc w:val="both"/>
              <w:rPr>
                <w:rFonts w:ascii="Times New Roman" w:hAnsi="Times New Roman" w:cs="Times New Roman"/>
                <w:sz w:val="24"/>
                <w:szCs w:val="24"/>
                <w:lang w:val="uk-UA"/>
              </w:rPr>
            </w:pPr>
          </w:p>
        </w:tc>
      </w:tr>
    </w:tbl>
    <w:p w14:paraId="32F30980" w14:textId="77777777" w:rsidR="00E62116" w:rsidRPr="001179B2" w:rsidRDefault="00E62116" w:rsidP="00DF4044">
      <w:pPr>
        <w:spacing w:line="240" w:lineRule="auto"/>
        <w:jc w:val="both"/>
        <w:rPr>
          <w:rFonts w:ascii="Times New Roman" w:hAnsi="Times New Roman" w:cs="Times New Roman"/>
          <w:sz w:val="28"/>
          <w:szCs w:val="28"/>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565"/>
      </w:tblGrid>
      <w:tr w:rsidR="00E62116" w:rsidRPr="001179B2" w14:paraId="7F7513E2" w14:textId="77777777" w:rsidTr="00FA7B01">
        <w:tc>
          <w:tcPr>
            <w:tcW w:w="4791" w:type="dxa"/>
          </w:tcPr>
          <w:p w14:paraId="30C032D1"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Сумарні витрати за альтернативами</w:t>
            </w:r>
          </w:p>
        </w:tc>
        <w:tc>
          <w:tcPr>
            <w:tcW w:w="4565" w:type="dxa"/>
          </w:tcPr>
          <w:p w14:paraId="586A420F"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Сума витрат, гривень</w:t>
            </w:r>
          </w:p>
        </w:tc>
      </w:tr>
      <w:tr w:rsidR="00E62116" w:rsidRPr="001179B2" w14:paraId="42EEAD69" w14:textId="77777777" w:rsidTr="00FA7B01">
        <w:tc>
          <w:tcPr>
            <w:tcW w:w="4791" w:type="dxa"/>
          </w:tcPr>
          <w:p w14:paraId="4988CE85"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Альтернатива 1</w:t>
            </w:r>
          </w:p>
        </w:tc>
        <w:tc>
          <w:tcPr>
            <w:tcW w:w="4565" w:type="dxa"/>
          </w:tcPr>
          <w:p w14:paraId="2067A341"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r>
      <w:tr w:rsidR="00E62116" w:rsidRPr="001179B2" w14:paraId="2147BA73" w14:textId="77777777" w:rsidTr="00FA7B01">
        <w:tc>
          <w:tcPr>
            <w:tcW w:w="4791" w:type="dxa"/>
          </w:tcPr>
          <w:p w14:paraId="597F62D8"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Альтернатива 2</w:t>
            </w:r>
          </w:p>
        </w:tc>
        <w:tc>
          <w:tcPr>
            <w:tcW w:w="4565" w:type="dxa"/>
          </w:tcPr>
          <w:p w14:paraId="06FFE02C"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eastAsia="Times New Roman" w:hAnsi="Times New Roman" w:cs="Times New Roman"/>
                <w:color w:val="auto"/>
                <w:sz w:val="24"/>
                <w:szCs w:val="24"/>
                <w:lang w:val="uk-UA" w:eastAsia="uk-UA"/>
              </w:rPr>
              <w:t>75822,00</w:t>
            </w:r>
          </w:p>
        </w:tc>
      </w:tr>
    </w:tbl>
    <w:p w14:paraId="57C885AC" w14:textId="77777777" w:rsidR="00E62116" w:rsidRPr="001179B2" w:rsidRDefault="00E62116" w:rsidP="00DF4044">
      <w:pPr>
        <w:spacing w:line="240" w:lineRule="auto"/>
        <w:jc w:val="both"/>
        <w:rPr>
          <w:rFonts w:ascii="Times New Roman" w:hAnsi="Times New Roman" w:cs="Times New Roman"/>
          <w:sz w:val="28"/>
          <w:szCs w:val="28"/>
          <w:lang w:val="uk-UA"/>
        </w:rPr>
      </w:pPr>
    </w:p>
    <w:p w14:paraId="42BD04A8" w14:textId="77777777" w:rsidR="00E62116" w:rsidRPr="001179B2" w:rsidRDefault="00E62116" w:rsidP="00DF4044">
      <w:pPr>
        <w:spacing w:line="240" w:lineRule="auto"/>
        <w:jc w:val="both"/>
        <w:rPr>
          <w:rFonts w:ascii="Times New Roman" w:hAnsi="Times New Roman" w:cs="Times New Roman"/>
          <w:sz w:val="28"/>
          <w:szCs w:val="28"/>
          <w:lang w:val="uk-UA"/>
        </w:rPr>
      </w:pPr>
    </w:p>
    <w:p w14:paraId="68686D75" w14:textId="77777777" w:rsidR="00E62116" w:rsidRPr="001179B2" w:rsidRDefault="00E62116" w:rsidP="00DF4044">
      <w:pPr>
        <w:spacing w:line="240" w:lineRule="auto"/>
        <w:ind w:firstLine="708"/>
        <w:jc w:val="both"/>
        <w:rPr>
          <w:rFonts w:ascii="Times New Roman" w:hAnsi="Times New Roman" w:cs="Times New Roman"/>
          <w:b/>
          <w:sz w:val="28"/>
          <w:szCs w:val="28"/>
          <w:lang w:val="uk-UA"/>
        </w:rPr>
      </w:pPr>
      <w:r w:rsidRPr="001179B2">
        <w:rPr>
          <w:rFonts w:ascii="Times New Roman" w:hAnsi="Times New Roman" w:cs="Times New Roman"/>
          <w:b/>
          <w:sz w:val="28"/>
          <w:szCs w:val="28"/>
          <w:lang w:val="uk-UA"/>
        </w:rPr>
        <w:t>IV. Вибір найбільш оптимального альтернативного способу досягнення цілей</w:t>
      </w:r>
    </w:p>
    <w:p w14:paraId="093C05D6" w14:textId="77777777" w:rsidR="00E62116" w:rsidRPr="001179B2" w:rsidRDefault="00E62116" w:rsidP="00DF4044">
      <w:pPr>
        <w:spacing w:line="240" w:lineRule="auto"/>
        <w:ind w:firstLine="709"/>
        <w:jc w:val="both"/>
        <w:rPr>
          <w:rFonts w:ascii="Times New Roman" w:hAnsi="Times New Roman" w:cs="Times New Roman"/>
          <w:sz w:val="28"/>
          <w:szCs w:val="28"/>
          <w:lang w:val="uk-UA"/>
        </w:rPr>
      </w:pPr>
    </w:p>
    <w:p w14:paraId="5EB89E89" w14:textId="77777777" w:rsidR="00E62116" w:rsidRPr="001179B2" w:rsidRDefault="00E62116" w:rsidP="00DF4044">
      <w:pPr>
        <w:spacing w:line="240" w:lineRule="auto"/>
        <w:ind w:firstLine="709"/>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Здійснити вибір оптимального альтернативного способу з урахуванням системи бальної оцінки ступеня досягнення визначених цілей.</w:t>
      </w:r>
    </w:p>
    <w:p w14:paraId="6BA6C5A8" w14:textId="77777777" w:rsidR="00E62116" w:rsidRPr="001179B2" w:rsidRDefault="00E62116" w:rsidP="00DF4044">
      <w:pPr>
        <w:spacing w:line="240" w:lineRule="auto"/>
        <w:ind w:firstLine="709"/>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 xml:space="preserve">Вартість балів визначається за чотирибальною системою оцінки ступеня </w:t>
      </w:r>
    </w:p>
    <w:p w14:paraId="77F9C0B4" w14:textId="77777777" w:rsidR="00E62116" w:rsidRPr="001179B2" w:rsidRDefault="00E62116" w:rsidP="00DF4044">
      <w:pPr>
        <w:spacing w:line="240" w:lineRule="auto"/>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досягнення визначених цілей, де:</w:t>
      </w:r>
    </w:p>
    <w:p w14:paraId="4362B133" w14:textId="77777777" w:rsidR="00E62116" w:rsidRPr="001179B2" w:rsidRDefault="00E62116" w:rsidP="00DF4044">
      <w:pPr>
        <w:spacing w:line="240" w:lineRule="auto"/>
        <w:ind w:firstLine="709"/>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4 – цілі прийняття регуляторного акта, які можуть бути досягнуті повною мірою (проблема більше існувати не буде);</w:t>
      </w:r>
    </w:p>
    <w:p w14:paraId="3C34DC73" w14:textId="77777777" w:rsidR="00E62116" w:rsidRPr="001179B2" w:rsidRDefault="00E62116" w:rsidP="00DF4044">
      <w:pPr>
        <w:spacing w:line="240" w:lineRule="auto"/>
        <w:ind w:firstLine="709"/>
        <w:jc w:val="both"/>
        <w:rPr>
          <w:rFonts w:ascii="Times New Roman" w:hAnsi="Times New Roman" w:cs="Times New Roman"/>
          <w:sz w:val="28"/>
          <w:szCs w:val="28"/>
          <w:lang w:val="uk-UA"/>
        </w:rPr>
      </w:pPr>
      <w:bookmarkStart w:id="0" w:name="n155"/>
      <w:bookmarkEnd w:id="0"/>
      <w:r w:rsidRPr="001179B2">
        <w:rPr>
          <w:rFonts w:ascii="Times New Roman" w:hAnsi="Times New Roman" w:cs="Times New Roman"/>
          <w:sz w:val="28"/>
          <w:szCs w:val="28"/>
          <w:lang w:val="uk-UA"/>
        </w:rPr>
        <w:t>3 – цілі прийняття регуляторного акта, які можуть бути досягнуті майже  повною мірою (усі важливі аспекти проблеми існувати не будуть);</w:t>
      </w:r>
    </w:p>
    <w:p w14:paraId="52FA0955" w14:textId="77777777" w:rsidR="00E62116" w:rsidRPr="001179B2" w:rsidRDefault="00E62116" w:rsidP="00DF4044">
      <w:pPr>
        <w:spacing w:line="240" w:lineRule="auto"/>
        <w:ind w:firstLine="709"/>
        <w:jc w:val="both"/>
        <w:rPr>
          <w:rFonts w:ascii="Times New Roman" w:hAnsi="Times New Roman" w:cs="Times New Roman"/>
          <w:sz w:val="28"/>
          <w:szCs w:val="28"/>
          <w:lang w:val="uk-UA"/>
        </w:rPr>
      </w:pPr>
      <w:bookmarkStart w:id="1" w:name="n156"/>
      <w:bookmarkEnd w:id="1"/>
      <w:r w:rsidRPr="001179B2">
        <w:rPr>
          <w:rFonts w:ascii="Times New Roman" w:hAnsi="Times New Roman" w:cs="Times New Roman"/>
          <w:sz w:val="28"/>
          <w:szCs w:val="28"/>
          <w:lang w:val="uk-UA"/>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5D44EEC0" w14:textId="77777777" w:rsidR="00E62116" w:rsidRPr="001179B2" w:rsidRDefault="00E62116" w:rsidP="00DF4044">
      <w:pPr>
        <w:spacing w:line="240" w:lineRule="auto"/>
        <w:ind w:firstLine="709"/>
        <w:jc w:val="both"/>
        <w:rPr>
          <w:rFonts w:ascii="Times New Roman" w:hAnsi="Times New Roman" w:cs="Times New Roman"/>
          <w:sz w:val="28"/>
          <w:szCs w:val="28"/>
          <w:lang w:val="uk-UA"/>
        </w:rPr>
      </w:pPr>
      <w:bookmarkStart w:id="2" w:name="n157"/>
      <w:bookmarkEnd w:id="2"/>
      <w:r w:rsidRPr="001179B2">
        <w:rPr>
          <w:rFonts w:ascii="Times New Roman" w:hAnsi="Times New Roman" w:cs="Times New Roman"/>
          <w:sz w:val="28"/>
          <w:szCs w:val="28"/>
          <w:lang w:val="uk-UA"/>
        </w:rPr>
        <w:t>1 – цілі прийняття регуляторного акта, які не можуть бути досягнуті (проблема продовжує існувати).</w:t>
      </w:r>
    </w:p>
    <w:p w14:paraId="388812AB" w14:textId="77777777" w:rsidR="00E62116" w:rsidRPr="001179B2" w:rsidRDefault="00E62116" w:rsidP="00DF4044">
      <w:pPr>
        <w:spacing w:line="240" w:lineRule="auto"/>
        <w:rPr>
          <w:rFonts w:ascii="Times New Roman" w:hAnsi="Times New Roman" w:cs="Times New Roman"/>
          <w:sz w:val="28"/>
          <w:lang w:val="uk-UA"/>
        </w:rPr>
      </w:pPr>
    </w:p>
    <w:tbl>
      <w:tblPr>
        <w:tblStyle w:val="a8"/>
        <w:tblW w:w="9493" w:type="dxa"/>
        <w:tblLook w:val="04A0" w:firstRow="1" w:lastRow="0" w:firstColumn="1" w:lastColumn="0" w:noHBand="0" w:noVBand="1"/>
      </w:tblPr>
      <w:tblGrid>
        <w:gridCol w:w="3114"/>
        <w:gridCol w:w="2381"/>
        <w:gridCol w:w="3998"/>
      </w:tblGrid>
      <w:tr w:rsidR="00E62116" w:rsidRPr="00E62D4E" w14:paraId="2BFCE0A9" w14:textId="77777777" w:rsidTr="00FA7B01">
        <w:trPr>
          <w:trHeight w:val="707"/>
        </w:trPr>
        <w:tc>
          <w:tcPr>
            <w:tcW w:w="3114" w:type="dxa"/>
            <w:vAlign w:val="center"/>
          </w:tcPr>
          <w:p w14:paraId="5740F892" w14:textId="77777777" w:rsidR="00E62116" w:rsidRPr="001179B2" w:rsidRDefault="00E62116" w:rsidP="00DF4044">
            <w:pPr>
              <w:spacing w:line="240" w:lineRule="auto"/>
              <w:jc w:val="center"/>
              <w:rPr>
                <w:rFonts w:ascii="Times New Roman" w:hAnsi="Times New Roman" w:cs="Times New Roman"/>
                <w:sz w:val="24"/>
                <w:szCs w:val="28"/>
                <w:lang w:val="uk-UA"/>
              </w:rPr>
            </w:pPr>
            <w:r w:rsidRPr="001179B2">
              <w:rPr>
                <w:rFonts w:ascii="Times New Roman" w:hAnsi="Times New Roman" w:cs="Times New Roman"/>
                <w:sz w:val="24"/>
                <w:szCs w:val="28"/>
                <w:lang w:val="uk-UA"/>
              </w:rPr>
              <w:t>Рейтинг результативності (досягнення цілей під час вирішення проблеми)</w:t>
            </w:r>
          </w:p>
        </w:tc>
        <w:tc>
          <w:tcPr>
            <w:tcW w:w="2381" w:type="dxa"/>
            <w:vAlign w:val="center"/>
          </w:tcPr>
          <w:p w14:paraId="728CD9B2" w14:textId="77777777" w:rsidR="00E62116" w:rsidRPr="001179B2" w:rsidRDefault="00E62116" w:rsidP="00DF4044">
            <w:pPr>
              <w:spacing w:line="240" w:lineRule="auto"/>
              <w:jc w:val="center"/>
              <w:rPr>
                <w:rFonts w:ascii="Times New Roman" w:hAnsi="Times New Roman" w:cs="Times New Roman"/>
                <w:sz w:val="24"/>
                <w:szCs w:val="28"/>
                <w:lang w:val="uk-UA"/>
              </w:rPr>
            </w:pPr>
            <w:r w:rsidRPr="001179B2">
              <w:rPr>
                <w:rFonts w:ascii="Times New Roman" w:hAnsi="Times New Roman" w:cs="Times New Roman"/>
                <w:sz w:val="24"/>
                <w:szCs w:val="28"/>
                <w:lang w:val="uk-UA"/>
              </w:rPr>
              <w:t>Бал результативності (за чотирибальною системою оцінки)</w:t>
            </w:r>
          </w:p>
        </w:tc>
        <w:tc>
          <w:tcPr>
            <w:tcW w:w="3998" w:type="dxa"/>
            <w:vAlign w:val="center"/>
          </w:tcPr>
          <w:p w14:paraId="208867A5" w14:textId="77777777" w:rsidR="00E62116" w:rsidRPr="001179B2" w:rsidRDefault="00E62116" w:rsidP="00DF4044">
            <w:pPr>
              <w:spacing w:line="240" w:lineRule="auto"/>
              <w:jc w:val="center"/>
              <w:rPr>
                <w:rFonts w:ascii="Times New Roman" w:hAnsi="Times New Roman" w:cs="Times New Roman"/>
                <w:sz w:val="24"/>
                <w:szCs w:val="28"/>
                <w:lang w:val="uk-UA"/>
              </w:rPr>
            </w:pPr>
            <w:r w:rsidRPr="001179B2">
              <w:rPr>
                <w:rFonts w:ascii="Times New Roman" w:hAnsi="Times New Roman" w:cs="Times New Roman"/>
                <w:sz w:val="24"/>
                <w:szCs w:val="28"/>
                <w:lang w:val="uk-UA"/>
              </w:rPr>
              <w:t>Коментарі щодо присвоєння відповідного балу</w:t>
            </w:r>
          </w:p>
        </w:tc>
      </w:tr>
      <w:tr w:rsidR="00E62116" w:rsidRPr="00E62D4E" w14:paraId="68D095CA" w14:textId="77777777" w:rsidTr="00FA7B01">
        <w:tc>
          <w:tcPr>
            <w:tcW w:w="3114" w:type="dxa"/>
          </w:tcPr>
          <w:p w14:paraId="1F438452" w14:textId="77777777" w:rsidR="00E62116" w:rsidRPr="001179B2" w:rsidRDefault="00E62116" w:rsidP="00DF4044">
            <w:pPr>
              <w:spacing w:line="240" w:lineRule="auto"/>
              <w:rPr>
                <w:rFonts w:ascii="Times New Roman" w:hAnsi="Times New Roman" w:cs="Times New Roman"/>
                <w:sz w:val="24"/>
                <w:szCs w:val="24"/>
                <w:lang w:val="uk-UA"/>
              </w:rPr>
            </w:pPr>
            <w:r w:rsidRPr="001179B2">
              <w:rPr>
                <w:rFonts w:ascii="Times New Roman" w:hAnsi="Times New Roman" w:cs="Times New Roman"/>
                <w:sz w:val="24"/>
                <w:szCs w:val="24"/>
                <w:shd w:val="clear" w:color="auto" w:fill="FFFFFF"/>
                <w:lang w:val="uk-UA"/>
              </w:rPr>
              <w:lastRenderedPageBreak/>
              <w:t>Альтернатива 1</w:t>
            </w:r>
          </w:p>
        </w:tc>
        <w:tc>
          <w:tcPr>
            <w:tcW w:w="2381" w:type="dxa"/>
          </w:tcPr>
          <w:p w14:paraId="7C37F7DB"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1</w:t>
            </w:r>
          </w:p>
        </w:tc>
        <w:tc>
          <w:tcPr>
            <w:tcW w:w="3998" w:type="dxa"/>
          </w:tcPr>
          <w:p w14:paraId="0A2C83FF" w14:textId="0234A1A8" w:rsidR="00E62116" w:rsidRPr="001179B2" w:rsidRDefault="00E62116" w:rsidP="007C2A06">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Зазначена проблема </w:t>
            </w:r>
            <w:r w:rsidR="003E1E44" w:rsidRPr="001179B2">
              <w:rPr>
                <w:rFonts w:ascii="Times New Roman" w:hAnsi="Times New Roman" w:cs="Times New Roman"/>
                <w:sz w:val="24"/>
                <w:szCs w:val="24"/>
                <w:lang w:val="uk-UA"/>
              </w:rPr>
              <w:t xml:space="preserve">невідповідності норм чинного акту до вимог законодавства щодо </w:t>
            </w:r>
            <w:r w:rsidR="003E1E44" w:rsidRPr="001179B2">
              <w:rPr>
                <w:rFonts w:ascii="Times New Roman" w:eastAsia="Calibri" w:hAnsi="Times New Roman" w:cs="Times New Roman"/>
                <w:sz w:val="24"/>
                <w:szCs w:val="24"/>
                <w:lang w:val="uk-UA"/>
              </w:rPr>
              <w:t>вирішення адміністративних справ шляхом прийняття та виконання адміністративних актів, внаслідок чого збільшується ризик не</w:t>
            </w:r>
            <w:r w:rsidR="003E1E44" w:rsidRPr="001179B2">
              <w:rPr>
                <w:rFonts w:ascii="Times New Roman" w:hAnsi="Times New Roman" w:cs="Times New Roman"/>
                <w:sz w:val="24"/>
                <w:szCs w:val="24"/>
                <w:lang w:val="uk-UA"/>
              </w:rPr>
              <w:t>отримання освітньої послуги здобувачами фахової передвищої освіти за кошти державного або регіонального замовлення</w:t>
            </w:r>
            <w:r w:rsidR="0049342B" w:rsidRPr="001179B2">
              <w:rPr>
                <w:rFonts w:ascii="Times New Roman" w:hAnsi="Times New Roman" w:cs="Times New Roman"/>
                <w:sz w:val="24"/>
                <w:szCs w:val="24"/>
                <w:lang w:val="uk-UA"/>
              </w:rPr>
              <w:t>,</w:t>
            </w:r>
            <w:r w:rsidR="00D276F6" w:rsidRPr="001179B2">
              <w:rPr>
                <w:rFonts w:ascii="Times New Roman" w:hAnsi="Times New Roman" w:cs="Times New Roman"/>
                <w:sz w:val="24"/>
                <w:szCs w:val="24"/>
                <w:lang w:val="uk-UA"/>
              </w:rPr>
              <w:t xml:space="preserve"> </w:t>
            </w:r>
            <w:r w:rsidR="007C2A06">
              <w:rPr>
                <w:rFonts w:ascii="Times New Roman" w:hAnsi="Times New Roman" w:cs="Times New Roman"/>
                <w:sz w:val="24"/>
                <w:szCs w:val="24"/>
                <w:lang w:val="uk-UA"/>
              </w:rPr>
              <w:t>неузгодженості окремих процедур, що обумовлює відтермінування</w:t>
            </w:r>
            <w:r w:rsidR="00D276F6" w:rsidRPr="001179B2">
              <w:rPr>
                <w:rFonts w:ascii="Times New Roman" w:hAnsi="Times New Roman" w:cs="Times New Roman"/>
                <w:sz w:val="24"/>
                <w:szCs w:val="24"/>
                <w:lang w:val="uk-UA"/>
              </w:rPr>
              <w:t xml:space="preserve"> </w:t>
            </w:r>
            <w:r w:rsidR="0049342B" w:rsidRPr="001179B2">
              <w:rPr>
                <w:rFonts w:ascii="Times New Roman" w:hAnsi="Times New Roman" w:cs="Times New Roman"/>
                <w:sz w:val="24"/>
                <w:szCs w:val="24"/>
                <w:shd w:val="clear" w:color="auto" w:fill="FFFFFF"/>
                <w:lang w:val="uk-UA"/>
              </w:rPr>
              <w:t>підтвердження рішення про акредитацію освітньо-професійних програм</w:t>
            </w:r>
            <w:r w:rsidR="007C2A06">
              <w:rPr>
                <w:rFonts w:ascii="Times New Roman" w:hAnsi="Times New Roman" w:cs="Times New Roman"/>
                <w:sz w:val="24"/>
                <w:szCs w:val="24"/>
                <w:shd w:val="clear" w:color="auto" w:fill="FFFFFF"/>
                <w:lang w:val="uk-UA"/>
              </w:rPr>
              <w:t xml:space="preserve">, а відтак </w:t>
            </w:r>
            <w:proofErr w:type="spellStart"/>
            <w:r w:rsidR="007C2A06">
              <w:rPr>
                <w:rFonts w:ascii="Times New Roman" w:hAnsi="Times New Roman" w:cs="Times New Roman"/>
                <w:sz w:val="24"/>
                <w:szCs w:val="24"/>
                <w:shd w:val="clear" w:color="auto" w:fill="FFFFFF"/>
                <w:lang w:val="uk-UA"/>
              </w:rPr>
              <w:t>відтерміновує</w:t>
            </w:r>
            <w:proofErr w:type="spellEnd"/>
            <w:r w:rsidR="007C2A06">
              <w:rPr>
                <w:rFonts w:ascii="Times New Roman" w:hAnsi="Times New Roman" w:cs="Times New Roman"/>
                <w:sz w:val="24"/>
                <w:szCs w:val="24"/>
                <w:shd w:val="clear" w:color="auto" w:fill="FFFFFF"/>
                <w:lang w:val="uk-UA"/>
              </w:rPr>
              <w:t xml:space="preserve"> переоформлення сертифікатів,</w:t>
            </w:r>
            <w:r w:rsidR="003E1E44" w:rsidRPr="001179B2">
              <w:rPr>
                <w:rFonts w:ascii="Times New Roman" w:hAnsi="Times New Roman" w:cs="Times New Roman"/>
                <w:sz w:val="24"/>
                <w:szCs w:val="24"/>
                <w:lang w:val="uk-UA"/>
              </w:rPr>
              <w:t xml:space="preserve"> </w:t>
            </w:r>
            <w:r w:rsidRPr="001179B2">
              <w:rPr>
                <w:rFonts w:ascii="Times New Roman" w:hAnsi="Times New Roman" w:cs="Times New Roman"/>
                <w:sz w:val="24"/>
                <w:szCs w:val="24"/>
                <w:lang w:val="uk-UA"/>
              </w:rPr>
              <w:t>продовжуватиме існувати</w:t>
            </w:r>
            <w:r w:rsidR="0049342B" w:rsidRPr="001179B2">
              <w:rPr>
                <w:rFonts w:ascii="Times New Roman" w:hAnsi="Times New Roman" w:cs="Times New Roman"/>
                <w:sz w:val="24"/>
                <w:szCs w:val="24"/>
                <w:lang w:val="uk-UA"/>
              </w:rPr>
              <w:t>.</w:t>
            </w:r>
            <w:r w:rsidR="003E1E44" w:rsidRPr="001179B2">
              <w:rPr>
                <w:rFonts w:ascii="Times New Roman" w:hAnsi="Times New Roman" w:cs="Times New Roman"/>
                <w:sz w:val="24"/>
                <w:szCs w:val="24"/>
                <w:lang w:val="uk-UA"/>
              </w:rPr>
              <w:t xml:space="preserve"> </w:t>
            </w:r>
          </w:p>
        </w:tc>
      </w:tr>
      <w:tr w:rsidR="00E62116" w:rsidRPr="00E62D4E" w14:paraId="322AEB08" w14:textId="77777777" w:rsidTr="00FA7B01">
        <w:tc>
          <w:tcPr>
            <w:tcW w:w="3114" w:type="dxa"/>
          </w:tcPr>
          <w:p w14:paraId="250F6384" w14:textId="77777777" w:rsidR="00E62116" w:rsidRPr="001179B2" w:rsidRDefault="00E62116" w:rsidP="00DF4044">
            <w:pPr>
              <w:spacing w:line="240" w:lineRule="auto"/>
              <w:rPr>
                <w:rFonts w:ascii="Times New Roman" w:hAnsi="Times New Roman" w:cs="Times New Roman"/>
                <w:sz w:val="24"/>
                <w:szCs w:val="24"/>
                <w:lang w:val="uk-UA"/>
              </w:rPr>
            </w:pPr>
            <w:r w:rsidRPr="001179B2">
              <w:rPr>
                <w:rFonts w:ascii="Times New Roman" w:hAnsi="Times New Roman" w:cs="Times New Roman"/>
                <w:sz w:val="24"/>
                <w:szCs w:val="24"/>
                <w:shd w:val="clear" w:color="auto" w:fill="FFFFFF"/>
                <w:lang w:val="uk-UA"/>
              </w:rPr>
              <w:t>Альтернатива 2</w:t>
            </w:r>
          </w:p>
        </w:tc>
        <w:tc>
          <w:tcPr>
            <w:tcW w:w="2381" w:type="dxa"/>
          </w:tcPr>
          <w:p w14:paraId="5A697F77"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4</w:t>
            </w:r>
          </w:p>
        </w:tc>
        <w:tc>
          <w:tcPr>
            <w:tcW w:w="3998" w:type="dxa"/>
          </w:tcPr>
          <w:p w14:paraId="1C4BE122"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Максимальний бал. Запропонований спосіб вирішення зазначеної проблеми є найбільш доцільним, оскільки прийняття запропонованого проєкту акта дозволить забезпечити реалізацію засад державної політики у сфері освіти та принципів освітньої діяльності відповідно до вимог законодавства щодо </w:t>
            </w:r>
            <w:r w:rsidRPr="001179B2">
              <w:rPr>
                <w:rFonts w:ascii="Times New Roman" w:eastAsia="Calibri" w:hAnsi="Times New Roman" w:cs="Times New Roman"/>
                <w:sz w:val="24"/>
                <w:szCs w:val="24"/>
                <w:lang w:val="uk-UA"/>
              </w:rPr>
              <w:t>вирішення  адміністративних справ шляхом прийняття та виконання адміністративних актів,</w:t>
            </w:r>
            <w:r w:rsidRPr="001179B2">
              <w:rPr>
                <w:rFonts w:ascii="Times New Roman" w:hAnsi="Times New Roman" w:cs="Times New Roman"/>
                <w:sz w:val="24"/>
                <w:szCs w:val="24"/>
                <w:lang w:val="uk-UA"/>
              </w:rPr>
              <w:t xml:space="preserve"> </w:t>
            </w:r>
            <w:r w:rsidR="00C348C0" w:rsidRPr="001179B2">
              <w:rPr>
                <w:rFonts w:ascii="Times New Roman" w:hAnsi="Times New Roman" w:cs="Times New Roman"/>
                <w:sz w:val="24"/>
                <w:szCs w:val="24"/>
                <w:shd w:val="clear" w:color="auto" w:fill="FFFFFF"/>
                <w:lang w:val="uk-UA"/>
              </w:rPr>
              <w:t>у</w:t>
            </w:r>
            <w:r w:rsidR="003E1E44" w:rsidRPr="001179B2">
              <w:rPr>
                <w:rFonts w:ascii="Times New Roman" w:hAnsi="Times New Roman" w:cs="Times New Roman"/>
                <w:sz w:val="24"/>
                <w:szCs w:val="24"/>
                <w:shd w:val="clear" w:color="auto" w:fill="FFFFFF"/>
                <w:lang w:val="uk-UA"/>
              </w:rPr>
              <w:t>точн</w:t>
            </w:r>
            <w:r w:rsidR="00C348C0" w:rsidRPr="001179B2">
              <w:rPr>
                <w:rFonts w:ascii="Times New Roman" w:hAnsi="Times New Roman" w:cs="Times New Roman"/>
                <w:sz w:val="24"/>
                <w:szCs w:val="24"/>
                <w:shd w:val="clear" w:color="auto" w:fill="FFFFFF"/>
                <w:lang w:val="uk-UA"/>
              </w:rPr>
              <w:t>ить</w:t>
            </w:r>
            <w:r w:rsidR="003E1E44" w:rsidRPr="001179B2">
              <w:rPr>
                <w:rFonts w:ascii="Times New Roman" w:hAnsi="Times New Roman" w:cs="Times New Roman"/>
                <w:sz w:val="24"/>
                <w:szCs w:val="24"/>
                <w:shd w:val="clear" w:color="auto" w:fill="FFFFFF"/>
                <w:lang w:val="uk-UA"/>
              </w:rPr>
              <w:t xml:space="preserve"> механізм переоформлення сертифікатів про акредитацію освітньо-професійних програм у сфері фахової передвищої освіти з врахуванням строків розгляду заяви про переоформлення сертифіката, конкретиз</w:t>
            </w:r>
            <w:r w:rsidR="00C348C0" w:rsidRPr="001179B2">
              <w:rPr>
                <w:rFonts w:ascii="Times New Roman" w:hAnsi="Times New Roman" w:cs="Times New Roman"/>
                <w:sz w:val="24"/>
                <w:szCs w:val="24"/>
                <w:shd w:val="clear" w:color="auto" w:fill="FFFFFF"/>
                <w:lang w:val="uk-UA"/>
              </w:rPr>
              <w:t>ує</w:t>
            </w:r>
            <w:r w:rsidR="003E1E44" w:rsidRPr="001179B2">
              <w:rPr>
                <w:rFonts w:ascii="Times New Roman" w:hAnsi="Times New Roman" w:cs="Times New Roman"/>
                <w:sz w:val="24"/>
                <w:szCs w:val="24"/>
                <w:shd w:val="clear" w:color="auto" w:fill="FFFFFF"/>
                <w:lang w:val="uk-UA"/>
              </w:rPr>
              <w:t xml:space="preserve"> процедур</w:t>
            </w:r>
            <w:r w:rsidR="00C348C0" w:rsidRPr="001179B2">
              <w:rPr>
                <w:rFonts w:ascii="Times New Roman" w:hAnsi="Times New Roman" w:cs="Times New Roman"/>
                <w:sz w:val="24"/>
                <w:szCs w:val="24"/>
                <w:shd w:val="clear" w:color="auto" w:fill="FFFFFF"/>
                <w:lang w:val="uk-UA"/>
              </w:rPr>
              <w:t>у</w:t>
            </w:r>
            <w:r w:rsidR="003E1E44" w:rsidRPr="001179B2">
              <w:rPr>
                <w:rFonts w:ascii="Times New Roman" w:hAnsi="Times New Roman" w:cs="Times New Roman"/>
                <w:sz w:val="24"/>
                <w:szCs w:val="24"/>
                <w:shd w:val="clear" w:color="auto" w:fill="FFFFFF"/>
                <w:lang w:val="uk-UA"/>
              </w:rPr>
              <w:t xml:space="preserve"> підтвердження рішення про акредитацію освітньо-професійних програм у сфері фахової передвищої освіти засобами Єдиної державної бази з питань освіти</w:t>
            </w:r>
            <w:r w:rsidR="00C348C0" w:rsidRPr="001179B2">
              <w:rPr>
                <w:rFonts w:ascii="Times New Roman" w:hAnsi="Times New Roman" w:cs="Times New Roman"/>
                <w:sz w:val="24"/>
                <w:szCs w:val="24"/>
                <w:shd w:val="clear" w:color="auto" w:fill="FFFFFF"/>
                <w:lang w:val="uk-UA"/>
              </w:rPr>
              <w:t>, що</w:t>
            </w:r>
            <w:r w:rsidR="003E1E44" w:rsidRPr="001179B2">
              <w:rPr>
                <w:rFonts w:ascii="Times New Roman" w:hAnsi="Times New Roman" w:cs="Times New Roman"/>
                <w:sz w:val="24"/>
                <w:szCs w:val="24"/>
                <w:lang w:val="uk-UA"/>
              </w:rPr>
              <w:t xml:space="preserve"> надасть  можливість закладу освіти отримувати фінансування з державного або місцевого бюджетів та у визначені терміни видати здобувачам освіти документи про фахову передвищу освіту</w:t>
            </w:r>
            <w:r w:rsidR="00C348C0" w:rsidRPr="001179B2">
              <w:rPr>
                <w:rFonts w:ascii="Times New Roman" w:hAnsi="Times New Roman" w:cs="Times New Roman"/>
                <w:sz w:val="24"/>
                <w:szCs w:val="24"/>
                <w:lang w:val="uk-UA"/>
              </w:rPr>
              <w:t>.</w:t>
            </w:r>
          </w:p>
          <w:p w14:paraId="26089438" w14:textId="77777777" w:rsidR="00E62116" w:rsidRPr="001179B2" w:rsidRDefault="00E62116" w:rsidP="00DF4044">
            <w:pPr>
              <w:spacing w:line="240" w:lineRule="auto"/>
              <w:jc w:val="both"/>
              <w:rPr>
                <w:rFonts w:ascii="Times New Roman" w:hAnsi="Times New Roman" w:cs="Times New Roman"/>
                <w:sz w:val="24"/>
                <w:szCs w:val="24"/>
                <w:lang w:val="uk-UA"/>
              </w:rPr>
            </w:pPr>
          </w:p>
        </w:tc>
      </w:tr>
    </w:tbl>
    <w:p w14:paraId="33875EB5" w14:textId="77777777" w:rsidR="00E62116" w:rsidRPr="001179B2" w:rsidRDefault="00E62116" w:rsidP="00DF4044">
      <w:pPr>
        <w:spacing w:line="240" w:lineRule="auto"/>
        <w:rPr>
          <w:rFonts w:ascii="Times New Roman" w:hAnsi="Times New Roman" w:cs="Times New Roman"/>
          <w:sz w:val="28"/>
          <w:szCs w:val="28"/>
          <w:lang w:val="uk-UA"/>
        </w:rPr>
      </w:pPr>
    </w:p>
    <w:tbl>
      <w:tblPr>
        <w:tblStyle w:val="a8"/>
        <w:tblW w:w="9351" w:type="dxa"/>
        <w:tblLayout w:type="fixed"/>
        <w:tblLook w:val="04A0" w:firstRow="1" w:lastRow="0" w:firstColumn="1" w:lastColumn="0" w:noHBand="0" w:noVBand="1"/>
      </w:tblPr>
      <w:tblGrid>
        <w:gridCol w:w="1838"/>
        <w:gridCol w:w="2551"/>
        <w:gridCol w:w="2127"/>
        <w:gridCol w:w="2835"/>
      </w:tblGrid>
      <w:tr w:rsidR="00E62116" w:rsidRPr="00E62D4E" w14:paraId="334ADD44" w14:textId="77777777" w:rsidTr="00C348C0">
        <w:tc>
          <w:tcPr>
            <w:tcW w:w="1838" w:type="dxa"/>
            <w:vAlign w:val="center"/>
          </w:tcPr>
          <w:p w14:paraId="6B49268F"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lastRenderedPageBreak/>
              <w:t>Рейтинг результативності</w:t>
            </w:r>
          </w:p>
        </w:tc>
        <w:tc>
          <w:tcPr>
            <w:tcW w:w="2551" w:type="dxa"/>
            <w:vAlign w:val="center"/>
          </w:tcPr>
          <w:p w14:paraId="70592FDC"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Вигоди (підсумок)</w:t>
            </w:r>
          </w:p>
        </w:tc>
        <w:tc>
          <w:tcPr>
            <w:tcW w:w="2127" w:type="dxa"/>
            <w:vAlign w:val="center"/>
          </w:tcPr>
          <w:p w14:paraId="288E0B20"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Витрати (підсумок)</w:t>
            </w:r>
          </w:p>
        </w:tc>
        <w:tc>
          <w:tcPr>
            <w:tcW w:w="2835" w:type="dxa"/>
            <w:vAlign w:val="center"/>
          </w:tcPr>
          <w:p w14:paraId="6C4D9C5F"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Обґрунтування відповідного місця альтернативи у рейтингу</w:t>
            </w:r>
          </w:p>
          <w:p w14:paraId="7874C8DE" w14:textId="77777777" w:rsidR="00E62116" w:rsidRPr="001179B2" w:rsidRDefault="00E62116" w:rsidP="00DF4044">
            <w:pPr>
              <w:spacing w:line="240" w:lineRule="auto"/>
              <w:jc w:val="center"/>
              <w:rPr>
                <w:rFonts w:ascii="Times New Roman" w:hAnsi="Times New Roman" w:cs="Times New Roman"/>
                <w:sz w:val="24"/>
                <w:szCs w:val="24"/>
                <w:lang w:val="uk-UA"/>
              </w:rPr>
            </w:pPr>
          </w:p>
        </w:tc>
      </w:tr>
      <w:tr w:rsidR="00E62116" w:rsidRPr="00E62D4E" w14:paraId="1B616C51" w14:textId="77777777" w:rsidTr="00C348C0">
        <w:trPr>
          <w:trHeight w:val="934"/>
        </w:trPr>
        <w:tc>
          <w:tcPr>
            <w:tcW w:w="1838" w:type="dxa"/>
          </w:tcPr>
          <w:p w14:paraId="5A1753D7" w14:textId="77777777" w:rsidR="00E62116" w:rsidRPr="001179B2" w:rsidRDefault="00E62116" w:rsidP="00DF4044">
            <w:pPr>
              <w:spacing w:line="240" w:lineRule="auto"/>
              <w:rPr>
                <w:rFonts w:ascii="Times New Roman" w:hAnsi="Times New Roman" w:cs="Times New Roman"/>
                <w:sz w:val="24"/>
                <w:szCs w:val="24"/>
                <w:lang w:val="uk-UA"/>
              </w:rPr>
            </w:pPr>
            <w:r w:rsidRPr="001179B2">
              <w:rPr>
                <w:rFonts w:ascii="Times New Roman" w:hAnsi="Times New Roman" w:cs="Times New Roman"/>
                <w:sz w:val="24"/>
                <w:szCs w:val="24"/>
                <w:shd w:val="clear" w:color="auto" w:fill="FFFFFF"/>
                <w:lang w:val="uk-UA"/>
              </w:rPr>
              <w:t>Альтернатива 1</w:t>
            </w:r>
          </w:p>
        </w:tc>
        <w:tc>
          <w:tcPr>
            <w:tcW w:w="2551" w:type="dxa"/>
          </w:tcPr>
          <w:p w14:paraId="4BF84CA6"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Відсутні</w:t>
            </w:r>
          </w:p>
        </w:tc>
        <w:tc>
          <w:tcPr>
            <w:tcW w:w="2127" w:type="dxa"/>
          </w:tcPr>
          <w:p w14:paraId="0FA16B94"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 Відсутн</w:t>
            </w:r>
            <w:r w:rsidR="00C348C0" w:rsidRPr="001179B2">
              <w:rPr>
                <w:rFonts w:ascii="Times New Roman" w:hAnsi="Times New Roman" w:cs="Times New Roman"/>
                <w:sz w:val="24"/>
                <w:szCs w:val="24"/>
                <w:lang w:val="uk-UA"/>
              </w:rPr>
              <w:t>і</w:t>
            </w:r>
            <w:r w:rsidRPr="001179B2">
              <w:rPr>
                <w:rFonts w:ascii="Times New Roman" w:hAnsi="Times New Roman" w:cs="Times New Roman"/>
                <w:sz w:val="24"/>
                <w:szCs w:val="24"/>
                <w:lang w:val="uk-UA"/>
              </w:rPr>
              <w:t xml:space="preserve"> (або залишаються без змін)</w:t>
            </w:r>
          </w:p>
          <w:p w14:paraId="3EA8B620"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Cs w:val="28"/>
                <w:lang w:val="uk-UA"/>
              </w:rPr>
              <w:t xml:space="preserve"> </w:t>
            </w:r>
          </w:p>
        </w:tc>
        <w:tc>
          <w:tcPr>
            <w:tcW w:w="2835" w:type="dxa"/>
          </w:tcPr>
          <w:p w14:paraId="695FCDA7"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Зазначений спосіб не сприяє вирішенню існуючої проблеми</w:t>
            </w:r>
          </w:p>
        </w:tc>
      </w:tr>
      <w:tr w:rsidR="00E62116" w:rsidRPr="00E62D4E" w14:paraId="6E63B47A" w14:textId="77777777" w:rsidTr="00C348C0">
        <w:tc>
          <w:tcPr>
            <w:tcW w:w="1838" w:type="dxa"/>
          </w:tcPr>
          <w:p w14:paraId="03852171" w14:textId="77777777" w:rsidR="00E62116" w:rsidRPr="001179B2" w:rsidRDefault="00E62116" w:rsidP="00DF4044">
            <w:pPr>
              <w:spacing w:line="240" w:lineRule="auto"/>
              <w:rPr>
                <w:rFonts w:ascii="Times New Roman" w:hAnsi="Times New Roman" w:cs="Times New Roman"/>
                <w:sz w:val="24"/>
                <w:szCs w:val="24"/>
                <w:lang w:val="uk-UA"/>
              </w:rPr>
            </w:pPr>
            <w:r w:rsidRPr="001179B2">
              <w:rPr>
                <w:rFonts w:ascii="Times New Roman" w:hAnsi="Times New Roman" w:cs="Times New Roman"/>
                <w:sz w:val="24"/>
                <w:szCs w:val="24"/>
                <w:shd w:val="clear" w:color="auto" w:fill="FFFFFF"/>
                <w:lang w:val="uk-UA"/>
              </w:rPr>
              <w:t>Альтернатива 2</w:t>
            </w:r>
          </w:p>
        </w:tc>
        <w:tc>
          <w:tcPr>
            <w:tcW w:w="2551" w:type="dxa"/>
          </w:tcPr>
          <w:p w14:paraId="2560A081"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Забезпечує досягнення цілей. </w:t>
            </w:r>
            <w:r w:rsidR="00C348C0" w:rsidRPr="001179B2">
              <w:rPr>
                <w:rFonts w:ascii="Times New Roman" w:hAnsi="Times New Roman" w:cs="Times New Roman"/>
                <w:sz w:val="24"/>
                <w:szCs w:val="24"/>
                <w:lang w:val="uk-UA"/>
              </w:rPr>
              <w:t>Прийняття проєкту акта дозволить привести у відповідність до зазначеного нормативно-правового акта процедуру оформлення, переоформлення, видачі, зберігання та обліку сертифікатів про акредитацію освітньо-професійної програми у сфері фахової передвищої освіти (їх дублікатів) та дозволить Державній службі якості освіти України реалізувати покладені на неї законодавством функції у чітко визначений порядок та спосіб</w:t>
            </w:r>
            <w:r w:rsidR="00C348C0" w:rsidRPr="001179B2">
              <w:rPr>
                <w:rFonts w:ascii="Times New Roman" w:hAnsi="Times New Roman" w:cs="Times New Roman"/>
                <w:lang w:val="uk-UA"/>
              </w:rPr>
              <w:t>.</w:t>
            </w:r>
          </w:p>
          <w:p w14:paraId="06FA2E0A"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  </w:t>
            </w:r>
          </w:p>
        </w:tc>
        <w:tc>
          <w:tcPr>
            <w:tcW w:w="2127" w:type="dxa"/>
          </w:tcPr>
          <w:p w14:paraId="46C4D973" w14:textId="77777777" w:rsidR="00E62116" w:rsidRPr="001179B2" w:rsidRDefault="00E62116" w:rsidP="00DF4044">
            <w:pPr>
              <w:spacing w:line="240" w:lineRule="auto"/>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 Змістові витрати:</w:t>
            </w:r>
          </w:p>
          <w:p w14:paraId="08D6E3E0" w14:textId="34910E54" w:rsidR="00E62116" w:rsidRPr="001179B2" w:rsidRDefault="00E62116" w:rsidP="00DF4044">
            <w:pPr>
              <w:spacing w:line="240" w:lineRule="auto"/>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Ознайомлення учасників освітнього процесу із </w:t>
            </w:r>
            <w:r w:rsidR="00C348C0" w:rsidRPr="001179B2">
              <w:rPr>
                <w:rFonts w:ascii="Times New Roman" w:hAnsi="Times New Roman" w:cs="Times New Roman"/>
                <w:sz w:val="24"/>
                <w:szCs w:val="24"/>
                <w:lang w:val="uk-UA"/>
              </w:rPr>
              <w:t>вимогами</w:t>
            </w:r>
            <w:r w:rsidRPr="001179B2">
              <w:rPr>
                <w:rFonts w:ascii="Times New Roman" w:hAnsi="Times New Roman" w:cs="Times New Roman"/>
                <w:sz w:val="24"/>
                <w:szCs w:val="24"/>
                <w:lang w:val="uk-UA"/>
              </w:rPr>
              <w:t xml:space="preserve"> </w:t>
            </w:r>
            <w:r w:rsidR="008774C8">
              <w:rPr>
                <w:rFonts w:ascii="Times New Roman" w:hAnsi="Times New Roman" w:cs="Times New Roman"/>
                <w:sz w:val="24"/>
                <w:szCs w:val="24"/>
                <w:lang w:val="uk-UA"/>
              </w:rPr>
              <w:t>наказу</w:t>
            </w:r>
            <w:r w:rsidRPr="001179B2">
              <w:rPr>
                <w:rFonts w:ascii="Times New Roman" w:hAnsi="Times New Roman" w:cs="Times New Roman"/>
                <w:sz w:val="24"/>
                <w:szCs w:val="24"/>
                <w:lang w:val="uk-UA"/>
              </w:rPr>
              <w:t xml:space="preserve"> (зі змінами)</w:t>
            </w:r>
            <w:r w:rsidR="008774C8">
              <w:rPr>
                <w:rFonts w:ascii="Times New Roman" w:hAnsi="Times New Roman" w:cs="Times New Roman"/>
                <w:sz w:val="24"/>
                <w:szCs w:val="24"/>
                <w:lang w:val="uk-UA"/>
              </w:rPr>
              <w:t>.</w:t>
            </w:r>
            <w:r w:rsidRPr="001179B2">
              <w:rPr>
                <w:rFonts w:ascii="Times New Roman" w:hAnsi="Times New Roman" w:cs="Times New Roman"/>
                <w:sz w:val="24"/>
                <w:szCs w:val="24"/>
                <w:lang w:val="uk-UA"/>
              </w:rPr>
              <w:t xml:space="preserve"> Проведення інформаційно-роз’яснювальної роботи. Оприлюднення  нормативного акту.</w:t>
            </w:r>
          </w:p>
          <w:p w14:paraId="36F0CCB6" w14:textId="77777777" w:rsidR="00E62116" w:rsidRPr="001179B2" w:rsidRDefault="00E62116" w:rsidP="00DF4044">
            <w:pPr>
              <w:spacing w:line="240" w:lineRule="auto"/>
              <w:rPr>
                <w:rFonts w:ascii="Times New Roman" w:hAnsi="Times New Roman" w:cs="Times New Roman"/>
                <w:sz w:val="24"/>
                <w:szCs w:val="24"/>
                <w:lang w:val="uk-UA"/>
              </w:rPr>
            </w:pPr>
          </w:p>
          <w:p w14:paraId="4EEA2EC5" w14:textId="77777777" w:rsidR="00E62116" w:rsidRPr="001179B2" w:rsidRDefault="00E62116" w:rsidP="00DF4044">
            <w:pPr>
              <w:spacing w:line="240" w:lineRule="auto"/>
              <w:rPr>
                <w:rFonts w:ascii="Times New Roman" w:hAnsi="Times New Roman" w:cs="Times New Roman"/>
                <w:strike/>
                <w:sz w:val="24"/>
                <w:szCs w:val="24"/>
                <w:lang w:val="uk-UA"/>
              </w:rPr>
            </w:pPr>
            <w:r w:rsidRPr="001179B2">
              <w:rPr>
                <w:rFonts w:ascii="Times New Roman" w:hAnsi="Times New Roman" w:cs="Times New Roman"/>
                <w:sz w:val="24"/>
                <w:szCs w:val="24"/>
                <w:lang w:val="uk-UA"/>
              </w:rPr>
              <w:t>Фінансові витрати залишаться без змін.</w:t>
            </w:r>
          </w:p>
        </w:tc>
        <w:tc>
          <w:tcPr>
            <w:tcW w:w="2835" w:type="dxa"/>
          </w:tcPr>
          <w:p w14:paraId="09110E71"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Прийняття проєкту регуляторного акта сприятиме: вирішенню проблеми, що існує сьогодні, а саме дотримання вимог законодавства  щодо </w:t>
            </w:r>
            <w:r w:rsidRPr="001179B2">
              <w:rPr>
                <w:rFonts w:ascii="Times New Roman" w:eastAsia="Calibri" w:hAnsi="Times New Roman" w:cs="Times New Roman"/>
                <w:sz w:val="24"/>
                <w:szCs w:val="24"/>
                <w:lang w:val="uk-UA"/>
              </w:rPr>
              <w:t>вирішення  адміністративних справ шляхом прийняття та виконання адміністративних актів,</w:t>
            </w:r>
            <w:r w:rsidRPr="001179B2">
              <w:rPr>
                <w:rFonts w:ascii="Times New Roman" w:hAnsi="Times New Roman" w:cs="Times New Roman"/>
                <w:sz w:val="24"/>
                <w:szCs w:val="24"/>
                <w:lang w:val="uk-UA"/>
              </w:rPr>
              <w:t xml:space="preserve"> відсутності </w:t>
            </w:r>
            <w:r w:rsidR="00C348C0" w:rsidRPr="001179B2">
              <w:rPr>
                <w:rFonts w:ascii="Times New Roman" w:hAnsi="Times New Roman" w:cs="Times New Roman"/>
                <w:sz w:val="24"/>
                <w:szCs w:val="24"/>
                <w:shd w:val="clear" w:color="auto" w:fill="FFFFFF"/>
                <w:lang w:val="uk-UA"/>
              </w:rPr>
              <w:t>уточненого механізму переоформлення сертифікатів про акредитацію освітньо-професійних програм у сфері фахової передвищої освіти з врахуванням строків розгляду заяви про переоформлення сертифіката, конкретизації процедури підтвердження рішення про акредитацію освітньо-професійних програм у сфері фахової передвищої освіти засобами Єдиної державної бази з питань освіти</w:t>
            </w:r>
          </w:p>
        </w:tc>
      </w:tr>
    </w:tbl>
    <w:p w14:paraId="020FABB4" w14:textId="77777777" w:rsidR="00E62116" w:rsidRPr="001179B2" w:rsidRDefault="00E62116" w:rsidP="00DF4044">
      <w:pPr>
        <w:spacing w:line="240" w:lineRule="auto"/>
        <w:rPr>
          <w:rFonts w:ascii="Times New Roman" w:hAnsi="Times New Roman" w:cs="Times New Roman"/>
          <w:sz w:val="28"/>
          <w:szCs w:val="28"/>
          <w:lang w:val="uk-UA"/>
        </w:rPr>
      </w:pPr>
    </w:p>
    <w:p w14:paraId="2E3AC3C7" w14:textId="77777777" w:rsidR="00E62116" w:rsidRPr="001179B2" w:rsidRDefault="00E62116" w:rsidP="00DF4044">
      <w:pPr>
        <w:spacing w:line="240" w:lineRule="auto"/>
        <w:rPr>
          <w:rFonts w:ascii="Times New Roman" w:hAnsi="Times New Roman" w:cs="Times New Roman"/>
          <w:sz w:val="28"/>
          <w:szCs w:val="28"/>
          <w:lang w:val="uk-UA"/>
        </w:rPr>
      </w:pPr>
    </w:p>
    <w:tbl>
      <w:tblPr>
        <w:tblStyle w:val="a8"/>
        <w:tblW w:w="9493" w:type="dxa"/>
        <w:tblLook w:val="04A0" w:firstRow="1" w:lastRow="0" w:firstColumn="1" w:lastColumn="0" w:noHBand="0" w:noVBand="1"/>
      </w:tblPr>
      <w:tblGrid>
        <w:gridCol w:w="2263"/>
        <w:gridCol w:w="3972"/>
        <w:gridCol w:w="3258"/>
      </w:tblGrid>
      <w:tr w:rsidR="00E62116" w:rsidRPr="00E62D4E" w14:paraId="33B13199" w14:textId="77777777" w:rsidTr="00FA7B01">
        <w:trPr>
          <w:trHeight w:val="707"/>
        </w:trPr>
        <w:tc>
          <w:tcPr>
            <w:tcW w:w="2263" w:type="dxa"/>
            <w:vAlign w:val="center"/>
          </w:tcPr>
          <w:p w14:paraId="1F75634B" w14:textId="77777777" w:rsidR="00E62116" w:rsidRPr="001179B2" w:rsidRDefault="00E62116" w:rsidP="00DF4044">
            <w:pPr>
              <w:spacing w:line="240" w:lineRule="auto"/>
              <w:jc w:val="center"/>
              <w:rPr>
                <w:rFonts w:ascii="Times New Roman" w:hAnsi="Times New Roman" w:cs="Times New Roman"/>
                <w:sz w:val="24"/>
                <w:szCs w:val="28"/>
                <w:lang w:val="uk-UA"/>
              </w:rPr>
            </w:pPr>
            <w:r w:rsidRPr="001179B2">
              <w:rPr>
                <w:rFonts w:ascii="Times New Roman" w:hAnsi="Times New Roman" w:cs="Times New Roman"/>
                <w:sz w:val="24"/>
                <w:szCs w:val="28"/>
                <w:lang w:val="uk-UA"/>
              </w:rPr>
              <w:t>Рейтинг</w:t>
            </w:r>
          </w:p>
        </w:tc>
        <w:tc>
          <w:tcPr>
            <w:tcW w:w="3972" w:type="dxa"/>
            <w:vAlign w:val="center"/>
          </w:tcPr>
          <w:p w14:paraId="756EEEFD" w14:textId="77777777" w:rsidR="00E62116" w:rsidRPr="001179B2" w:rsidRDefault="00E62116" w:rsidP="00DF4044">
            <w:pPr>
              <w:spacing w:line="240" w:lineRule="auto"/>
              <w:jc w:val="center"/>
              <w:rPr>
                <w:rFonts w:ascii="Times New Roman" w:hAnsi="Times New Roman" w:cs="Times New Roman"/>
                <w:sz w:val="24"/>
                <w:szCs w:val="28"/>
                <w:lang w:val="uk-UA"/>
              </w:rPr>
            </w:pPr>
            <w:r w:rsidRPr="001179B2">
              <w:rPr>
                <w:rFonts w:ascii="Times New Roman" w:hAnsi="Times New Roman" w:cs="Times New Roman"/>
                <w:sz w:val="24"/>
                <w:szCs w:val="28"/>
                <w:lang w:val="uk-UA"/>
              </w:rPr>
              <w:t>Аргументи щодо переваги обраної альтернативи/причини відмови від альтернативи</w:t>
            </w:r>
          </w:p>
        </w:tc>
        <w:tc>
          <w:tcPr>
            <w:tcW w:w="3258" w:type="dxa"/>
            <w:vAlign w:val="center"/>
          </w:tcPr>
          <w:p w14:paraId="3BD34956" w14:textId="77777777" w:rsidR="00E62116" w:rsidRPr="001179B2" w:rsidRDefault="00E62116" w:rsidP="00DF4044">
            <w:pPr>
              <w:spacing w:line="240" w:lineRule="auto"/>
              <w:jc w:val="center"/>
              <w:rPr>
                <w:rFonts w:ascii="Times New Roman" w:hAnsi="Times New Roman" w:cs="Times New Roman"/>
                <w:sz w:val="24"/>
                <w:szCs w:val="28"/>
                <w:lang w:val="uk-UA"/>
              </w:rPr>
            </w:pPr>
            <w:r w:rsidRPr="001179B2">
              <w:rPr>
                <w:rFonts w:ascii="Times New Roman" w:hAnsi="Times New Roman" w:cs="Times New Roman"/>
                <w:sz w:val="24"/>
                <w:szCs w:val="28"/>
                <w:lang w:val="uk-UA"/>
              </w:rPr>
              <w:t>Оцінка ризику зовнішніх чинників на дію запропонованого регуляторного акта</w:t>
            </w:r>
          </w:p>
        </w:tc>
      </w:tr>
      <w:tr w:rsidR="00E62116" w:rsidRPr="00E62D4E" w14:paraId="38889FAA" w14:textId="77777777" w:rsidTr="00FA7B01">
        <w:tc>
          <w:tcPr>
            <w:tcW w:w="2263" w:type="dxa"/>
          </w:tcPr>
          <w:p w14:paraId="2FC88DC1" w14:textId="77777777" w:rsidR="00E62116" w:rsidRPr="001179B2" w:rsidRDefault="00E62116" w:rsidP="00DF4044">
            <w:pPr>
              <w:spacing w:line="240" w:lineRule="auto"/>
              <w:rPr>
                <w:rFonts w:ascii="Times New Roman" w:hAnsi="Times New Roman" w:cs="Times New Roman"/>
                <w:sz w:val="24"/>
                <w:szCs w:val="28"/>
                <w:lang w:val="uk-UA"/>
              </w:rPr>
            </w:pPr>
            <w:r w:rsidRPr="001179B2">
              <w:rPr>
                <w:rFonts w:ascii="Times New Roman" w:hAnsi="Times New Roman" w:cs="Times New Roman"/>
                <w:sz w:val="24"/>
                <w:szCs w:val="28"/>
                <w:shd w:val="clear" w:color="auto" w:fill="FFFFFF"/>
                <w:lang w:val="uk-UA"/>
              </w:rPr>
              <w:t>Альтернатива 1</w:t>
            </w:r>
          </w:p>
        </w:tc>
        <w:tc>
          <w:tcPr>
            <w:tcW w:w="3972" w:type="dxa"/>
          </w:tcPr>
          <w:p w14:paraId="3BF2F06B" w14:textId="77777777" w:rsidR="00E62116" w:rsidRPr="001179B2" w:rsidRDefault="00E62116" w:rsidP="00DF4044">
            <w:pPr>
              <w:pStyle w:val="a6"/>
              <w:spacing w:after="0"/>
              <w:jc w:val="both"/>
              <w:rPr>
                <w:lang w:val="uk-UA" w:eastAsia="en-US"/>
              </w:rPr>
            </w:pPr>
            <w:r w:rsidRPr="001179B2">
              <w:rPr>
                <w:lang w:val="uk-UA" w:eastAsia="en-US"/>
              </w:rPr>
              <w:t>Неприйняття проєкту акта обумовить, що з</w:t>
            </w:r>
            <w:r w:rsidRPr="001179B2">
              <w:rPr>
                <w:lang w:val="uk-UA"/>
              </w:rPr>
              <w:t>азначена проблема невідповідності норм чинного акт</w:t>
            </w:r>
            <w:r w:rsidR="0049342B" w:rsidRPr="001179B2">
              <w:rPr>
                <w:lang w:val="uk-UA"/>
              </w:rPr>
              <w:t>а</w:t>
            </w:r>
            <w:r w:rsidRPr="001179B2">
              <w:rPr>
                <w:lang w:val="uk-UA"/>
              </w:rPr>
              <w:t xml:space="preserve"> до вимог законодавства щодо </w:t>
            </w:r>
            <w:r w:rsidRPr="001179B2">
              <w:rPr>
                <w:rFonts w:eastAsia="Calibri"/>
                <w:lang w:val="uk-UA"/>
              </w:rPr>
              <w:t xml:space="preserve">вирішення адміністративних справ шляхом прийняття та виконання </w:t>
            </w:r>
            <w:r w:rsidRPr="001179B2">
              <w:rPr>
                <w:rFonts w:eastAsia="Calibri"/>
                <w:lang w:val="uk-UA"/>
              </w:rPr>
              <w:lastRenderedPageBreak/>
              <w:t>адміністративних актів,</w:t>
            </w:r>
            <w:r w:rsidRPr="001179B2">
              <w:rPr>
                <w:lang w:val="uk-UA"/>
              </w:rPr>
              <w:t xml:space="preserve"> відсутн</w:t>
            </w:r>
            <w:r w:rsidR="0049342B" w:rsidRPr="001179B2">
              <w:rPr>
                <w:lang w:val="uk-UA"/>
              </w:rPr>
              <w:t>ість</w:t>
            </w:r>
            <w:r w:rsidRPr="001179B2">
              <w:rPr>
                <w:lang w:val="uk-UA"/>
              </w:rPr>
              <w:t xml:space="preserve"> </w:t>
            </w:r>
            <w:r w:rsidR="00C348C0" w:rsidRPr="001179B2">
              <w:rPr>
                <w:lang w:val="uk-UA"/>
              </w:rPr>
              <w:t xml:space="preserve">чітко визначених </w:t>
            </w:r>
            <w:r w:rsidR="00C348C0" w:rsidRPr="001179B2">
              <w:rPr>
                <w:shd w:val="clear" w:color="auto" w:fill="FFFFFF"/>
                <w:lang w:val="uk-UA"/>
              </w:rPr>
              <w:t>строків розгляду заяви про переоформлення сертифіката, рішень про залишення заяви без руху</w:t>
            </w:r>
            <w:r w:rsidR="0049342B" w:rsidRPr="001179B2">
              <w:rPr>
                <w:shd w:val="clear" w:color="auto" w:fill="FFFFFF"/>
                <w:lang w:val="uk-UA"/>
              </w:rPr>
              <w:t>,</w:t>
            </w:r>
            <w:r w:rsidR="00C348C0" w:rsidRPr="001179B2">
              <w:rPr>
                <w:shd w:val="clear" w:color="auto" w:fill="FFFFFF"/>
                <w:lang w:val="uk-UA"/>
              </w:rPr>
              <w:t xml:space="preserve"> відмову в переоформленні сертифіката</w:t>
            </w:r>
            <w:r w:rsidR="00C348C0" w:rsidRPr="001179B2">
              <w:rPr>
                <w:lang w:val="uk-UA"/>
              </w:rPr>
              <w:t xml:space="preserve">, </w:t>
            </w:r>
            <w:r w:rsidR="0049342B" w:rsidRPr="001179B2">
              <w:rPr>
                <w:lang w:val="uk-UA"/>
              </w:rPr>
              <w:t xml:space="preserve">неможливість </w:t>
            </w:r>
            <w:r w:rsidR="0049342B" w:rsidRPr="001179B2">
              <w:rPr>
                <w:shd w:val="clear" w:color="auto" w:fill="FFFFFF"/>
                <w:lang w:val="uk-UA"/>
              </w:rPr>
              <w:t>підтвердження рішення про акредитацію освітньо-професійних програм у сфері фахової передвищої освіти засобами Єдиної державної бази з питань освіти</w:t>
            </w:r>
            <w:r w:rsidR="0049342B" w:rsidRPr="001179B2">
              <w:rPr>
                <w:lang w:val="uk-UA"/>
              </w:rPr>
              <w:t xml:space="preserve"> </w:t>
            </w:r>
            <w:r w:rsidRPr="001179B2">
              <w:rPr>
                <w:lang w:val="uk-UA"/>
              </w:rPr>
              <w:t>продовжуватиме існувати</w:t>
            </w:r>
          </w:p>
        </w:tc>
        <w:tc>
          <w:tcPr>
            <w:tcW w:w="3258" w:type="dxa"/>
          </w:tcPr>
          <w:p w14:paraId="71FE0166" w14:textId="77777777" w:rsidR="00E62116" w:rsidRPr="001179B2" w:rsidRDefault="00E62116" w:rsidP="00DF4044">
            <w:pPr>
              <w:pStyle w:val="a6"/>
              <w:spacing w:before="0" w:beforeAutospacing="0" w:after="0" w:afterAutospacing="0"/>
              <w:jc w:val="both"/>
              <w:rPr>
                <w:lang w:val="uk-UA" w:eastAsia="en-US"/>
              </w:rPr>
            </w:pPr>
            <w:r w:rsidRPr="001179B2">
              <w:rPr>
                <w:lang w:val="uk-UA"/>
              </w:rPr>
              <w:lastRenderedPageBreak/>
              <w:t xml:space="preserve">Негативні наслідки матимуть загальнонаціональний масштаб, оскільки впливають щороку на більш як 300 000 здобувачів та 937 закладів освіти, які забезпечують </w:t>
            </w:r>
            <w:r w:rsidRPr="001179B2">
              <w:rPr>
                <w:lang w:val="uk-UA"/>
              </w:rPr>
              <w:lastRenderedPageBreak/>
              <w:t>підготовку у сфері фахової передвищої освіти.</w:t>
            </w:r>
          </w:p>
        </w:tc>
      </w:tr>
      <w:tr w:rsidR="00E62116" w:rsidRPr="00E62D4E" w14:paraId="50D9037D" w14:textId="77777777" w:rsidTr="00FA7B01">
        <w:tc>
          <w:tcPr>
            <w:tcW w:w="2263" w:type="dxa"/>
          </w:tcPr>
          <w:p w14:paraId="6C620F1A" w14:textId="77777777" w:rsidR="00E62116" w:rsidRPr="001179B2" w:rsidRDefault="00E62116" w:rsidP="00DF4044">
            <w:pPr>
              <w:spacing w:line="240" w:lineRule="auto"/>
              <w:rPr>
                <w:rFonts w:ascii="Times New Roman" w:hAnsi="Times New Roman" w:cs="Times New Roman"/>
                <w:sz w:val="24"/>
                <w:szCs w:val="24"/>
                <w:lang w:val="uk-UA"/>
              </w:rPr>
            </w:pPr>
            <w:r w:rsidRPr="001179B2">
              <w:rPr>
                <w:rFonts w:ascii="Times New Roman" w:hAnsi="Times New Roman" w:cs="Times New Roman"/>
                <w:sz w:val="24"/>
                <w:szCs w:val="24"/>
                <w:shd w:val="clear" w:color="auto" w:fill="FFFFFF"/>
                <w:lang w:val="uk-UA"/>
              </w:rPr>
              <w:lastRenderedPageBreak/>
              <w:t>Альтернатива 2</w:t>
            </w:r>
          </w:p>
        </w:tc>
        <w:tc>
          <w:tcPr>
            <w:tcW w:w="3972" w:type="dxa"/>
          </w:tcPr>
          <w:p w14:paraId="08EA4A31" w14:textId="0688E162" w:rsidR="001179B2"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Внесення змін до </w:t>
            </w:r>
            <w:r w:rsidR="008774C8">
              <w:rPr>
                <w:rFonts w:ascii="Times New Roman" w:hAnsi="Times New Roman" w:cs="Times New Roman"/>
                <w:sz w:val="24"/>
                <w:szCs w:val="24"/>
                <w:lang w:val="uk-UA"/>
              </w:rPr>
              <w:t>наказу</w:t>
            </w:r>
            <w:r w:rsidR="006E3E3F" w:rsidRPr="001179B2">
              <w:rPr>
                <w:rFonts w:ascii="Times New Roman" w:hAnsi="Times New Roman" w:cs="Times New Roman"/>
                <w:sz w:val="24"/>
                <w:szCs w:val="24"/>
                <w:lang w:val="uk-UA"/>
              </w:rPr>
              <w:t xml:space="preserve"> </w:t>
            </w:r>
            <w:r w:rsidRPr="001179B2">
              <w:rPr>
                <w:rFonts w:ascii="Times New Roman" w:hAnsi="Times New Roman" w:cs="Times New Roman"/>
                <w:sz w:val="24"/>
                <w:szCs w:val="24"/>
                <w:lang w:val="uk-UA"/>
              </w:rPr>
              <w:t xml:space="preserve">забезпечить нормативне регулювання суспільних відносин в частині забезпечення прав суб’єкта господарювання щодо </w:t>
            </w:r>
            <w:r w:rsidRPr="001179B2">
              <w:rPr>
                <w:rFonts w:ascii="Times New Roman" w:eastAsia="Calibri" w:hAnsi="Times New Roman" w:cs="Times New Roman"/>
                <w:sz w:val="24"/>
                <w:szCs w:val="24"/>
                <w:lang w:val="uk-UA"/>
              </w:rPr>
              <w:t xml:space="preserve">вирішення  адміністративних справ шляхом прийняття та виконання адміністративних актів, внаслідок чого зменшується ризик </w:t>
            </w:r>
            <w:r w:rsidR="001179B2" w:rsidRPr="001179B2">
              <w:rPr>
                <w:rFonts w:ascii="Times New Roman" w:eastAsia="Calibri" w:hAnsi="Times New Roman" w:cs="Times New Roman"/>
                <w:sz w:val="24"/>
                <w:szCs w:val="24"/>
                <w:lang w:val="uk-UA"/>
              </w:rPr>
              <w:t>невчасного переоформлення сертифікатів про акредитацію</w:t>
            </w:r>
            <w:r w:rsidR="001179B2" w:rsidRPr="001179B2">
              <w:rPr>
                <w:rFonts w:ascii="Times New Roman" w:hAnsi="Times New Roman" w:cs="Times New Roman"/>
                <w:sz w:val="24"/>
                <w:szCs w:val="24"/>
                <w:lang w:val="uk-UA"/>
              </w:rPr>
              <w:t xml:space="preserve"> освітньо-професійних програм у сфері фахової передвищої освіти </w:t>
            </w:r>
            <w:r w:rsidR="001179B2" w:rsidRPr="001179B2">
              <w:rPr>
                <w:rFonts w:ascii="Times New Roman" w:eastAsia="Calibri" w:hAnsi="Times New Roman" w:cs="Times New Roman"/>
                <w:sz w:val="24"/>
                <w:szCs w:val="24"/>
                <w:lang w:val="uk-UA"/>
              </w:rPr>
              <w:t xml:space="preserve">шляхом </w:t>
            </w:r>
            <w:r w:rsidR="001179B2" w:rsidRPr="001179B2">
              <w:rPr>
                <w:rFonts w:ascii="Times New Roman" w:hAnsi="Times New Roman" w:cs="Times New Roman"/>
                <w:sz w:val="24"/>
                <w:szCs w:val="24"/>
                <w:shd w:val="clear" w:color="auto" w:fill="FFFFFF"/>
                <w:lang w:val="uk-UA"/>
              </w:rPr>
              <w:t>підтвердження рішення про акредитацію освітньо-професійних програм у сфері фахової передвищої освіти засобами Єдиної державної бази з питань освіти</w:t>
            </w:r>
            <w:r w:rsidR="001179B2" w:rsidRPr="001179B2">
              <w:rPr>
                <w:rFonts w:ascii="Times New Roman" w:hAnsi="Times New Roman" w:cs="Times New Roman"/>
                <w:sz w:val="24"/>
                <w:szCs w:val="24"/>
                <w:lang w:val="uk-UA"/>
              </w:rPr>
              <w:t xml:space="preserve">. </w:t>
            </w:r>
          </w:p>
          <w:p w14:paraId="1F2CE317" w14:textId="77777777" w:rsidR="00E62116" w:rsidRPr="001179B2" w:rsidRDefault="001179B2"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shd w:val="clear" w:color="auto" w:fill="FFFFFF"/>
                <w:lang w:val="uk-UA"/>
              </w:rPr>
              <w:t>Уточнення механізму переоформлення сертифікатів про акредитацію освітньо-професійних програм у сфері фахової передвищої освіти з врахуванням строків розгляду заяви про переоформлення сертифіката, прийняття Державною службою якості освіти України рішень про залишення заяви без руху або відмову в переоформленні сертифіката, конкретизація процедури підтвердження рішення про акредитацію освітньо-професійних програм у сфері фахової передвищої освіти засобами Єдиної державної бази з питань освіти</w:t>
            </w:r>
            <w:r w:rsidRPr="001179B2">
              <w:rPr>
                <w:rFonts w:ascii="Times New Roman" w:hAnsi="Times New Roman" w:cs="Times New Roman"/>
                <w:sz w:val="24"/>
                <w:szCs w:val="24"/>
                <w:lang w:val="uk-UA"/>
              </w:rPr>
              <w:t xml:space="preserve"> надасть можливість закладу освіти отримувати фінансування з державного або місцевого бюджетів та у визначені терміни видати здобувачам освіти документи про фахову передвищу освіту.</w:t>
            </w:r>
          </w:p>
        </w:tc>
        <w:tc>
          <w:tcPr>
            <w:tcW w:w="3258" w:type="dxa"/>
          </w:tcPr>
          <w:p w14:paraId="1810A00E"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Негативних наслідків від прийняття регуляторного акта не очікується</w:t>
            </w:r>
          </w:p>
        </w:tc>
      </w:tr>
    </w:tbl>
    <w:p w14:paraId="3067BA69" w14:textId="77777777" w:rsidR="00E62116" w:rsidRPr="001179B2" w:rsidRDefault="00E62116" w:rsidP="00DF4044">
      <w:pPr>
        <w:spacing w:line="240" w:lineRule="auto"/>
        <w:ind w:firstLine="709"/>
        <w:jc w:val="both"/>
        <w:rPr>
          <w:rFonts w:ascii="Times New Roman" w:hAnsi="Times New Roman" w:cs="Times New Roman"/>
          <w:color w:val="FF0000"/>
          <w:sz w:val="28"/>
          <w:szCs w:val="28"/>
          <w:lang w:val="uk-UA"/>
        </w:rPr>
      </w:pPr>
    </w:p>
    <w:p w14:paraId="16672C7B" w14:textId="77777777" w:rsidR="00E62116" w:rsidRPr="001179B2" w:rsidRDefault="00E62116" w:rsidP="00DF4044">
      <w:pPr>
        <w:spacing w:line="240" w:lineRule="auto"/>
        <w:ind w:firstLine="709"/>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lastRenderedPageBreak/>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регуляторного акта не очікується.</w:t>
      </w:r>
    </w:p>
    <w:p w14:paraId="0F223876" w14:textId="77777777" w:rsidR="00E62116" w:rsidRPr="001179B2" w:rsidRDefault="00E62116" w:rsidP="00DF4044">
      <w:pPr>
        <w:pStyle w:val="1"/>
        <w:spacing w:line="240" w:lineRule="auto"/>
        <w:rPr>
          <w:lang w:val="uk-UA"/>
        </w:rPr>
      </w:pPr>
    </w:p>
    <w:p w14:paraId="2EDCCF2D" w14:textId="77777777" w:rsidR="00E62116" w:rsidRPr="001179B2" w:rsidRDefault="00E62116" w:rsidP="00DF4044">
      <w:pPr>
        <w:spacing w:line="240" w:lineRule="auto"/>
        <w:ind w:firstLine="708"/>
        <w:jc w:val="both"/>
        <w:rPr>
          <w:rFonts w:ascii="Times New Roman" w:hAnsi="Times New Roman" w:cs="Times New Roman"/>
          <w:b/>
          <w:sz w:val="28"/>
          <w:szCs w:val="28"/>
          <w:lang w:val="uk-UA"/>
        </w:rPr>
      </w:pPr>
      <w:r w:rsidRPr="001179B2">
        <w:rPr>
          <w:rFonts w:ascii="Times New Roman" w:hAnsi="Times New Roman" w:cs="Times New Roman"/>
          <w:b/>
          <w:sz w:val="28"/>
          <w:szCs w:val="28"/>
          <w:lang w:val="uk-UA"/>
        </w:rPr>
        <w:t>V. Механізми та заходи, які забезпечать розв’язання визначеної проблеми</w:t>
      </w:r>
    </w:p>
    <w:p w14:paraId="6804AFB0" w14:textId="77777777" w:rsidR="00E62116" w:rsidRPr="001179B2" w:rsidRDefault="00E62116" w:rsidP="00DF4044">
      <w:pPr>
        <w:spacing w:line="240" w:lineRule="auto"/>
        <w:jc w:val="both"/>
        <w:rPr>
          <w:rFonts w:ascii="Times New Roman" w:hAnsi="Times New Roman" w:cs="Times New Roman"/>
          <w:sz w:val="28"/>
          <w:szCs w:val="28"/>
          <w:lang w:val="uk-UA"/>
        </w:rPr>
      </w:pPr>
    </w:p>
    <w:p w14:paraId="16D4D193" w14:textId="77777777" w:rsidR="00E62116" w:rsidRPr="001179B2" w:rsidRDefault="00E62116" w:rsidP="00DF4044">
      <w:pPr>
        <w:spacing w:line="240" w:lineRule="auto"/>
        <w:ind w:firstLine="567"/>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Для вирішення проблем, визначених у розділі першому та досягнення цілей, визначених у розділі другому цього аналізу регуляторного впливу, проєктом акта передбачено механізм розв’язання проблеми шляхом його прийняття.</w:t>
      </w:r>
    </w:p>
    <w:p w14:paraId="7D78B7AF" w14:textId="20375975" w:rsidR="00E62116" w:rsidRPr="001179B2" w:rsidRDefault="00E62116" w:rsidP="00DF4044">
      <w:pPr>
        <w:spacing w:line="240" w:lineRule="auto"/>
        <w:ind w:firstLine="567"/>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 xml:space="preserve">Досягнення визначених цілей впровадження регуляторного акта забезпечується шляхом приведення норм чинного </w:t>
      </w:r>
      <w:r w:rsidR="007C2A06">
        <w:rPr>
          <w:rFonts w:ascii="Times New Roman" w:hAnsi="Times New Roman" w:cs="Times New Roman"/>
          <w:sz w:val="28"/>
          <w:szCs w:val="28"/>
          <w:lang w:val="uk-UA"/>
        </w:rPr>
        <w:t>наказу Міністерства освіти і науки України від 02 липня 2021 року № 762 «Деякі питання</w:t>
      </w:r>
      <w:r w:rsidR="008A6DC3" w:rsidRPr="001179B2">
        <w:rPr>
          <w:rFonts w:ascii="Times New Roman" w:hAnsi="Times New Roman" w:cs="Times New Roman"/>
          <w:sz w:val="28"/>
          <w:lang w:val="uk-UA"/>
        </w:rPr>
        <w:t xml:space="preserve"> оформлення, переоформлення, видачі, зберігання та обліку сертифікатів про акредитацію освітньо-професійної програми у сфері фахової передвищої освіти (їх дублікатів)</w:t>
      </w:r>
      <w:r w:rsidR="007C2A06">
        <w:rPr>
          <w:rFonts w:ascii="Times New Roman" w:hAnsi="Times New Roman" w:cs="Times New Roman"/>
          <w:sz w:val="28"/>
          <w:lang w:val="uk-UA"/>
        </w:rPr>
        <w:t>»</w:t>
      </w:r>
      <w:r w:rsidRPr="001179B2">
        <w:rPr>
          <w:rFonts w:ascii="Times New Roman" w:hAnsi="Times New Roman" w:cs="Times New Roman"/>
          <w:sz w:val="28"/>
          <w:szCs w:val="28"/>
          <w:lang w:val="uk-UA"/>
        </w:rPr>
        <w:t xml:space="preserve"> у відповідність із механізмами та термінологією Закону України «Про адміністративну процедуру» (далі – Закон № 2073-ІХ), який врегульовує відносини органів виконавчої влади та їх посадових осіб з фізичними та юридичними особами щодо розгляду і вирішення адміністративних справ шляхом прийняття та виконання адміністративних актів. </w:t>
      </w:r>
      <w:r w:rsidR="008A6DC3" w:rsidRPr="001179B2">
        <w:rPr>
          <w:rFonts w:ascii="Times New Roman" w:hAnsi="Times New Roman" w:cs="Times New Roman"/>
          <w:sz w:val="28"/>
          <w:szCs w:val="28"/>
          <w:lang w:val="uk-UA"/>
        </w:rPr>
        <w:t>уточнює механізм переоформлення сертифікатів про акредитацію освітньо-професійних програм у сфері фахової передвищої освіти з врахуванням строків розгляду заяви про переоформлення сертифіката, конкретизує процедуру підтвердження рішення про акредитацію освітньо-професійних програм у сфері фахової передвищої освіти засобами Єдиної державної бази з питань освіти</w:t>
      </w:r>
      <w:r w:rsidRPr="001179B2">
        <w:rPr>
          <w:rFonts w:ascii="Times New Roman" w:hAnsi="Times New Roman" w:cs="Times New Roman"/>
          <w:sz w:val="28"/>
          <w:szCs w:val="28"/>
          <w:lang w:val="uk-UA"/>
        </w:rPr>
        <w:t xml:space="preserve">.   </w:t>
      </w:r>
    </w:p>
    <w:p w14:paraId="1B2BB920" w14:textId="4ED8398A" w:rsidR="00E62116" w:rsidRPr="001179B2" w:rsidRDefault="00E62116" w:rsidP="00DF4044">
      <w:pPr>
        <w:spacing w:line="240" w:lineRule="auto"/>
        <w:ind w:firstLine="567"/>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Прийняття акта потребує здійснення центральними органами виконавчої влади додаткових заходів для впровадження регуляторного акта, зокрема ознайомлення учасників освітнього процесу з</w:t>
      </w:r>
      <w:r w:rsidR="001179B2" w:rsidRPr="001179B2">
        <w:rPr>
          <w:rFonts w:ascii="Times New Roman" w:hAnsi="Times New Roman" w:cs="Times New Roman"/>
          <w:sz w:val="28"/>
          <w:szCs w:val="28"/>
          <w:lang w:val="uk-UA"/>
        </w:rPr>
        <w:t>і</w:t>
      </w:r>
      <w:r w:rsidRPr="001179B2">
        <w:rPr>
          <w:rFonts w:ascii="Times New Roman" w:hAnsi="Times New Roman" w:cs="Times New Roman"/>
          <w:sz w:val="28"/>
          <w:szCs w:val="28"/>
          <w:lang w:val="uk-UA"/>
        </w:rPr>
        <w:t xml:space="preserve"> зміненими процедурами </w:t>
      </w:r>
      <w:r w:rsidR="008774C8">
        <w:rPr>
          <w:rFonts w:ascii="Times New Roman" w:hAnsi="Times New Roman" w:cs="Times New Roman"/>
          <w:sz w:val="28"/>
          <w:lang w:val="uk-UA"/>
        </w:rPr>
        <w:t>наказу</w:t>
      </w:r>
      <w:r w:rsidRPr="001179B2">
        <w:rPr>
          <w:rFonts w:ascii="Times New Roman" w:hAnsi="Times New Roman" w:cs="Times New Roman"/>
          <w:sz w:val="28"/>
          <w:szCs w:val="28"/>
          <w:lang w:val="uk-UA"/>
        </w:rPr>
        <w:t xml:space="preserve">. Проведення відповідної інформаційно-роз’яснювальної роботи. Оприлюднення </w:t>
      </w:r>
      <w:bookmarkStart w:id="3" w:name="_GoBack"/>
      <w:bookmarkEnd w:id="3"/>
      <w:r w:rsidRPr="001179B2">
        <w:rPr>
          <w:rFonts w:ascii="Times New Roman" w:hAnsi="Times New Roman" w:cs="Times New Roman"/>
          <w:sz w:val="28"/>
          <w:szCs w:val="28"/>
          <w:lang w:val="uk-UA"/>
        </w:rPr>
        <w:t xml:space="preserve">нормативного акту. </w:t>
      </w:r>
    </w:p>
    <w:p w14:paraId="7769C089" w14:textId="77777777" w:rsidR="00E62116" w:rsidRPr="001179B2" w:rsidRDefault="00E62116" w:rsidP="00DF4044">
      <w:pPr>
        <w:spacing w:line="240" w:lineRule="auto"/>
        <w:ind w:firstLine="567"/>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Міністерство освіти і науки України та Державна служба якості освіти України шляхом оприлюднення інформації на офіційному сайті, а також шляхом листування із закладами освіти, юридичними особами, науковими установами, іншими суб’єктами освітньої діяльності, довод</w:t>
      </w:r>
      <w:r w:rsidR="001179B2">
        <w:rPr>
          <w:rFonts w:ascii="Times New Roman" w:hAnsi="Times New Roman" w:cs="Times New Roman"/>
          <w:sz w:val="28"/>
          <w:szCs w:val="28"/>
          <w:lang w:val="uk-UA"/>
        </w:rPr>
        <w:t>я</w:t>
      </w:r>
      <w:r w:rsidRPr="001179B2">
        <w:rPr>
          <w:rFonts w:ascii="Times New Roman" w:hAnsi="Times New Roman" w:cs="Times New Roman"/>
          <w:sz w:val="28"/>
          <w:szCs w:val="28"/>
          <w:lang w:val="uk-UA"/>
        </w:rPr>
        <w:t>ть до них інформацію та рекомендації із застосування та запровадження змін до нормативно-правових актів у сфері освіти.</w:t>
      </w:r>
    </w:p>
    <w:p w14:paraId="2F0C45A7" w14:textId="77777777" w:rsidR="00E62116" w:rsidRPr="001179B2" w:rsidRDefault="00E62116"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 xml:space="preserve">Прийняття проєкту акта дозволить здійснювати формування та реалізацію державної політики у сфері фахової передвищої освіти відповідно до позитивних світових тенденцій.  </w:t>
      </w:r>
    </w:p>
    <w:p w14:paraId="04D8D124" w14:textId="77777777" w:rsidR="00E62116" w:rsidRPr="001179B2" w:rsidRDefault="00E62116" w:rsidP="00DF4044">
      <w:pPr>
        <w:spacing w:line="240" w:lineRule="auto"/>
        <w:jc w:val="both"/>
        <w:rPr>
          <w:rFonts w:ascii="Times New Roman" w:hAnsi="Times New Roman" w:cs="Times New Roman"/>
          <w:sz w:val="28"/>
          <w:szCs w:val="28"/>
          <w:lang w:val="uk-UA"/>
        </w:rPr>
      </w:pPr>
    </w:p>
    <w:p w14:paraId="0CDC11C5" w14:textId="77777777" w:rsidR="00E62116" w:rsidRPr="001179B2" w:rsidRDefault="00E62116" w:rsidP="00DF4044">
      <w:pPr>
        <w:spacing w:line="240" w:lineRule="auto"/>
        <w:ind w:firstLine="708"/>
        <w:jc w:val="both"/>
        <w:rPr>
          <w:rFonts w:ascii="Times New Roman" w:hAnsi="Times New Roman" w:cs="Times New Roman"/>
          <w:b/>
          <w:sz w:val="28"/>
          <w:szCs w:val="28"/>
          <w:lang w:val="uk-UA"/>
        </w:rPr>
      </w:pPr>
      <w:r w:rsidRPr="001179B2">
        <w:rPr>
          <w:rFonts w:ascii="Times New Roman" w:hAnsi="Times New Roman" w:cs="Times New Roman"/>
          <w:b/>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71A2752D" w14:textId="77777777" w:rsidR="00E62116" w:rsidRPr="001179B2" w:rsidRDefault="00E62116" w:rsidP="00DF4044">
      <w:pPr>
        <w:spacing w:line="240" w:lineRule="auto"/>
        <w:jc w:val="both"/>
        <w:rPr>
          <w:rFonts w:ascii="Times New Roman" w:hAnsi="Times New Roman" w:cs="Times New Roman"/>
          <w:sz w:val="28"/>
          <w:szCs w:val="28"/>
          <w:lang w:val="uk-UA"/>
        </w:rPr>
      </w:pPr>
    </w:p>
    <w:p w14:paraId="00762B8C" w14:textId="77777777" w:rsidR="00E62116" w:rsidRPr="001179B2" w:rsidRDefault="00E62116"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Від впровадження проєкту регуляторного акта негативних наслідків не очікується.</w:t>
      </w:r>
    </w:p>
    <w:p w14:paraId="5071586C" w14:textId="77777777" w:rsidR="00E62116" w:rsidRPr="001179B2" w:rsidRDefault="00E62116"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Реалізація проєкту регуляторного акту не потребує додаткових витрат з державного бюджету України, тому розрахунок бюджетних витрат не здійснювався.</w:t>
      </w:r>
    </w:p>
    <w:p w14:paraId="275A1AC7" w14:textId="77777777" w:rsidR="00E62116" w:rsidRPr="001179B2" w:rsidRDefault="00E62116" w:rsidP="00DF4044">
      <w:pPr>
        <w:spacing w:line="240" w:lineRule="auto"/>
        <w:ind w:firstLine="567"/>
        <w:jc w:val="both"/>
        <w:rPr>
          <w:rFonts w:ascii="Times New Roman" w:hAnsi="Times New Roman" w:cs="Times New Roman"/>
          <w:color w:val="auto"/>
          <w:sz w:val="27"/>
          <w:szCs w:val="27"/>
          <w:shd w:val="clear" w:color="auto" w:fill="FFFFFF"/>
          <w:lang w:val="uk-UA"/>
        </w:rPr>
      </w:pPr>
      <w:r w:rsidRPr="001179B2">
        <w:rPr>
          <w:rFonts w:ascii="Times New Roman" w:hAnsi="Times New Roman" w:cs="Times New Roman"/>
          <w:color w:val="auto"/>
          <w:sz w:val="27"/>
          <w:szCs w:val="27"/>
          <w:lang w:val="uk-UA"/>
        </w:rPr>
        <w:t xml:space="preserve">Розрахунок витрат на запровадження державного регулювання для </w:t>
      </w:r>
      <w:r w:rsidRPr="001179B2">
        <w:rPr>
          <w:rFonts w:ascii="Times New Roman" w:hAnsi="Times New Roman" w:cs="Times New Roman"/>
          <w:color w:val="auto"/>
          <w:sz w:val="27"/>
          <w:szCs w:val="27"/>
          <w:shd w:val="clear" w:color="auto" w:fill="FFFFFF"/>
          <w:lang w:val="uk-UA"/>
        </w:rPr>
        <w:t>суб’єктів господарювання великого і середнього підприємництва, які виникають внаслідок дії регуляторного акта</w:t>
      </w:r>
      <w:r w:rsidRPr="001179B2">
        <w:rPr>
          <w:rFonts w:ascii="Times New Roman" w:hAnsi="Times New Roman" w:cs="Times New Roman"/>
          <w:color w:val="auto"/>
          <w:sz w:val="27"/>
          <w:szCs w:val="27"/>
          <w:lang w:val="uk-UA"/>
        </w:rPr>
        <w:t xml:space="preserve"> (Додаток 2 до Аналізу регуляторного впливу).</w:t>
      </w:r>
    </w:p>
    <w:p w14:paraId="46C206AE" w14:textId="77777777" w:rsidR="00E62116" w:rsidRPr="001179B2" w:rsidRDefault="00E62116"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Розрахунок витрат суб'єктів малого підприємництва (М-Тест) не проводився, оскільки питома вага суб'єктів малого бізнесу (малих та мікропідприємств разом) у загальній кількості суб'єктів господарювання, на яких поширюється регулювання, не перевищує 10 відсотків.</w:t>
      </w:r>
    </w:p>
    <w:p w14:paraId="1C871881" w14:textId="77777777" w:rsidR="00E62116" w:rsidRPr="001179B2" w:rsidRDefault="00E62116" w:rsidP="00DF4044">
      <w:pPr>
        <w:spacing w:line="240" w:lineRule="auto"/>
        <w:ind w:firstLine="708"/>
        <w:jc w:val="both"/>
        <w:rPr>
          <w:rFonts w:ascii="Times New Roman" w:hAnsi="Times New Roman" w:cs="Times New Roman"/>
          <w:sz w:val="28"/>
          <w:szCs w:val="28"/>
          <w:lang w:val="uk-UA"/>
        </w:rPr>
      </w:pPr>
    </w:p>
    <w:p w14:paraId="05C3D7CC" w14:textId="77777777" w:rsidR="00E62116" w:rsidRPr="001179B2" w:rsidRDefault="00E62116" w:rsidP="00DF4044">
      <w:pPr>
        <w:spacing w:line="240" w:lineRule="auto"/>
        <w:ind w:firstLine="708"/>
        <w:jc w:val="both"/>
        <w:rPr>
          <w:rFonts w:ascii="Times New Roman" w:hAnsi="Times New Roman" w:cs="Times New Roman"/>
          <w:b/>
          <w:sz w:val="28"/>
          <w:szCs w:val="28"/>
          <w:lang w:val="uk-UA"/>
        </w:rPr>
      </w:pPr>
      <w:r w:rsidRPr="001179B2">
        <w:rPr>
          <w:rFonts w:ascii="Times New Roman" w:hAnsi="Times New Roman" w:cs="Times New Roman"/>
          <w:b/>
          <w:sz w:val="28"/>
          <w:szCs w:val="28"/>
          <w:lang w:val="uk-UA"/>
        </w:rPr>
        <w:t>VII. Обґрунтування запропонованого строку дії регуляторного акта</w:t>
      </w:r>
    </w:p>
    <w:p w14:paraId="453A52CC" w14:textId="77777777" w:rsidR="00E62116" w:rsidRPr="001179B2" w:rsidRDefault="00E62116" w:rsidP="00DF4044">
      <w:pPr>
        <w:spacing w:line="240" w:lineRule="auto"/>
        <w:ind w:firstLine="567"/>
        <w:jc w:val="both"/>
        <w:rPr>
          <w:rFonts w:ascii="Times New Roman" w:hAnsi="Times New Roman" w:cs="Times New Roman"/>
          <w:sz w:val="28"/>
          <w:szCs w:val="28"/>
          <w:lang w:val="uk-UA"/>
        </w:rPr>
      </w:pPr>
    </w:p>
    <w:p w14:paraId="698743F5" w14:textId="77777777" w:rsidR="00E62116" w:rsidRPr="001179B2" w:rsidRDefault="00E62116" w:rsidP="00DF4044">
      <w:pPr>
        <w:spacing w:line="240" w:lineRule="auto"/>
        <w:ind w:firstLine="567"/>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проєкт регуляторного акта. Проєкт регуляторного акта набирає чинності з дня його офіційного опублікування.  </w:t>
      </w:r>
    </w:p>
    <w:p w14:paraId="054704C5" w14:textId="77777777" w:rsidR="00E62116" w:rsidRPr="001179B2" w:rsidRDefault="00E62116" w:rsidP="00DF4044">
      <w:pPr>
        <w:spacing w:line="240" w:lineRule="auto"/>
        <w:jc w:val="both"/>
        <w:rPr>
          <w:rFonts w:ascii="Times New Roman" w:hAnsi="Times New Roman" w:cs="Times New Roman"/>
          <w:sz w:val="28"/>
          <w:szCs w:val="28"/>
          <w:lang w:val="uk-UA"/>
        </w:rPr>
      </w:pPr>
    </w:p>
    <w:p w14:paraId="108EA939" w14:textId="77777777" w:rsidR="00E62116" w:rsidRPr="001179B2" w:rsidRDefault="00E62116" w:rsidP="00DF4044">
      <w:pPr>
        <w:spacing w:line="240" w:lineRule="auto"/>
        <w:ind w:firstLine="708"/>
        <w:jc w:val="both"/>
        <w:rPr>
          <w:rFonts w:ascii="Times New Roman" w:hAnsi="Times New Roman" w:cs="Times New Roman"/>
          <w:b/>
          <w:sz w:val="28"/>
          <w:szCs w:val="28"/>
          <w:lang w:val="uk-UA"/>
        </w:rPr>
      </w:pPr>
      <w:r w:rsidRPr="001179B2">
        <w:rPr>
          <w:rFonts w:ascii="Times New Roman" w:hAnsi="Times New Roman" w:cs="Times New Roman"/>
          <w:b/>
          <w:sz w:val="28"/>
          <w:szCs w:val="28"/>
          <w:lang w:val="uk-UA"/>
        </w:rPr>
        <w:t>VIII. Визначення показників результативності дії регуляторного акта</w:t>
      </w:r>
    </w:p>
    <w:p w14:paraId="4BFEB743" w14:textId="77777777" w:rsidR="00E62116" w:rsidRPr="001179B2" w:rsidRDefault="00E62116" w:rsidP="00DF4044">
      <w:pPr>
        <w:spacing w:line="240" w:lineRule="auto"/>
        <w:jc w:val="both"/>
        <w:rPr>
          <w:rFonts w:ascii="Times New Roman" w:hAnsi="Times New Roman" w:cs="Times New Roman"/>
          <w:sz w:val="28"/>
          <w:szCs w:val="28"/>
          <w:lang w:val="uk-UA"/>
        </w:rPr>
      </w:pPr>
    </w:p>
    <w:p w14:paraId="05C97117" w14:textId="77777777" w:rsidR="00E62116" w:rsidRPr="001179B2" w:rsidRDefault="00E62116"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Результативність акта можна оцінити за такими показниками:</w:t>
      </w:r>
    </w:p>
    <w:p w14:paraId="1C043A7A" w14:textId="40895C3D" w:rsidR="00E62116" w:rsidRDefault="00E62116"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 кількість суб’єктів господарювання, на яких поширю</w:t>
      </w:r>
      <w:r w:rsidR="00376DDC">
        <w:rPr>
          <w:rFonts w:ascii="Times New Roman" w:hAnsi="Times New Roman" w:cs="Times New Roman"/>
          <w:sz w:val="28"/>
          <w:szCs w:val="28"/>
          <w:lang w:val="uk-UA"/>
        </w:rPr>
        <w:t>є</w:t>
      </w:r>
      <w:r w:rsidRPr="001179B2">
        <w:rPr>
          <w:rFonts w:ascii="Times New Roman" w:hAnsi="Times New Roman" w:cs="Times New Roman"/>
          <w:sz w:val="28"/>
          <w:szCs w:val="28"/>
          <w:lang w:val="uk-UA"/>
        </w:rPr>
        <w:t xml:space="preserve">ться дія акта, обмежується кількістю закладів </w:t>
      </w:r>
      <w:r w:rsidR="001179B2">
        <w:rPr>
          <w:rFonts w:ascii="Times New Roman" w:hAnsi="Times New Roman" w:cs="Times New Roman"/>
          <w:sz w:val="28"/>
          <w:szCs w:val="28"/>
          <w:lang w:val="uk-UA"/>
        </w:rPr>
        <w:t>фахової передвищої освіти</w:t>
      </w:r>
      <w:r w:rsidRPr="001179B2">
        <w:rPr>
          <w:rFonts w:ascii="Times New Roman" w:hAnsi="Times New Roman" w:cs="Times New Roman"/>
          <w:sz w:val="28"/>
          <w:szCs w:val="28"/>
          <w:lang w:val="uk-UA"/>
        </w:rPr>
        <w:t xml:space="preserve">, </w:t>
      </w:r>
      <w:r w:rsidR="00376DDC">
        <w:rPr>
          <w:rFonts w:ascii="Times New Roman" w:hAnsi="Times New Roman" w:cs="Times New Roman"/>
          <w:sz w:val="28"/>
          <w:szCs w:val="28"/>
          <w:lang w:val="uk-UA"/>
        </w:rPr>
        <w:t>що надають</w:t>
      </w:r>
      <w:r w:rsidRPr="001179B2">
        <w:rPr>
          <w:rFonts w:ascii="Times New Roman" w:hAnsi="Times New Roman" w:cs="Times New Roman"/>
          <w:sz w:val="28"/>
          <w:szCs w:val="28"/>
          <w:lang w:val="uk-UA"/>
        </w:rPr>
        <w:t xml:space="preserve"> освіт</w:t>
      </w:r>
      <w:r w:rsidR="00376DDC">
        <w:rPr>
          <w:rFonts w:ascii="Times New Roman" w:hAnsi="Times New Roman" w:cs="Times New Roman"/>
          <w:sz w:val="28"/>
          <w:szCs w:val="28"/>
          <w:lang w:val="uk-UA"/>
        </w:rPr>
        <w:t>ні послуги</w:t>
      </w:r>
      <w:r w:rsidRPr="001179B2">
        <w:rPr>
          <w:rFonts w:ascii="Times New Roman" w:hAnsi="Times New Roman" w:cs="Times New Roman"/>
          <w:sz w:val="28"/>
          <w:szCs w:val="28"/>
          <w:lang w:val="uk-UA"/>
        </w:rPr>
        <w:t>;</w:t>
      </w:r>
    </w:p>
    <w:p w14:paraId="70A469B2" w14:textId="066F92EE" w:rsidR="00C97693" w:rsidRPr="00C97693" w:rsidRDefault="00C97693"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97693">
        <w:rPr>
          <w:rFonts w:ascii="Times New Roman" w:hAnsi="Times New Roman" w:cs="Times New Roman"/>
          <w:sz w:val="28"/>
          <w:szCs w:val="28"/>
          <w:lang w:val="uk-UA"/>
        </w:rPr>
        <w:t>кількість суб`єктів господарювання, які здійснили переоформлення сертифікатів у встановленому законодавством порядку</w:t>
      </w:r>
      <w:r w:rsidR="007C2A06">
        <w:rPr>
          <w:rFonts w:ascii="Times New Roman" w:hAnsi="Times New Roman" w:cs="Times New Roman"/>
          <w:sz w:val="28"/>
          <w:szCs w:val="28"/>
          <w:lang w:val="uk-UA"/>
        </w:rPr>
        <w:t>;</w:t>
      </w:r>
    </w:p>
    <w:p w14:paraId="694419DB" w14:textId="3BA619F7" w:rsidR="00E62116" w:rsidRDefault="00E62116"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 кількість акредитованих освітньо-професійних програм, які визнані на підставі сертифікатів про акредитацію за освітньо-кваліфікаційним рівнем молодшого спеціаліста</w:t>
      </w:r>
      <w:r w:rsidR="00E62D4E">
        <w:rPr>
          <w:rFonts w:ascii="Times New Roman" w:hAnsi="Times New Roman" w:cs="Times New Roman"/>
          <w:sz w:val="28"/>
          <w:szCs w:val="28"/>
          <w:lang w:val="uk-UA"/>
        </w:rPr>
        <w:t>;</w:t>
      </w:r>
      <w:r w:rsidRPr="001179B2">
        <w:rPr>
          <w:rFonts w:ascii="Times New Roman" w:hAnsi="Times New Roman" w:cs="Times New Roman"/>
          <w:sz w:val="28"/>
          <w:szCs w:val="28"/>
          <w:lang w:val="uk-UA"/>
        </w:rPr>
        <w:t xml:space="preserve"> </w:t>
      </w:r>
    </w:p>
    <w:p w14:paraId="715CC27A" w14:textId="3519D41B" w:rsidR="00E62D4E" w:rsidRPr="001179B2" w:rsidRDefault="00E62D4E"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179B2">
        <w:rPr>
          <w:rFonts w:ascii="Times New Roman" w:hAnsi="Times New Roman" w:cs="Times New Roman"/>
          <w:sz w:val="28"/>
          <w:szCs w:val="28"/>
          <w:lang w:val="uk-UA"/>
        </w:rPr>
        <w:t>кількість акредитованих освітньо-професійних програм</w:t>
      </w:r>
      <w:r>
        <w:rPr>
          <w:rFonts w:ascii="Times New Roman" w:hAnsi="Times New Roman" w:cs="Times New Roman"/>
          <w:sz w:val="28"/>
          <w:szCs w:val="28"/>
          <w:lang w:val="uk-UA"/>
        </w:rPr>
        <w:t xml:space="preserve">, яким </w:t>
      </w:r>
      <w:r w:rsidRPr="001179B2">
        <w:rPr>
          <w:rFonts w:ascii="Times New Roman" w:hAnsi="Times New Roman" w:cs="Times New Roman"/>
          <w:sz w:val="28"/>
          <w:szCs w:val="28"/>
          <w:lang w:val="uk-UA"/>
        </w:rPr>
        <w:t>підтверджується рішення про акредитацію освітньо-професійних програм у сфері фахової передвищої освіти;</w:t>
      </w:r>
    </w:p>
    <w:p w14:paraId="116B5162" w14:textId="19CD6072" w:rsidR="00E62116" w:rsidRPr="001179B2" w:rsidRDefault="00E62116" w:rsidP="00C97693">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 xml:space="preserve">– </w:t>
      </w:r>
      <w:r w:rsidR="00C97693">
        <w:rPr>
          <w:rFonts w:ascii="Times New Roman" w:hAnsi="Times New Roman" w:cs="Times New Roman"/>
          <w:sz w:val="28"/>
          <w:szCs w:val="28"/>
          <w:lang w:val="uk-UA"/>
        </w:rPr>
        <w:t xml:space="preserve">кількість здобувачів фахової передвищої освіти, які навчаються за освітньо-професійними програмами </w:t>
      </w:r>
      <w:r w:rsidR="00C97693" w:rsidRPr="001179B2">
        <w:rPr>
          <w:rFonts w:ascii="Times New Roman" w:hAnsi="Times New Roman" w:cs="Times New Roman"/>
          <w:sz w:val="28"/>
          <w:szCs w:val="28"/>
          <w:lang w:val="uk-UA"/>
        </w:rPr>
        <w:t>у сфері фахової передвищої освіти</w:t>
      </w:r>
      <w:r w:rsidRPr="001179B2">
        <w:rPr>
          <w:rFonts w:ascii="Times New Roman" w:hAnsi="Times New Roman" w:cs="Times New Roman"/>
          <w:sz w:val="28"/>
          <w:szCs w:val="28"/>
          <w:lang w:val="uk-UA"/>
        </w:rPr>
        <w:t>.</w:t>
      </w:r>
    </w:p>
    <w:p w14:paraId="5D1DD865" w14:textId="77777777" w:rsidR="00E62116" w:rsidRPr="001179B2" w:rsidRDefault="00E62116" w:rsidP="00DF4044">
      <w:pPr>
        <w:spacing w:line="240" w:lineRule="auto"/>
        <w:jc w:val="both"/>
        <w:rPr>
          <w:rFonts w:ascii="Times New Roman" w:hAnsi="Times New Roman" w:cs="Times New Roman"/>
          <w:sz w:val="28"/>
          <w:szCs w:val="28"/>
          <w:lang w:val="uk-UA"/>
        </w:rPr>
      </w:pPr>
    </w:p>
    <w:p w14:paraId="5D037295" w14:textId="77777777" w:rsidR="00E62116" w:rsidRPr="001179B2" w:rsidRDefault="00E62116" w:rsidP="00DF4044">
      <w:pPr>
        <w:spacing w:line="240" w:lineRule="auto"/>
        <w:ind w:firstLine="708"/>
        <w:jc w:val="both"/>
        <w:rPr>
          <w:rFonts w:ascii="Times New Roman" w:hAnsi="Times New Roman" w:cs="Times New Roman"/>
          <w:b/>
          <w:sz w:val="28"/>
          <w:szCs w:val="28"/>
          <w:lang w:val="uk-UA"/>
        </w:rPr>
      </w:pPr>
      <w:r w:rsidRPr="001179B2">
        <w:rPr>
          <w:rFonts w:ascii="Times New Roman" w:hAnsi="Times New Roman" w:cs="Times New Roman"/>
          <w:b/>
          <w:sz w:val="28"/>
          <w:szCs w:val="28"/>
          <w:lang w:val="uk-UA"/>
        </w:rPr>
        <w:t>IX. Визначення заходів, за допомогою яких здійснюватиметься відстеження результативності дії регуляторного акта</w:t>
      </w:r>
    </w:p>
    <w:p w14:paraId="684F9A70" w14:textId="77777777" w:rsidR="00E62116" w:rsidRPr="001179B2" w:rsidRDefault="00E62116" w:rsidP="00DF4044">
      <w:pPr>
        <w:spacing w:line="240" w:lineRule="auto"/>
        <w:jc w:val="both"/>
        <w:rPr>
          <w:rFonts w:ascii="Times New Roman" w:hAnsi="Times New Roman" w:cs="Times New Roman"/>
          <w:sz w:val="28"/>
          <w:szCs w:val="28"/>
          <w:lang w:val="uk-UA"/>
        </w:rPr>
      </w:pPr>
    </w:p>
    <w:p w14:paraId="50E4B27F" w14:textId="77777777" w:rsidR="00E62116" w:rsidRPr="001179B2" w:rsidRDefault="00E62116"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 xml:space="preserve">Відстеження результативності дії регуляторного акта буде проводитися за допомогою заходів, спрямованих на оцінку стану впровадження </w:t>
      </w:r>
      <w:r w:rsidRPr="001179B2">
        <w:rPr>
          <w:rFonts w:ascii="Times New Roman" w:hAnsi="Times New Roman" w:cs="Times New Roman"/>
          <w:sz w:val="28"/>
          <w:szCs w:val="28"/>
          <w:lang w:val="uk-UA"/>
        </w:rPr>
        <w:lastRenderedPageBreak/>
        <w:t>регуляторного акта та визначення ефективності й доцільності впровадженого регулювання, шляхом аналізу статистичних показників.</w:t>
      </w:r>
    </w:p>
    <w:p w14:paraId="70A09CFB" w14:textId="77777777" w:rsidR="00E62116" w:rsidRPr="001179B2" w:rsidRDefault="00E62116"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14:paraId="5CB34A22" w14:textId="77777777" w:rsidR="00E62116" w:rsidRPr="001179B2" w:rsidRDefault="00E62116"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Повторне відстеження результативності регуляторного акта здійснюватиметься не пізніше двох років з дня набрання чинності цим актом або більшістю його положень.</w:t>
      </w:r>
    </w:p>
    <w:p w14:paraId="652FEB6B" w14:textId="77777777" w:rsidR="00E62116" w:rsidRPr="001179B2" w:rsidRDefault="00E62116"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14:paraId="7A674561" w14:textId="77777777" w:rsidR="00E62116" w:rsidRPr="001179B2" w:rsidRDefault="00E62116" w:rsidP="00DF4044">
      <w:pPr>
        <w:spacing w:line="240" w:lineRule="auto"/>
        <w:ind w:firstLine="708"/>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У разі виявлення неврегульованих та проблемних питань шляхом аналізу якісних показників дії цього акта будуть внесені відповідні зміни.</w:t>
      </w:r>
    </w:p>
    <w:p w14:paraId="66DD8E73" w14:textId="77777777" w:rsidR="00E62116" w:rsidRPr="001179B2" w:rsidRDefault="00E62116" w:rsidP="00DF4044">
      <w:pPr>
        <w:spacing w:line="240" w:lineRule="auto"/>
        <w:jc w:val="both"/>
        <w:rPr>
          <w:rFonts w:ascii="Times New Roman" w:hAnsi="Times New Roman" w:cs="Times New Roman"/>
          <w:sz w:val="28"/>
          <w:szCs w:val="28"/>
          <w:lang w:val="uk-UA"/>
        </w:rPr>
      </w:pPr>
    </w:p>
    <w:p w14:paraId="5CAEC77D" w14:textId="77777777" w:rsidR="00E62116" w:rsidRPr="001179B2" w:rsidRDefault="00E62116" w:rsidP="00DF4044">
      <w:pPr>
        <w:spacing w:line="240" w:lineRule="auto"/>
        <w:jc w:val="both"/>
        <w:rPr>
          <w:rFonts w:ascii="Times New Roman" w:hAnsi="Times New Roman" w:cs="Times New Roman"/>
          <w:sz w:val="28"/>
          <w:szCs w:val="28"/>
          <w:lang w:val="uk-UA"/>
        </w:rPr>
      </w:pPr>
      <w:r w:rsidRPr="001179B2">
        <w:rPr>
          <w:rFonts w:ascii="Times New Roman" w:hAnsi="Times New Roman" w:cs="Times New Roman"/>
          <w:b/>
          <w:sz w:val="28"/>
          <w:szCs w:val="28"/>
          <w:lang w:val="uk-UA"/>
        </w:rPr>
        <w:t>Міністр освіти і науки України                                          Оксен ЛІСОВИЙ</w:t>
      </w:r>
      <w:r w:rsidRPr="001179B2">
        <w:rPr>
          <w:rFonts w:ascii="Times New Roman" w:hAnsi="Times New Roman" w:cs="Times New Roman"/>
          <w:sz w:val="28"/>
          <w:szCs w:val="28"/>
          <w:lang w:val="uk-UA"/>
        </w:rPr>
        <w:br w:type="page"/>
      </w:r>
    </w:p>
    <w:tbl>
      <w:tblPr>
        <w:tblW w:w="5141" w:type="pct"/>
        <w:tblCellSpacing w:w="0" w:type="dxa"/>
        <w:tblInd w:w="5664" w:type="dxa"/>
        <w:tblCellMar>
          <w:left w:w="0" w:type="dxa"/>
          <w:right w:w="0" w:type="dxa"/>
        </w:tblCellMar>
        <w:tblLook w:val="0000" w:firstRow="0" w:lastRow="0" w:firstColumn="0" w:lastColumn="0" w:noHBand="0" w:noVBand="0"/>
      </w:tblPr>
      <w:tblGrid>
        <w:gridCol w:w="9619"/>
      </w:tblGrid>
      <w:tr w:rsidR="00E62116" w:rsidRPr="00E62D4E" w14:paraId="6EE0D141" w14:textId="77777777" w:rsidTr="00FA7B01">
        <w:trPr>
          <w:tblCellSpacing w:w="0" w:type="dxa"/>
        </w:trPr>
        <w:tc>
          <w:tcPr>
            <w:tcW w:w="5000" w:type="pct"/>
          </w:tcPr>
          <w:p w14:paraId="3827EDF6" w14:textId="77777777" w:rsidR="00E62116" w:rsidRPr="001179B2" w:rsidRDefault="00E62116" w:rsidP="00DF4044">
            <w:pPr>
              <w:spacing w:line="240" w:lineRule="auto"/>
              <w:jc w:val="both"/>
              <w:rPr>
                <w:rFonts w:ascii="Times New Roman" w:hAnsi="Times New Roman" w:cs="Times New Roman"/>
                <w:sz w:val="28"/>
                <w:szCs w:val="28"/>
                <w:lang w:val="uk-UA"/>
              </w:rPr>
            </w:pPr>
          </w:p>
        </w:tc>
      </w:tr>
    </w:tbl>
    <w:p w14:paraId="41C8911E" w14:textId="77777777" w:rsidR="00E62116" w:rsidRPr="001179B2" w:rsidRDefault="00E62116" w:rsidP="00DF4044">
      <w:pPr>
        <w:tabs>
          <w:tab w:val="left" w:pos="567"/>
        </w:tabs>
        <w:suppressAutoHyphens w:val="0"/>
        <w:spacing w:before="150" w:after="150" w:line="240" w:lineRule="auto"/>
        <w:ind w:left="6804" w:hanging="1275"/>
        <w:rPr>
          <w:rFonts w:ascii="Times New Roman" w:eastAsia="Times New Roman" w:hAnsi="Times New Roman" w:cs="Times New Roman"/>
          <w:bCs/>
          <w:color w:val="auto"/>
          <w:kern w:val="0"/>
          <w:sz w:val="28"/>
          <w:szCs w:val="28"/>
          <w:lang w:val="uk-UA" w:eastAsia="ru-RU" w:bidi="ar-SA"/>
        </w:rPr>
      </w:pPr>
      <w:r w:rsidRPr="001179B2">
        <w:rPr>
          <w:rFonts w:ascii="Times New Roman" w:eastAsia="Times New Roman" w:hAnsi="Times New Roman" w:cs="Times New Roman"/>
          <w:color w:val="auto"/>
          <w:sz w:val="28"/>
          <w:szCs w:val="28"/>
          <w:lang w:val="uk-UA" w:eastAsia="uk-UA"/>
        </w:rPr>
        <w:tab/>
        <w:t>Додаток 2</w:t>
      </w:r>
      <w:r w:rsidRPr="001179B2">
        <w:rPr>
          <w:rFonts w:ascii="Times New Roman" w:eastAsia="Times New Roman" w:hAnsi="Times New Roman" w:cs="Times New Roman"/>
          <w:color w:val="auto"/>
          <w:sz w:val="28"/>
          <w:szCs w:val="28"/>
          <w:lang w:val="uk-UA" w:eastAsia="uk-UA"/>
        </w:rPr>
        <w:br/>
        <w:t>до Аналізу впливу регуляторного акта</w:t>
      </w:r>
    </w:p>
    <w:p w14:paraId="4673F1F5" w14:textId="77777777" w:rsidR="00E62116" w:rsidRPr="001179B2" w:rsidRDefault="00E62116" w:rsidP="00DF4044">
      <w:pPr>
        <w:suppressAutoHyphens w:val="0"/>
        <w:spacing w:before="150" w:after="150" w:line="240" w:lineRule="auto"/>
        <w:jc w:val="center"/>
        <w:rPr>
          <w:rFonts w:ascii="Times New Roman" w:eastAsia="Times New Roman" w:hAnsi="Times New Roman" w:cs="Times New Roman"/>
          <w:bCs/>
          <w:color w:val="auto"/>
          <w:kern w:val="0"/>
          <w:sz w:val="24"/>
          <w:szCs w:val="24"/>
          <w:lang w:val="uk-UA" w:eastAsia="ru-RU" w:bidi="ar-SA"/>
        </w:rPr>
      </w:pPr>
    </w:p>
    <w:p w14:paraId="69161779" w14:textId="77777777" w:rsidR="00E62116" w:rsidRPr="001179B2" w:rsidRDefault="00E62116" w:rsidP="00DF4044">
      <w:pPr>
        <w:suppressAutoHyphens w:val="0"/>
        <w:spacing w:before="150" w:after="150" w:line="240" w:lineRule="auto"/>
        <w:jc w:val="center"/>
        <w:rPr>
          <w:rFonts w:ascii="Times New Roman" w:eastAsia="Times New Roman" w:hAnsi="Times New Roman" w:cs="Times New Roman"/>
          <w:color w:val="auto"/>
          <w:kern w:val="0"/>
          <w:sz w:val="24"/>
          <w:szCs w:val="24"/>
          <w:lang w:val="uk-UA" w:eastAsia="ru-RU" w:bidi="ar-SA"/>
        </w:rPr>
      </w:pPr>
      <w:r w:rsidRPr="001179B2">
        <w:rPr>
          <w:rFonts w:ascii="Times New Roman" w:eastAsia="Times New Roman" w:hAnsi="Times New Roman" w:cs="Times New Roman"/>
          <w:bCs/>
          <w:color w:val="auto"/>
          <w:kern w:val="0"/>
          <w:sz w:val="24"/>
          <w:szCs w:val="24"/>
          <w:lang w:val="uk-UA" w:eastAsia="ru-RU" w:bidi="ar-SA"/>
        </w:rPr>
        <w:t>ВИТРАТИ</w:t>
      </w:r>
      <w:r w:rsidRPr="001179B2">
        <w:rPr>
          <w:rFonts w:ascii="Times New Roman" w:eastAsia="Times New Roman" w:hAnsi="Times New Roman" w:cs="Times New Roman"/>
          <w:color w:val="auto"/>
          <w:kern w:val="0"/>
          <w:sz w:val="24"/>
          <w:szCs w:val="24"/>
          <w:lang w:val="uk-UA" w:eastAsia="ru-RU" w:bidi="ar-SA"/>
        </w:rPr>
        <w:br/>
      </w:r>
      <w:r w:rsidRPr="001179B2">
        <w:rPr>
          <w:rFonts w:ascii="Times New Roman" w:eastAsia="Times New Roman" w:hAnsi="Times New Roman" w:cs="Times New Roman"/>
          <w:bCs/>
          <w:color w:val="auto"/>
          <w:kern w:val="0"/>
          <w:sz w:val="24"/>
          <w:szCs w:val="24"/>
          <w:lang w:val="uk-UA" w:eastAsia="ru-RU" w:bidi="ar-SA"/>
        </w:rPr>
        <w:t>на одного суб’єкта господарювання великого і середнього підприємництва, які виникають внаслідок дії регуляторного акта за Альтернативою 2.</w:t>
      </w:r>
    </w:p>
    <w:tbl>
      <w:tblPr>
        <w:tblW w:w="10038" w:type="dxa"/>
        <w:tblLook w:val="04A0" w:firstRow="1" w:lastRow="0" w:firstColumn="1" w:lastColumn="0" w:noHBand="0" w:noVBand="1"/>
      </w:tblPr>
      <w:tblGrid>
        <w:gridCol w:w="836"/>
        <w:gridCol w:w="5851"/>
        <w:gridCol w:w="2217"/>
        <w:gridCol w:w="1134"/>
      </w:tblGrid>
      <w:tr w:rsidR="00E62116" w:rsidRPr="001179B2" w14:paraId="7B9BFEEC" w14:textId="77777777" w:rsidTr="00FA7B01">
        <w:tc>
          <w:tcPr>
            <w:tcW w:w="8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F8F6423" w14:textId="77777777" w:rsidR="00E62116" w:rsidRPr="001179B2" w:rsidRDefault="00E62116" w:rsidP="00DF4044">
            <w:pPr>
              <w:spacing w:before="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№з/п</w:t>
            </w:r>
          </w:p>
        </w:tc>
        <w:tc>
          <w:tcPr>
            <w:tcW w:w="5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014AC4" w14:textId="77777777" w:rsidR="00E62116" w:rsidRPr="001179B2" w:rsidRDefault="00E62116" w:rsidP="00DF4044">
            <w:pPr>
              <w:spacing w:before="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Витрати</w:t>
            </w:r>
          </w:p>
        </w:tc>
        <w:tc>
          <w:tcPr>
            <w:tcW w:w="2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9DEF95" w14:textId="77777777" w:rsidR="00E62116" w:rsidRPr="001179B2" w:rsidRDefault="00E62116" w:rsidP="00DF4044">
            <w:pPr>
              <w:spacing w:before="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За перший рік</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FD11AE" w14:textId="77777777" w:rsidR="00E62116" w:rsidRPr="001179B2" w:rsidRDefault="00E62116" w:rsidP="00DF4044">
            <w:pPr>
              <w:spacing w:before="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За п’ять років</w:t>
            </w:r>
          </w:p>
        </w:tc>
      </w:tr>
      <w:tr w:rsidR="00E62116" w:rsidRPr="001179B2" w14:paraId="113D02E9" w14:textId="77777777" w:rsidTr="00FA7B01">
        <w:tc>
          <w:tcPr>
            <w:tcW w:w="8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A8FA536"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1.</w:t>
            </w:r>
          </w:p>
        </w:tc>
        <w:tc>
          <w:tcPr>
            <w:tcW w:w="5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C1DDA9"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2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617C74" w14:textId="77777777" w:rsidR="00E62116" w:rsidRPr="001179B2" w:rsidRDefault="00E62116" w:rsidP="00DF4044">
            <w:pPr>
              <w:spacing w:before="120" w:after="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0,00 грн.</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F042BB" w14:textId="77777777" w:rsidR="00E62116" w:rsidRPr="001179B2" w:rsidRDefault="00E62116" w:rsidP="00DF4044">
            <w:pPr>
              <w:spacing w:before="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0,00 грн. </w:t>
            </w:r>
          </w:p>
        </w:tc>
      </w:tr>
      <w:tr w:rsidR="00E62116" w:rsidRPr="001179B2" w14:paraId="6D0D48B9" w14:textId="77777777" w:rsidTr="00FA7B01">
        <w:tc>
          <w:tcPr>
            <w:tcW w:w="8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CA56B99"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2.</w:t>
            </w:r>
          </w:p>
        </w:tc>
        <w:tc>
          <w:tcPr>
            <w:tcW w:w="5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1DCD50"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Податки та збори (зміна розміру податків/зборів, виникнення необхідності у сплаті податків/зборів), гривень</w:t>
            </w:r>
          </w:p>
        </w:tc>
        <w:tc>
          <w:tcPr>
            <w:tcW w:w="2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5A2BF0" w14:textId="77777777" w:rsidR="00E62116" w:rsidRPr="001179B2" w:rsidRDefault="00E62116" w:rsidP="00DF4044">
            <w:pPr>
              <w:spacing w:before="120" w:after="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0,00 грн.</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5460AB" w14:textId="77777777" w:rsidR="00E62116" w:rsidRPr="001179B2" w:rsidRDefault="00E62116" w:rsidP="00DF4044">
            <w:pPr>
              <w:spacing w:before="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0,00 грн.</w:t>
            </w:r>
          </w:p>
        </w:tc>
      </w:tr>
      <w:tr w:rsidR="00E62116" w:rsidRPr="001179B2" w14:paraId="301CC944" w14:textId="77777777" w:rsidTr="00FA7B01">
        <w:tc>
          <w:tcPr>
            <w:tcW w:w="8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1ABE1C9"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3.</w:t>
            </w:r>
          </w:p>
        </w:tc>
        <w:tc>
          <w:tcPr>
            <w:tcW w:w="5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01AA2C"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Витрати, пов’язані із веденням обліку, підготовкою та поданням звітності державним органам, гривень</w:t>
            </w:r>
          </w:p>
        </w:tc>
        <w:tc>
          <w:tcPr>
            <w:tcW w:w="2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EA1EC5" w14:textId="77777777" w:rsidR="00E62116" w:rsidRPr="001179B2" w:rsidRDefault="00E62116" w:rsidP="00DF4044">
            <w:pPr>
              <w:spacing w:before="120" w:after="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0,00 грн.</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AB3BAA" w14:textId="77777777" w:rsidR="00E62116" w:rsidRPr="001179B2" w:rsidRDefault="00E62116" w:rsidP="00DF4044">
            <w:pPr>
              <w:spacing w:before="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0,00 грн.</w:t>
            </w:r>
          </w:p>
        </w:tc>
      </w:tr>
      <w:tr w:rsidR="00E62116" w:rsidRPr="001179B2" w14:paraId="4F6FBB52" w14:textId="77777777" w:rsidTr="00FA7B01">
        <w:tc>
          <w:tcPr>
            <w:tcW w:w="8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B620DBE"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4.</w:t>
            </w:r>
          </w:p>
        </w:tc>
        <w:tc>
          <w:tcPr>
            <w:tcW w:w="5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B61C45"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2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6772A2" w14:textId="77777777" w:rsidR="00E62116" w:rsidRPr="001179B2" w:rsidRDefault="00E62116" w:rsidP="00DF4044">
            <w:pPr>
              <w:spacing w:before="120" w:after="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0,00 грн.</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A59C73" w14:textId="77777777" w:rsidR="00E62116" w:rsidRPr="001179B2" w:rsidRDefault="00E62116" w:rsidP="00DF4044">
            <w:pPr>
              <w:spacing w:before="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0,00 грн.</w:t>
            </w:r>
          </w:p>
        </w:tc>
      </w:tr>
      <w:tr w:rsidR="00E62116" w:rsidRPr="001179B2" w14:paraId="6FD84822" w14:textId="77777777" w:rsidTr="00FA7B01">
        <w:tc>
          <w:tcPr>
            <w:tcW w:w="8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C7226F0"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5.</w:t>
            </w:r>
          </w:p>
        </w:tc>
        <w:tc>
          <w:tcPr>
            <w:tcW w:w="5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4C791E"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2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CF22A8" w14:textId="77777777" w:rsidR="00E62116" w:rsidRPr="001179B2" w:rsidRDefault="00E62116" w:rsidP="00DF4044">
            <w:pPr>
              <w:spacing w:before="120" w:after="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0,00 грн</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7147B2" w14:textId="77777777" w:rsidR="00E62116" w:rsidRPr="001179B2" w:rsidRDefault="00E62116" w:rsidP="00DF4044">
            <w:pPr>
              <w:spacing w:before="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0,00 грн</w:t>
            </w:r>
          </w:p>
        </w:tc>
      </w:tr>
      <w:tr w:rsidR="00E62116" w:rsidRPr="001179B2" w14:paraId="1485CA55" w14:textId="77777777" w:rsidTr="00FA7B01">
        <w:tc>
          <w:tcPr>
            <w:tcW w:w="8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75443B3"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6.</w:t>
            </w:r>
          </w:p>
        </w:tc>
        <w:tc>
          <w:tcPr>
            <w:tcW w:w="5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B613E6"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Витрати на оборотні активи (матеріали, канцелярські товари тощо), гривень</w:t>
            </w:r>
          </w:p>
        </w:tc>
        <w:tc>
          <w:tcPr>
            <w:tcW w:w="2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2651A6" w14:textId="77777777" w:rsidR="00E62116" w:rsidRPr="001179B2" w:rsidRDefault="00E62116" w:rsidP="00DF4044">
            <w:pPr>
              <w:spacing w:before="120" w:after="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0,00 грн.</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1700C8" w14:textId="77777777" w:rsidR="00E62116" w:rsidRPr="001179B2" w:rsidRDefault="00E62116" w:rsidP="00DF4044">
            <w:pPr>
              <w:spacing w:before="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0,00 грн.</w:t>
            </w:r>
          </w:p>
        </w:tc>
      </w:tr>
      <w:tr w:rsidR="00E62116" w:rsidRPr="001179B2" w14:paraId="219C9BC7" w14:textId="77777777" w:rsidTr="00FA7B01">
        <w:tc>
          <w:tcPr>
            <w:tcW w:w="8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BAFD1E7"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7.</w:t>
            </w:r>
          </w:p>
        </w:tc>
        <w:tc>
          <w:tcPr>
            <w:tcW w:w="5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147F81"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 xml:space="preserve">Витрати, пов’язані із </w:t>
            </w:r>
            <w:proofErr w:type="spellStart"/>
            <w:r w:rsidRPr="001179B2">
              <w:rPr>
                <w:rFonts w:ascii="Times New Roman" w:eastAsia="Times New Roman" w:hAnsi="Times New Roman" w:cs="Times New Roman"/>
                <w:color w:val="auto"/>
                <w:sz w:val="24"/>
                <w:szCs w:val="24"/>
                <w:lang w:val="uk-UA" w:eastAsia="uk-UA"/>
              </w:rPr>
              <w:t>наймом</w:t>
            </w:r>
            <w:proofErr w:type="spellEnd"/>
            <w:r w:rsidRPr="001179B2">
              <w:rPr>
                <w:rFonts w:ascii="Times New Roman" w:eastAsia="Times New Roman" w:hAnsi="Times New Roman" w:cs="Times New Roman"/>
                <w:color w:val="auto"/>
                <w:sz w:val="24"/>
                <w:szCs w:val="24"/>
                <w:lang w:val="uk-UA" w:eastAsia="uk-UA"/>
              </w:rPr>
              <w:t xml:space="preserve"> додаткового персоналу, гривень</w:t>
            </w:r>
          </w:p>
        </w:tc>
        <w:tc>
          <w:tcPr>
            <w:tcW w:w="2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6C69FA" w14:textId="77777777" w:rsidR="00E62116" w:rsidRPr="001179B2" w:rsidRDefault="00E62116" w:rsidP="00DF4044">
            <w:pPr>
              <w:spacing w:before="120" w:after="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0,00 грн.</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2A8E29" w14:textId="77777777" w:rsidR="00E62116" w:rsidRPr="001179B2" w:rsidRDefault="00E62116" w:rsidP="00DF4044">
            <w:pPr>
              <w:spacing w:before="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0,00 грн.</w:t>
            </w:r>
          </w:p>
        </w:tc>
      </w:tr>
      <w:tr w:rsidR="00E62116" w:rsidRPr="001179B2" w14:paraId="09826487" w14:textId="77777777" w:rsidTr="00FA7B01">
        <w:tc>
          <w:tcPr>
            <w:tcW w:w="8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010F5D1"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8.</w:t>
            </w:r>
          </w:p>
        </w:tc>
        <w:tc>
          <w:tcPr>
            <w:tcW w:w="5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5B30234" w14:textId="77777777" w:rsidR="00E62116" w:rsidRPr="001179B2" w:rsidRDefault="00E62116" w:rsidP="00DF4044">
            <w:pPr>
              <w:spacing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Інше (уточнити), гривень</w:t>
            </w:r>
          </w:p>
          <w:p w14:paraId="6F687654" w14:textId="77777777" w:rsidR="00E62116" w:rsidRPr="001179B2" w:rsidRDefault="00E62116" w:rsidP="00DF4044">
            <w:pPr>
              <w:pStyle w:val="rvps14"/>
              <w:spacing w:before="0" w:beforeAutospacing="0" w:after="0" w:afterAutospacing="0"/>
              <w:jc w:val="both"/>
              <w:rPr>
                <w:lang w:eastAsia="ru-RU"/>
              </w:rPr>
            </w:pPr>
            <w:r w:rsidRPr="001179B2">
              <w:t>1. Процедури отримання первинної інформації про вимоги регулювання</w:t>
            </w:r>
          </w:p>
          <w:p w14:paraId="15907505" w14:textId="77777777" w:rsidR="00E62116" w:rsidRPr="001179B2" w:rsidRDefault="00E62116" w:rsidP="00DF4044">
            <w:pPr>
              <w:spacing w:line="240" w:lineRule="auto"/>
              <w:jc w:val="both"/>
              <w:rPr>
                <w:rFonts w:ascii="Times New Roman" w:hAnsi="Times New Roman" w:cs="Times New Roman"/>
                <w:color w:val="auto"/>
                <w:sz w:val="24"/>
                <w:szCs w:val="24"/>
                <w:lang w:val="uk-UA"/>
              </w:rPr>
            </w:pPr>
            <w:r w:rsidRPr="001179B2">
              <w:rPr>
                <w:rFonts w:ascii="Times New Roman" w:eastAsia="Times New Roman" w:hAnsi="Times New Roman" w:cs="Times New Roman"/>
                <w:color w:val="auto"/>
                <w:sz w:val="24"/>
                <w:szCs w:val="24"/>
                <w:lang w:val="uk-UA" w:eastAsia="uk-UA"/>
              </w:rPr>
              <w:t xml:space="preserve">1 год. (час, який витрачається с/г на пошук нормативно-правового акту в мережі Інтернет та ознайомлення з ним) </w:t>
            </w:r>
            <w:r w:rsidRPr="001179B2">
              <w:rPr>
                <w:rFonts w:ascii="Times New Roman" w:hAnsi="Times New Roman" w:cs="Times New Roman"/>
                <w:color w:val="auto"/>
                <w:sz w:val="24"/>
                <w:szCs w:val="24"/>
                <w:lang w:val="uk-UA"/>
              </w:rPr>
              <w:t>1 год. х 40,46 грн. = 40,46 грн</w:t>
            </w:r>
          </w:p>
          <w:p w14:paraId="61E60812" w14:textId="77777777" w:rsidR="00E62116" w:rsidRPr="001179B2" w:rsidRDefault="00E62116" w:rsidP="00DF4044">
            <w:pPr>
              <w:spacing w:line="240" w:lineRule="auto"/>
              <w:jc w:val="both"/>
              <w:rPr>
                <w:rFonts w:ascii="Times New Roman" w:eastAsia="Times New Roman" w:hAnsi="Times New Roman" w:cs="Times New Roman"/>
                <w:color w:val="auto"/>
                <w:sz w:val="24"/>
                <w:szCs w:val="24"/>
                <w:lang w:val="uk-UA" w:eastAsia="uk-UA"/>
              </w:rPr>
            </w:pPr>
          </w:p>
          <w:p w14:paraId="50D090C6" w14:textId="77777777" w:rsidR="00E62116" w:rsidRPr="001179B2" w:rsidRDefault="00E62116" w:rsidP="00DF4044">
            <w:pPr>
              <w:pStyle w:val="rvps14"/>
              <w:tabs>
                <w:tab w:val="left" w:pos="254"/>
              </w:tabs>
              <w:spacing w:before="0" w:beforeAutospacing="0" w:after="0" w:afterAutospacing="0"/>
              <w:jc w:val="both"/>
              <w:rPr>
                <w:lang w:eastAsia="ru-RU"/>
              </w:rPr>
            </w:pPr>
            <w:r w:rsidRPr="001179B2">
              <w:t xml:space="preserve">2. Процедури організації виконання вимог регулювання (діяльність щодо поширення вимог регулювання на всіх заінтересованих осіб в рамках закладу освіти  здійснюється в межах посадових обов’язків педагогічних і науково-педагогічних працівників закладів освіти) </w:t>
            </w:r>
          </w:p>
          <w:p w14:paraId="6C4EEDE5" w14:textId="77777777" w:rsidR="00E62116" w:rsidRPr="001179B2" w:rsidRDefault="00E62116" w:rsidP="00DF4044">
            <w:pPr>
              <w:pStyle w:val="rvps14"/>
              <w:tabs>
                <w:tab w:val="left" w:pos="254"/>
              </w:tabs>
              <w:spacing w:before="0" w:beforeAutospacing="0" w:after="0" w:afterAutospacing="0"/>
              <w:jc w:val="both"/>
            </w:pPr>
            <w:r w:rsidRPr="001179B2">
              <w:t xml:space="preserve">1 год х 40,46 грн. = 40,46 грн. </w:t>
            </w:r>
          </w:p>
          <w:p w14:paraId="2B094E99" w14:textId="77777777" w:rsidR="00E62116" w:rsidRPr="001179B2" w:rsidRDefault="00E62116" w:rsidP="00DF4044">
            <w:pPr>
              <w:widowControl w:val="0"/>
              <w:autoSpaceDE w:val="0"/>
              <w:adjustRightInd w:val="0"/>
              <w:spacing w:line="240" w:lineRule="auto"/>
              <w:jc w:val="both"/>
              <w:rPr>
                <w:rFonts w:ascii="Times New Roman" w:hAnsi="Times New Roman" w:cs="Times New Roman"/>
                <w:color w:val="auto"/>
                <w:sz w:val="24"/>
                <w:szCs w:val="24"/>
                <w:lang w:val="uk-UA" w:eastAsia="uk-UA"/>
              </w:rPr>
            </w:pPr>
            <w:r w:rsidRPr="001179B2">
              <w:rPr>
                <w:rFonts w:ascii="Times New Roman" w:hAnsi="Times New Roman" w:cs="Times New Roman"/>
                <w:color w:val="auto"/>
                <w:sz w:val="24"/>
                <w:szCs w:val="24"/>
                <w:lang w:val="uk-UA" w:eastAsia="uk-UA"/>
              </w:rPr>
              <w:t xml:space="preserve">Для обрахунку: </w:t>
            </w:r>
            <w:r w:rsidRPr="001179B2">
              <w:rPr>
                <w:rFonts w:ascii="Times New Roman" w:hAnsi="Times New Roman" w:cs="Times New Roman"/>
                <w:sz w:val="24"/>
                <w:szCs w:val="24"/>
                <w:lang w:val="uk-UA"/>
              </w:rPr>
              <w:t xml:space="preserve">Для обрахунку: приймаємо за основу </w:t>
            </w:r>
            <w:r w:rsidRPr="001179B2">
              <w:rPr>
                <w:rFonts w:ascii="Times New Roman" w:hAnsi="Times New Roman" w:cs="Times New Roman"/>
                <w:sz w:val="24"/>
                <w:szCs w:val="24"/>
                <w:lang w:val="uk-UA"/>
              </w:rPr>
              <w:lastRenderedPageBreak/>
              <w:t xml:space="preserve">мінімальну заробітну плату, визначену у погодинному розмірі, що становить 40,46 грн/год відповідно до Закону України від 3 листопада 2022 року № 2710-IX «Про Державний бюджет України на 2023 рік»; </w:t>
            </w:r>
            <w:r w:rsidRPr="001179B2">
              <w:rPr>
                <w:rFonts w:ascii="Times New Roman" w:hAnsi="Times New Roman" w:cs="Times New Roman"/>
                <w:color w:val="auto"/>
                <w:sz w:val="24"/>
                <w:szCs w:val="24"/>
                <w:lang w:val="uk-UA" w:eastAsia="uk-UA"/>
              </w:rPr>
              <w:t xml:space="preserve"> 8-годинний робочий день; кількість працівників, що виконують вимоги регулювання – 1 особа.</w:t>
            </w:r>
          </w:p>
        </w:tc>
        <w:tc>
          <w:tcPr>
            <w:tcW w:w="2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F190658" w14:textId="77777777" w:rsidR="00E62116" w:rsidRPr="001179B2" w:rsidRDefault="00E62116" w:rsidP="00DF4044">
            <w:pPr>
              <w:spacing w:line="240" w:lineRule="auto"/>
              <w:jc w:val="both"/>
              <w:rPr>
                <w:rFonts w:ascii="Times New Roman" w:eastAsia="Times New Roman" w:hAnsi="Times New Roman" w:cs="Times New Roman"/>
                <w:color w:val="auto"/>
                <w:sz w:val="24"/>
                <w:szCs w:val="24"/>
                <w:lang w:val="uk-UA" w:eastAsia="uk-UA"/>
              </w:rPr>
            </w:pPr>
          </w:p>
          <w:p w14:paraId="1E1531BE" w14:textId="77777777" w:rsidR="00E62116" w:rsidRPr="001179B2" w:rsidRDefault="00E62116" w:rsidP="00DF4044">
            <w:pPr>
              <w:spacing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40,46 грн</w:t>
            </w:r>
          </w:p>
          <w:p w14:paraId="2E21FC59" w14:textId="77777777" w:rsidR="00E62116" w:rsidRPr="001179B2" w:rsidRDefault="00E62116" w:rsidP="00DF4044">
            <w:pPr>
              <w:spacing w:line="240" w:lineRule="auto"/>
              <w:jc w:val="both"/>
              <w:rPr>
                <w:rFonts w:ascii="Times New Roman" w:eastAsia="Times New Roman" w:hAnsi="Times New Roman" w:cs="Times New Roman"/>
                <w:color w:val="auto"/>
                <w:sz w:val="24"/>
                <w:szCs w:val="24"/>
                <w:lang w:val="uk-UA" w:eastAsia="uk-UA"/>
              </w:rPr>
            </w:pPr>
          </w:p>
          <w:p w14:paraId="68DAB041" w14:textId="77777777" w:rsidR="00E62116" w:rsidRPr="001179B2" w:rsidRDefault="00E62116" w:rsidP="00DF4044">
            <w:pPr>
              <w:spacing w:line="240" w:lineRule="auto"/>
              <w:jc w:val="both"/>
              <w:rPr>
                <w:rFonts w:ascii="Times New Roman" w:eastAsia="Times New Roman" w:hAnsi="Times New Roman" w:cs="Times New Roman"/>
                <w:color w:val="auto"/>
                <w:sz w:val="24"/>
                <w:szCs w:val="24"/>
                <w:lang w:val="uk-UA" w:eastAsia="uk-UA"/>
              </w:rPr>
            </w:pPr>
          </w:p>
          <w:p w14:paraId="28A8AA39" w14:textId="77777777" w:rsidR="00E62116" w:rsidRPr="001179B2" w:rsidRDefault="00E62116" w:rsidP="00DF4044">
            <w:pPr>
              <w:spacing w:line="240" w:lineRule="auto"/>
              <w:jc w:val="both"/>
              <w:rPr>
                <w:rFonts w:ascii="Times New Roman" w:eastAsia="Times New Roman" w:hAnsi="Times New Roman" w:cs="Times New Roman"/>
                <w:color w:val="auto"/>
                <w:sz w:val="24"/>
                <w:szCs w:val="24"/>
                <w:lang w:val="uk-UA" w:eastAsia="uk-UA"/>
              </w:rPr>
            </w:pPr>
          </w:p>
          <w:p w14:paraId="699702CE" w14:textId="77777777" w:rsidR="00E62116" w:rsidRPr="001179B2" w:rsidRDefault="00E62116" w:rsidP="00DF4044">
            <w:pPr>
              <w:spacing w:line="240" w:lineRule="auto"/>
              <w:jc w:val="both"/>
              <w:rPr>
                <w:rFonts w:ascii="Times New Roman" w:eastAsia="Times New Roman" w:hAnsi="Times New Roman" w:cs="Times New Roman"/>
                <w:color w:val="auto"/>
                <w:sz w:val="24"/>
                <w:szCs w:val="24"/>
                <w:lang w:val="uk-UA" w:eastAsia="uk-UA"/>
              </w:rPr>
            </w:pPr>
          </w:p>
          <w:p w14:paraId="61537838" w14:textId="77777777" w:rsidR="00E62116" w:rsidRPr="001179B2" w:rsidRDefault="00E62116" w:rsidP="00DF4044">
            <w:pPr>
              <w:spacing w:line="240" w:lineRule="auto"/>
              <w:jc w:val="both"/>
              <w:rPr>
                <w:rFonts w:ascii="Times New Roman" w:eastAsia="Times New Roman" w:hAnsi="Times New Roman" w:cs="Times New Roman"/>
                <w:color w:val="auto"/>
                <w:sz w:val="24"/>
                <w:szCs w:val="24"/>
                <w:lang w:val="uk-UA" w:eastAsia="uk-UA"/>
              </w:rPr>
            </w:pPr>
          </w:p>
          <w:p w14:paraId="5A37DEF3" w14:textId="77777777" w:rsidR="00E62116" w:rsidRPr="001179B2" w:rsidRDefault="00E62116" w:rsidP="00DF4044">
            <w:pPr>
              <w:spacing w:line="240" w:lineRule="auto"/>
              <w:jc w:val="both"/>
              <w:rPr>
                <w:rFonts w:ascii="Times New Roman" w:eastAsia="Times New Roman" w:hAnsi="Times New Roman" w:cs="Times New Roman"/>
                <w:color w:val="auto"/>
                <w:sz w:val="24"/>
                <w:szCs w:val="24"/>
                <w:lang w:val="uk-UA" w:eastAsia="uk-UA"/>
              </w:rPr>
            </w:pPr>
          </w:p>
          <w:p w14:paraId="2C70EB9E" w14:textId="77777777" w:rsidR="00E62116" w:rsidRPr="001179B2" w:rsidRDefault="00E62116" w:rsidP="00DF4044">
            <w:pPr>
              <w:spacing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40,46грн</w:t>
            </w:r>
          </w:p>
          <w:p w14:paraId="030BCFFD" w14:textId="77777777" w:rsidR="00E62116" w:rsidRPr="001179B2" w:rsidRDefault="00E62116" w:rsidP="00DF4044">
            <w:pPr>
              <w:spacing w:line="240" w:lineRule="auto"/>
              <w:jc w:val="both"/>
              <w:rPr>
                <w:rFonts w:ascii="Times New Roman" w:eastAsia="Times New Roman" w:hAnsi="Times New Roman" w:cs="Times New Roman"/>
                <w:color w:val="auto"/>
                <w:sz w:val="24"/>
                <w:szCs w:val="24"/>
                <w:lang w:val="uk-UA" w:eastAsia="uk-UA"/>
              </w:rPr>
            </w:pPr>
          </w:p>
          <w:p w14:paraId="7736CA3D" w14:textId="77777777" w:rsidR="00E62116" w:rsidRPr="001179B2" w:rsidRDefault="00E62116" w:rsidP="00DF4044">
            <w:pPr>
              <w:spacing w:line="240" w:lineRule="auto"/>
              <w:jc w:val="both"/>
              <w:rPr>
                <w:rFonts w:ascii="Times New Roman" w:eastAsia="Times New Roman" w:hAnsi="Times New Roman" w:cs="Times New Roman"/>
                <w:color w:val="auto"/>
                <w:sz w:val="24"/>
                <w:szCs w:val="24"/>
                <w:lang w:val="uk-UA" w:eastAsia="uk-UA"/>
              </w:rPr>
            </w:pPr>
          </w:p>
          <w:p w14:paraId="0BF9823F" w14:textId="77777777" w:rsidR="00E62116" w:rsidRPr="001179B2" w:rsidRDefault="00E62116" w:rsidP="00DF4044">
            <w:pPr>
              <w:spacing w:line="240" w:lineRule="auto"/>
              <w:jc w:val="both"/>
              <w:rPr>
                <w:rFonts w:ascii="Times New Roman" w:eastAsia="Times New Roman" w:hAnsi="Times New Roman" w:cs="Times New Roman"/>
                <w:color w:val="auto"/>
                <w:sz w:val="24"/>
                <w:szCs w:val="24"/>
                <w:lang w:val="uk-UA" w:eastAsia="uk-UA"/>
              </w:rPr>
            </w:pPr>
          </w:p>
          <w:p w14:paraId="7E066DA5" w14:textId="77777777" w:rsidR="00E62116" w:rsidRPr="001179B2" w:rsidRDefault="00E62116" w:rsidP="00DF4044">
            <w:pPr>
              <w:spacing w:line="240" w:lineRule="auto"/>
              <w:jc w:val="both"/>
              <w:rPr>
                <w:rFonts w:ascii="Times New Roman" w:eastAsia="Times New Roman" w:hAnsi="Times New Roman" w:cs="Times New Roman"/>
                <w:color w:val="auto"/>
                <w:sz w:val="24"/>
                <w:szCs w:val="24"/>
                <w:lang w:val="uk-UA" w:eastAsia="uk-UA"/>
              </w:rPr>
            </w:pP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7A94D13" w14:textId="77777777" w:rsidR="00E62116" w:rsidRPr="001179B2" w:rsidRDefault="00E62116" w:rsidP="00DF4044">
            <w:pPr>
              <w:spacing w:line="240" w:lineRule="auto"/>
              <w:jc w:val="center"/>
              <w:rPr>
                <w:rFonts w:ascii="Times New Roman" w:eastAsia="Times New Roman" w:hAnsi="Times New Roman" w:cs="Times New Roman"/>
                <w:color w:val="auto"/>
                <w:sz w:val="24"/>
                <w:szCs w:val="24"/>
                <w:lang w:val="uk-UA" w:eastAsia="uk-UA"/>
              </w:rPr>
            </w:pPr>
          </w:p>
          <w:p w14:paraId="14FEAEBE" w14:textId="77777777" w:rsidR="00E62116" w:rsidRPr="001179B2" w:rsidRDefault="00E62116" w:rsidP="00DF4044">
            <w:pPr>
              <w:spacing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40,46 грн</w:t>
            </w:r>
          </w:p>
        </w:tc>
      </w:tr>
      <w:tr w:rsidR="00E62116" w:rsidRPr="001179B2" w14:paraId="01303422" w14:textId="77777777" w:rsidTr="00FA7B01">
        <w:tc>
          <w:tcPr>
            <w:tcW w:w="8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A5736AE"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9.</w:t>
            </w:r>
          </w:p>
        </w:tc>
        <w:tc>
          <w:tcPr>
            <w:tcW w:w="5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D98E6C"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РАЗОМ (сума рядків: 1 + 2 + 3 + 4 + 5 + 6 + 7 + 8), гривень</w:t>
            </w:r>
          </w:p>
        </w:tc>
        <w:tc>
          <w:tcPr>
            <w:tcW w:w="2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399D93" w14:textId="77777777" w:rsidR="00E62116" w:rsidRPr="001179B2" w:rsidRDefault="00E62116" w:rsidP="00DF4044">
            <w:pPr>
              <w:spacing w:before="120" w:after="120" w:line="240" w:lineRule="auto"/>
              <w:ind w:firstLine="292"/>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80,92 грн.</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5EF02A" w14:textId="77777777" w:rsidR="00E62116" w:rsidRPr="001179B2" w:rsidRDefault="00E62116" w:rsidP="00DF4044">
            <w:pPr>
              <w:spacing w:before="120" w:after="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w:t>
            </w:r>
          </w:p>
        </w:tc>
      </w:tr>
      <w:tr w:rsidR="00E62116" w:rsidRPr="001179B2" w14:paraId="550B2899" w14:textId="77777777" w:rsidTr="00FA7B01">
        <w:tc>
          <w:tcPr>
            <w:tcW w:w="8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14CAAA9"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10.</w:t>
            </w:r>
          </w:p>
        </w:tc>
        <w:tc>
          <w:tcPr>
            <w:tcW w:w="5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3BD29C"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2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0B9F5F" w14:textId="77777777" w:rsidR="00E62116" w:rsidRPr="001179B2" w:rsidRDefault="00E62116" w:rsidP="00DF4044">
            <w:pPr>
              <w:spacing w:before="120" w:after="120" w:line="240" w:lineRule="auto"/>
              <w:ind w:firstLine="292"/>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937</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EDE8DD" w14:textId="77777777" w:rsidR="00E62116" w:rsidRPr="001179B2" w:rsidRDefault="00E62116" w:rsidP="00DF4044">
            <w:pPr>
              <w:spacing w:before="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937*</w:t>
            </w:r>
          </w:p>
        </w:tc>
      </w:tr>
      <w:tr w:rsidR="00E62116" w:rsidRPr="001179B2" w14:paraId="442FC202" w14:textId="77777777" w:rsidTr="00FA7B01">
        <w:tc>
          <w:tcPr>
            <w:tcW w:w="83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82145E8"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11.</w:t>
            </w:r>
          </w:p>
        </w:tc>
        <w:tc>
          <w:tcPr>
            <w:tcW w:w="5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83A455" w14:textId="77777777" w:rsidR="00E62116" w:rsidRPr="001179B2" w:rsidRDefault="00E62116" w:rsidP="00DF4044">
            <w:pPr>
              <w:spacing w:before="120" w:line="240" w:lineRule="auto"/>
              <w:jc w:val="both"/>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22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441C8F" w14:textId="77777777" w:rsidR="00E62116" w:rsidRPr="001179B2" w:rsidRDefault="00E62116" w:rsidP="00DF4044">
            <w:pPr>
              <w:spacing w:before="120" w:after="120" w:line="240" w:lineRule="auto"/>
              <w:ind w:firstLine="292"/>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75822,04</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085EF6" w14:textId="77777777" w:rsidR="00E62116" w:rsidRPr="001179B2" w:rsidRDefault="00E62116" w:rsidP="00DF4044">
            <w:pPr>
              <w:spacing w:before="120" w:line="240" w:lineRule="auto"/>
              <w:jc w:val="center"/>
              <w:rPr>
                <w:rFonts w:ascii="Times New Roman" w:eastAsia="Times New Roman" w:hAnsi="Times New Roman" w:cs="Times New Roman"/>
                <w:color w:val="auto"/>
                <w:sz w:val="24"/>
                <w:szCs w:val="24"/>
                <w:lang w:val="uk-UA" w:eastAsia="uk-UA"/>
              </w:rPr>
            </w:pPr>
            <w:r w:rsidRPr="001179B2">
              <w:rPr>
                <w:rFonts w:ascii="Times New Roman" w:eastAsia="Times New Roman" w:hAnsi="Times New Roman" w:cs="Times New Roman"/>
                <w:color w:val="auto"/>
                <w:sz w:val="24"/>
                <w:szCs w:val="24"/>
                <w:lang w:val="uk-UA" w:eastAsia="uk-UA"/>
              </w:rPr>
              <w:t>-</w:t>
            </w:r>
          </w:p>
        </w:tc>
      </w:tr>
    </w:tbl>
    <w:p w14:paraId="77329ADE" w14:textId="77777777" w:rsidR="00E62116" w:rsidRPr="001179B2" w:rsidRDefault="00E62116" w:rsidP="00DF4044">
      <w:pPr>
        <w:spacing w:line="240" w:lineRule="auto"/>
        <w:jc w:val="both"/>
        <w:rPr>
          <w:rFonts w:ascii="Times New Roman" w:hAnsi="Times New Roman" w:cs="Times New Roman"/>
          <w:sz w:val="24"/>
          <w:szCs w:val="24"/>
          <w:lang w:val="uk-UA"/>
        </w:rPr>
      </w:pPr>
    </w:p>
    <w:p w14:paraId="6B6C362D"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 </w:t>
      </w:r>
      <w:r w:rsidRPr="001179B2">
        <w:rPr>
          <w:rFonts w:ascii="Times New Roman" w:hAnsi="Times New Roman" w:cs="Times New Roman"/>
          <w:sz w:val="28"/>
          <w:szCs w:val="28"/>
          <w:lang w:val="uk-UA"/>
        </w:rPr>
        <w:t>кількість може змінюватися у зв</w:t>
      </w:r>
      <w:r w:rsidR="005A069D" w:rsidRPr="001179B2">
        <w:rPr>
          <w:rFonts w:ascii="Times New Roman" w:hAnsi="Times New Roman" w:cs="Times New Roman"/>
          <w:sz w:val="28"/>
          <w:szCs w:val="28"/>
          <w:lang w:val="uk-UA"/>
        </w:rPr>
        <w:t>’</w:t>
      </w:r>
      <w:r w:rsidRPr="001179B2">
        <w:rPr>
          <w:rFonts w:ascii="Times New Roman" w:hAnsi="Times New Roman" w:cs="Times New Roman"/>
          <w:sz w:val="28"/>
          <w:szCs w:val="28"/>
          <w:lang w:val="uk-UA"/>
        </w:rPr>
        <w:t>язку зі зміною (реорганізацією, ліквідацією тощо закладів освіти, як</w:t>
      </w:r>
      <w:r w:rsidR="005A069D" w:rsidRPr="001179B2">
        <w:rPr>
          <w:rFonts w:ascii="Times New Roman" w:hAnsi="Times New Roman" w:cs="Times New Roman"/>
          <w:sz w:val="28"/>
          <w:szCs w:val="28"/>
          <w:lang w:val="uk-UA"/>
        </w:rPr>
        <w:t>і</w:t>
      </w:r>
      <w:r w:rsidRPr="001179B2">
        <w:rPr>
          <w:rFonts w:ascii="Times New Roman" w:hAnsi="Times New Roman" w:cs="Times New Roman"/>
          <w:sz w:val="28"/>
          <w:szCs w:val="28"/>
          <w:lang w:val="uk-UA"/>
        </w:rPr>
        <w:t xml:space="preserve"> забезпечують підготовку </w:t>
      </w:r>
      <w:r w:rsidR="005A069D" w:rsidRPr="001179B2">
        <w:rPr>
          <w:rFonts w:ascii="Times New Roman" w:hAnsi="Times New Roman" w:cs="Times New Roman"/>
          <w:sz w:val="28"/>
          <w:szCs w:val="28"/>
          <w:lang w:val="uk-UA"/>
        </w:rPr>
        <w:t xml:space="preserve">у </w:t>
      </w:r>
      <w:r w:rsidRPr="001179B2">
        <w:rPr>
          <w:rFonts w:ascii="Times New Roman" w:hAnsi="Times New Roman" w:cs="Times New Roman"/>
          <w:sz w:val="28"/>
          <w:szCs w:val="28"/>
          <w:lang w:val="uk-UA"/>
        </w:rPr>
        <w:t>сфері фахової передвищої освіти</w:t>
      </w:r>
    </w:p>
    <w:p w14:paraId="31673C2F" w14:textId="77777777" w:rsidR="00E62116" w:rsidRPr="001179B2" w:rsidRDefault="00E62116" w:rsidP="00DF4044">
      <w:pPr>
        <w:suppressAutoHyphens w:val="0"/>
        <w:autoSpaceDN/>
        <w:spacing w:after="200" w:line="240" w:lineRule="auto"/>
        <w:textAlignment w:val="auto"/>
        <w:rPr>
          <w:rFonts w:ascii="Times New Roman" w:hAnsi="Times New Roman" w:cs="Times New Roman"/>
          <w:sz w:val="28"/>
          <w:szCs w:val="28"/>
          <w:lang w:val="uk-UA"/>
        </w:rPr>
      </w:pPr>
      <w:bookmarkStart w:id="4" w:name="n190"/>
      <w:bookmarkEnd w:id="4"/>
      <w:r w:rsidRPr="001179B2">
        <w:rPr>
          <w:rFonts w:ascii="Times New Roman" w:hAnsi="Times New Roman" w:cs="Times New Roman"/>
          <w:sz w:val="28"/>
          <w:szCs w:val="28"/>
          <w:lang w:val="uk-UA"/>
        </w:rPr>
        <w:br w:type="page"/>
      </w:r>
    </w:p>
    <w:p w14:paraId="607C96D6" w14:textId="77777777" w:rsidR="00E62116" w:rsidRPr="001179B2" w:rsidRDefault="00E62116" w:rsidP="00DF4044">
      <w:pPr>
        <w:spacing w:line="240" w:lineRule="auto"/>
        <w:ind w:left="5664"/>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lastRenderedPageBreak/>
        <w:t xml:space="preserve">Додаток 3 </w:t>
      </w:r>
    </w:p>
    <w:p w14:paraId="26B37FB0" w14:textId="77777777" w:rsidR="00E62116" w:rsidRPr="001179B2" w:rsidRDefault="00E62116" w:rsidP="00DF4044">
      <w:pPr>
        <w:spacing w:line="240" w:lineRule="auto"/>
        <w:ind w:left="5664"/>
        <w:jc w:val="both"/>
        <w:rPr>
          <w:rFonts w:ascii="Times New Roman" w:hAnsi="Times New Roman" w:cs="Times New Roman"/>
          <w:sz w:val="28"/>
          <w:szCs w:val="28"/>
          <w:lang w:val="uk-UA"/>
        </w:rPr>
      </w:pPr>
      <w:r w:rsidRPr="001179B2">
        <w:rPr>
          <w:rFonts w:ascii="Times New Roman" w:hAnsi="Times New Roman" w:cs="Times New Roman"/>
          <w:sz w:val="28"/>
          <w:szCs w:val="28"/>
          <w:lang w:val="uk-UA"/>
        </w:rPr>
        <w:t>до Аналізу впливу регуляторного акта</w:t>
      </w:r>
    </w:p>
    <w:p w14:paraId="4F3644A6" w14:textId="77777777" w:rsidR="00E62116" w:rsidRPr="001179B2" w:rsidRDefault="00E62116" w:rsidP="00DF4044">
      <w:pPr>
        <w:spacing w:line="240" w:lineRule="auto"/>
        <w:jc w:val="both"/>
        <w:rPr>
          <w:rFonts w:ascii="Times New Roman" w:hAnsi="Times New Roman" w:cs="Times New Roman"/>
          <w:sz w:val="28"/>
          <w:szCs w:val="28"/>
          <w:lang w:val="uk-UA"/>
        </w:rPr>
      </w:pPr>
    </w:p>
    <w:p w14:paraId="6FF4799B" w14:textId="77777777" w:rsidR="00E62116" w:rsidRPr="001179B2" w:rsidRDefault="00E62116" w:rsidP="00DF4044">
      <w:pPr>
        <w:spacing w:line="240" w:lineRule="auto"/>
        <w:jc w:val="center"/>
        <w:rPr>
          <w:rFonts w:ascii="Times New Roman" w:hAnsi="Times New Roman" w:cs="Times New Roman"/>
          <w:sz w:val="28"/>
          <w:szCs w:val="28"/>
          <w:lang w:val="uk-UA"/>
        </w:rPr>
      </w:pPr>
      <w:r w:rsidRPr="001179B2">
        <w:rPr>
          <w:rFonts w:ascii="Times New Roman" w:hAnsi="Times New Roman" w:cs="Times New Roman"/>
          <w:sz w:val="28"/>
          <w:szCs w:val="28"/>
          <w:lang w:val="uk-UA"/>
        </w:rPr>
        <w:t>БЮДЖЕТНІ ВИТРАТИ</w:t>
      </w:r>
    </w:p>
    <w:p w14:paraId="10EA1F54" w14:textId="77777777" w:rsidR="00E62116" w:rsidRPr="001179B2" w:rsidRDefault="00E62116" w:rsidP="00DF4044">
      <w:pPr>
        <w:spacing w:line="240" w:lineRule="auto"/>
        <w:jc w:val="center"/>
        <w:rPr>
          <w:rFonts w:ascii="Times New Roman" w:hAnsi="Times New Roman" w:cs="Times New Roman"/>
          <w:sz w:val="28"/>
          <w:szCs w:val="28"/>
          <w:lang w:val="uk-UA"/>
        </w:rPr>
      </w:pPr>
      <w:r w:rsidRPr="001179B2">
        <w:rPr>
          <w:rFonts w:ascii="Times New Roman" w:hAnsi="Times New Roman" w:cs="Times New Roman"/>
          <w:sz w:val="28"/>
          <w:szCs w:val="28"/>
          <w:lang w:val="uk-UA"/>
        </w:rPr>
        <w:t>на адміністрування регулювання для суб’єктів великого і середнього підприємництва</w:t>
      </w:r>
    </w:p>
    <w:p w14:paraId="00C0A246" w14:textId="77777777" w:rsidR="00E62116" w:rsidRPr="001179B2" w:rsidRDefault="00E62116" w:rsidP="00DF4044">
      <w:pPr>
        <w:spacing w:line="240" w:lineRule="auto"/>
        <w:jc w:val="center"/>
        <w:rPr>
          <w:rFonts w:ascii="Times New Roman" w:hAnsi="Times New Roman" w:cs="Times New Roman"/>
          <w:sz w:val="28"/>
          <w:szCs w:val="28"/>
          <w:lang w:val="uk-UA"/>
        </w:rPr>
      </w:pPr>
    </w:p>
    <w:p w14:paraId="791E1937" w14:textId="77777777" w:rsidR="00E62116" w:rsidRPr="001179B2" w:rsidRDefault="00E62116" w:rsidP="00DF4044">
      <w:pPr>
        <w:spacing w:line="240" w:lineRule="auto"/>
        <w:ind w:firstLine="709"/>
        <w:jc w:val="both"/>
        <w:rPr>
          <w:rFonts w:ascii="Times New Roman" w:hAnsi="Times New Roman" w:cs="Times New Roman"/>
          <w:color w:val="auto"/>
          <w:sz w:val="24"/>
          <w:szCs w:val="24"/>
          <w:lang w:val="uk-UA"/>
        </w:rPr>
      </w:pPr>
      <w:r w:rsidRPr="001179B2">
        <w:rPr>
          <w:rFonts w:ascii="Times New Roman" w:hAnsi="Times New Roman" w:cs="Times New Roman"/>
          <w:color w:val="auto"/>
          <w:sz w:val="24"/>
          <w:szCs w:val="24"/>
          <w:lang w:val="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12BA3F42" w14:textId="77777777" w:rsidR="00E62116" w:rsidRPr="001179B2" w:rsidRDefault="00E62116" w:rsidP="00DF4044">
      <w:pPr>
        <w:spacing w:line="240" w:lineRule="auto"/>
        <w:ind w:firstLine="709"/>
        <w:jc w:val="both"/>
        <w:rPr>
          <w:rFonts w:ascii="Times New Roman" w:hAnsi="Times New Roman" w:cs="Times New Roman"/>
          <w:color w:val="auto"/>
          <w:sz w:val="24"/>
          <w:szCs w:val="24"/>
          <w:lang w:val="uk-UA"/>
        </w:rPr>
      </w:pPr>
    </w:p>
    <w:p w14:paraId="0E1971C4" w14:textId="77777777" w:rsidR="00E62116" w:rsidRPr="001179B2" w:rsidRDefault="00E62116" w:rsidP="00DF4044">
      <w:pPr>
        <w:spacing w:line="240" w:lineRule="auto"/>
        <w:ind w:firstLine="709"/>
        <w:jc w:val="both"/>
        <w:rPr>
          <w:rFonts w:ascii="Times New Roman" w:hAnsi="Times New Roman" w:cs="Times New Roman"/>
          <w:color w:val="auto"/>
          <w:sz w:val="24"/>
          <w:szCs w:val="24"/>
          <w:lang w:val="uk-UA"/>
        </w:rPr>
      </w:pPr>
      <w:r w:rsidRPr="001179B2">
        <w:rPr>
          <w:rFonts w:ascii="Times New Roman" w:hAnsi="Times New Roman" w:cs="Times New Roman"/>
          <w:color w:val="auto"/>
          <w:sz w:val="24"/>
          <w:szCs w:val="24"/>
          <w:lang w:val="uk-UA"/>
        </w:rPr>
        <w:t>Державний орган, для якого здійснюється розрахунок адміністрування регулювання: Державна служба якості освіти України.</w:t>
      </w:r>
    </w:p>
    <w:p w14:paraId="012E14D2" w14:textId="77777777" w:rsidR="00E62116" w:rsidRPr="001179B2" w:rsidRDefault="00E62116" w:rsidP="00DF4044">
      <w:pPr>
        <w:spacing w:line="240" w:lineRule="auto"/>
        <w:ind w:firstLine="709"/>
        <w:jc w:val="both"/>
        <w:rPr>
          <w:rFonts w:ascii="Times New Roman" w:hAnsi="Times New Roman" w:cs="Times New Roman"/>
          <w:color w:val="auto"/>
          <w:sz w:val="24"/>
          <w:szCs w:val="24"/>
          <w:lang w:val="uk-UA"/>
        </w:rPr>
      </w:pPr>
    </w:p>
    <w:p w14:paraId="5FE15AA2" w14:textId="77777777" w:rsidR="00E62116" w:rsidRPr="001179B2" w:rsidRDefault="00E62116" w:rsidP="00DF4044">
      <w:pPr>
        <w:spacing w:line="240" w:lineRule="auto"/>
        <w:ind w:firstLine="708"/>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Додаткових бюджетних витрат, пов’язаних з реалізацією цього нормативного акту, з боку Державної служби якості освіти України не передбачається. </w:t>
      </w:r>
    </w:p>
    <w:p w14:paraId="635EE858" w14:textId="77777777" w:rsidR="00E62116" w:rsidRPr="001179B2" w:rsidRDefault="00E62116" w:rsidP="00DF4044">
      <w:pPr>
        <w:spacing w:line="240" w:lineRule="auto"/>
        <w:ind w:firstLine="708"/>
        <w:jc w:val="both"/>
        <w:rPr>
          <w:rFonts w:ascii="Times New Roman" w:hAnsi="Times New Roman" w:cs="Times New Roman"/>
          <w:sz w:val="24"/>
          <w:szCs w:val="24"/>
          <w:lang w:val="uk-UA"/>
        </w:rPr>
      </w:pPr>
    </w:p>
    <w:p w14:paraId="4B046810" w14:textId="77777777" w:rsidR="00E62116" w:rsidRPr="001179B2" w:rsidRDefault="00E62116" w:rsidP="00DF4044">
      <w:pPr>
        <w:spacing w:line="240" w:lineRule="auto"/>
        <w:ind w:firstLine="709"/>
        <w:jc w:val="both"/>
        <w:rPr>
          <w:rFonts w:ascii="Times New Roman" w:eastAsia="Times New Roman" w:hAnsi="Times New Roman" w:cs="Times New Roman"/>
          <w:color w:val="auto"/>
          <w:sz w:val="24"/>
          <w:szCs w:val="24"/>
          <w:lang w:val="uk-UA"/>
        </w:rPr>
      </w:pPr>
      <w:r w:rsidRPr="001179B2">
        <w:rPr>
          <w:rFonts w:ascii="Times New Roman" w:eastAsia="Times New Roman" w:hAnsi="Times New Roman" w:cs="Times New Roman"/>
          <w:color w:val="auto"/>
          <w:sz w:val="24"/>
          <w:szCs w:val="24"/>
          <w:lang w:val="uk-UA"/>
        </w:rPr>
        <w:t>Витрати на виконання вимог регуляторного акт</w:t>
      </w:r>
      <w:r w:rsidR="005A069D" w:rsidRPr="001179B2">
        <w:rPr>
          <w:rFonts w:ascii="Times New Roman" w:eastAsia="Times New Roman" w:hAnsi="Times New Roman" w:cs="Times New Roman"/>
          <w:color w:val="auto"/>
          <w:sz w:val="24"/>
          <w:szCs w:val="24"/>
          <w:lang w:val="uk-UA"/>
        </w:rPr>
        <w:t>а</w:t>
      </w:r>
      <w:r w:rsidRPr="001179B2">
        <w:rPr>
          <w:rFonts w:ascii="Times New Roman" w:eastAsia="Times New Roman" w:hAnsi="Times New Roman" w:cs="Times New Roman"/>
          <w:color w:val="auto"/>
          <w:sz w:val="24"/>
          <w:szCs w:val="24"/>
          <w:lang w:val="uk-UA"/>
        </w:rPr>
        <w:t xml:space="preserve"> будуть відповідати витратам на заробітну плату співробітників, які за функціональними обов’язками уже здійснюють та в подальшому здійснюватимуть відповідні заходи.</w:t>
      </w:r>
    </w:p>
    <w:p w14:paraId="0318FD77" w14:textId="77777777" w:rsidR="00E62116" w:rsidRPr="001179B2" w:rsidRDefault="00E62116" w:rsidP="00DF4044">
      <w:pPr>
        <w:spacing w:line="240" w:lineRule="auto"/>
        <w:jc w:val="center"/>
        <w:rPr>
          <w:rFonts w:ascii="Times New Roman" w:hAnsi="Times New Roman" w:cs="Times New Roman"/>
          <w:sz w:val="28"/>
          <w:szCs w:val="28"/>
          <w:lang w:val="uk-UA"/>
        </w:rPr>
      </w:pPr>
    </w:p>
    <w:p w14:paraId="70C074ED" w14:textId="77777777" w:rsidR="00E62116" w:rsidRPr="001179B2" w:rsidRDefault="00E62116" w:rsidP="00DF4044">
      <w:pPr>
        <w:spacing w:line="240" w:lineRule="auto"/>
        <w:jc w:val="center"/>
        <w:rPr>
          <w:rFonts w:ascii="Times New Roman" w:hAnsi="Times New Roman" w:cs="Times New Roman"/>
          <w:sz w:val="28"/>
          <w:szCs w:val="28"/>
          <w:lang w:val="uk-UA"/>
        </w:rPr>
      </w:pPr>
      <w:r w:rsidRPr="001179B2">
        <w:rPr>
          <w:rFonts w:ascii="Times New Roman" w:hAnsi="Times New Roman" w:cs="Times New Roman"/>
          <w:sz w:val="28"/>
          <w:szCs w:val="28"/>
          <w:lang w:val="uk-UA"/>
        </w:rPr>
        <w:t>Державна служба якості освіти України</w:t>
      </w:r>
    </w:p>
    <w:p w14:paraId="225298DF" w14:textId="77777777" w:rsidR="00E62116" w:rsidRPr="001179B2" w:rsidRDefault="00E62116" w:rsidP="00DF4044">
      <w:pPr>
        <w:spacing w:line="240" w:lineRule="auto"/>
        <w:jc w:val="both"/>
        <w:rPr>
          <w:rFonts w:ascii="Times New Roman"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387"/>
        <w:gridCol w:w="1136"/>
        <w:gridCol w:w="1426"/>
        <w:gridCol w:w="1277"/>
        <w:gridCol w:w="1465"/>
        <w:gridCol w:w="1654"/>
      </w:tblGrid>
      <w:tr w:rsidR="00E62116" w:rsidRPr="00E62D4E" w14:paraId="5B6FE7ED" w14:textId="77777777" w:rsidTr="00FA7B01">
        <w:tc>
          <w:tcPr>
            <w:tcW w:w="1277" w:type="pct"/>
          </w:tcPr>
          <w:p w14:paraId="55BF554A" w14:textId="77777777" w:rsidR="00E62116" w:rsidRPr="001179B2" w:rsidRDefault="00E62116" w:rsidP="00DF4044">
            <w:pPr>
              <w:spacing w:line="240" w:lineRule="auto"/>
              <w:jc w:val="center"/>
              <w:rPr>
                <w:rFonts w:ascii="Times New Roman" w:hAnsi="Times New Roman" w:cs="Times New Roman"/>
                <w:sz w:val="24"/>
                <w:szCs w:val="24"/>
                <w:lang w:val="uk-UA"/>
              </w:rPr>
            </w:pPr>
            <w:bookmarkStart w:id="5" w:name="n191"/>
            <w:bookmarkStart w:id="6" w:name="n192"/>
            <w:bookmarkStart w:id="7" w:name="n194"/>
            <w:bookmarkEnd w:id="5"/>
            <w:bookmarkEnd w:id="6"/>
            <w:bookmarkEnd w:id="7"/>
            <w:r w:rsidRPr="001179B2">
              <w:rPr>
                <w:rFonts w:ascii="Times New Roman" w:hAnsi="Times New Roman" w:cs="Times New Roman"/>
                <w:sz w:val="24"/>
                <w:szCs w:val="24"/>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608" w:type="pct"/>
          </w:tcPr>
          <w:p w14:paraId="2837CD27"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Планові витрати часу на процедуру</w:t>
            </w:r>
          </w:p>
        </w:tc>
        <w:tc>
          <w:tcPr>
            <w:tcW w:w="763" w:type="pct"/>
          </w:tcPr>
          <w:p w14:paraId="7FC61FC4"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Вартість часу співробітника органу державної влади відповідної категорії (заробітна плата)</w:t>
            </w:r>
          </w:p>
        </w:tc>
        <w:tc>
          <w:tcPr>
            <w:tcW w:w="683" w:type="pct"/>
          </w:tcPr>
          <w:p w14:paraId="6EBD90CB"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Оцінка кількості процедур за рік, що припадають на одного суб’єкта</w:t>
            </w:r>
          </w:p>
        </w:tc>
        <w:tc>
          <w:tcPr>
            <w:tcW w:w="784" w:type="pct"/>
          </w:tcPr>
          <w:p w14:paraId="7968BFD7"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Оцінка кількості суб’єктів, що підпадають під дію процедури регулювання</w:t>
            </w:r>
          </w:p>
        </w:tc>
        <w:tc>
          <w:tcPr>
            <w:tcW w:w="885" w:type="pct"/>
          </w:tcPr>
          <w:p w14:paraId="4294A44D"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Витрати на </w:t>
            </w:r>
            <w:proofErr w:type="spellStart"/>
            <w:r w:rsidRPr="001179B2">
              <w:rPr>
                <w:rFonts w:ascii="Times New Roman" w:hAnsi="Times New Roman" w:cs="Times New Roman"/>
                <w:sz w:val="24"/>
                <w:szCs w:val="24"/>
                <w:lang w:val="uk-UA"/>
              </w:rPr>
              <w:t>адміністру-вання</w:t>
            </w:r>
            <w:proofErr w:type="spellEnd"/>
            <w:r w:rsidRPr="001179B2">
              <w:rPr>
                <w:rFonts w:ascii="Times New Roman" w:hAnsi="Times New Roman" w:cs="Times New Roman"/>
                <w:sz w:val="24"/>
                <w:szCs w:val="24"/>
                <w:lang w:val="uk-UA"/>
              </w:rPr>
              <w:t xml:space="preserve"> регулювання* (за рік), гривень</w:t>
            </w:r>
          </w:p>
        </w:tc>
      </w:tr>
      <w:tr w:rsidR="00E62116" w:rsidRPr="001179B2" w14:paraId="008AA56C" w14:textId="77777777" w:rsidTr="00FA7B01">
        <w:tc>
          <w:tcPr>
            <w:tcW w:w="1277" w:type="pct"/>
          </w:tcPr>
          <w:p w14:paraId="6F2153A6"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1. Облік суб’єкта господарювання</w:t>
            </w:r>
            <w:r w:rsidR="005A069D" w:rsidRPr="001179B2">
              <w:rPr>
                <w:rFonts w:ascii="Times New Roman" w:hAnsi="Times New Roman" w:cs="Times New Roman"/>
                <w:sz w:val="24"/>
                <w:szCs w:val="24"/>
                <w:lang w:val="uk-UA"/>
              </w:rPr>
              <w:t>,</w:t>
            </w:r>
            <w:r w:rsidRPr="001179B2">
              <w:rPr>
                <w:rFonts w:ascii="Times New Roman" w:hAnsi="Times New Roman" w:cs="Times New Roman"/>
                <w:sz w:val="24"/>
                <w:szCs w:val="24"/>
                <w:lang w:val="uk-UA"/>
              </w:rPr>
              <w:t xml:space="preserve"> що перебуває у сфері регулювання</w:t>
            </w:r>
          </w:p>
        </w:tc>
        <w:tc>
          <w:tcPr>
            <w:tcW w:w="608" w:type="pct"/>
            <w:vAlign w:val="center"/>
          </w:tcPr>
          <w:p w14:paraId="6C92FE5D"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63" w:type="pct"/>
            <w:vAlign w:val="center"/>
          </w:tcPr>
          <w:p w14:paraId="5E3527C0"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683" w:type="pct"/>
            <w:vAlign w:val="center"/>
          </w:tcPr>
          <w:p w14:paraId="3842D53B"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84" w:type="pct"/>
            <w:vAlign w:val="center"/>
          </w:tcPr>
          <w:p w14:paraId="76FB0229"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885" w:type="pct"/>
            <w:vAlign w:val="center"/>
          </w:tcPr>
          <w:p w14:paraId="168ED4E9"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r>
      <w:tr w:rsidR="00E62116" w:rsidRPr="001179B2" w14:paraId="70D7C23B" w14:textId="77777777" w:rsidTr="00FA7B01">
        <w:tc>
          <w:tcPr>
            <w:tcW w:w="1277" w:type="pct"/>
          </w:tcPr>
          <w:p w14:paraId="61F8CB3E"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2. Поточний контроль за суб’єктом господарювання що перебуває у сфері регулювання, у тому числі:</w:t>
            </w:r>
          </w:p>
          <w:p w14:paraId="2099ED68"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камеральні</w:t>
            </w:r>
          </w:p>
          <w:p w14:paraId="4C357297"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виїзні</w:t>
            </w:r>
          </w:p>
        </w:tc>
        <w:tc>
          <w:tcPr>
            <w:tcW w:w="608" w:type="pct"/>
            <w:vAlign w:val="center"/>
          </w:tcPr>
          <w:p w14:paraId="3979F375"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63" w:type="pct"/>
            <w:vAlign w:val="center"/>
          </w:tcPr>
          <w:p w14:paraId="167D98DD"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683" w:type="pct"/>
            <w:vAlign w:val="center"/>
          </w:tcPr>
          <w:p w14:paraId="6B5E0317"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84" w:type="pct"/>
            <w:vAlign w:val="center"/>
          </w:tcPr>
          <w:p w14:paraId="10A97B06"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885" w:type="pct"/>
            <w:vAlign w:val="center"/>
          </w:tcPr>
          <w:p w14:paraId="50E15DC9"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r>
      <w:tr w:rsidR="00E62116" w:rsidRPr="001179B2" w14:paraId="1A2A9BFA" w14:textId="77777777" w:rsidTr="00FA7B01">
        <w:tc>
          <w:tcPr>
            <w:tcW w:w="1277" w:type="pct"/>
          </w:tcPr>
          <w:p w14:paraId="204345F3"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3. Підготовка, затвердження та опрацювання одного окремого акта про порушення вимог регулювання</w:t>
            </w:r>
          </w:p>
        </w:tc>
        <w:tc>
          <w:tcPr>
            <w:tcW w:w="608" w:type="pct"/>
            <w:vAlign w:val="center"/>
          </w:tcPr>
          <w:p w14:paraId="4FDF4023"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63" w:type="pct"/>
            <w:vAlign w:val="center"/>
          </w:tcPr>
          <w:p w14:paraId="42AC55C8"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683" w:type="pct"/>
            <w:vAlign w:val="center"/>
          </w:tcPr>
          <w:p w14:paraId="6863B60A"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84" w:type="pct"/>
            <w:vAlign w:val="center"/>
          </w:tcPr>
          <w:p w14:paraId="544B9C69"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885" w:type="pct"/>
            <w:vAlign w:val="center"/>
          </w:tcPr>
          <w:p w14:paraId="73BC4EDE"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r>
      <w:tr w:rsidR="00E62116" w:rsidRPr="001179B2" w14:paraId="658E782E" w14:textId="77777777" w:rsidTr="00FA7B01">
        <w:tc>
          <w:tcPr>
            <w:tcW w:w="1277" w:type="pct"/>
          </w:tcPr>
          <w:p w14:paraId="6FAE8D13"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lastRenderedPageBreak/>
              <w:t>4. Реалізація одного окремого рішення щодо порушення вимог регулювання</w:t>
            </w:r>
          </w:p>
        </w:tc>
        <w:tc>
          <w:tcPr>
            <w:tcW w:w="608" w:type="pct"/>
            <w:vAlign w:val="center"/>
          </w:tcPr>
          <w:p w14:paraId="16670824"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63" w:type="pct"/>
            <w:vAlign w:val="center"/>
          </w:tcPr>
          <w:p w14:paraId="09B018D6"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683" w:type="pct"/>
            <w:vAlign w:val="center"/>
          </w:tcPr>
          <w:p w14:paraId="43B56F5B"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84" w:type="pct"/>
            <w:vAlign w:val="center"/>
          </w:tcPr>
          <w:p w14:paraId="227DD6F1"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885" w:type="pct"/>
            <w:vAlign w:val="center"/>
          </w:tcPr>
          <w:p w14:paraId="50ABB012"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r>
      <w:tr w:rsidR="00E62116" w:rsidRPr="001179B2" w14:paraId="635AE68F" w14:textId="77777777" w:rsidTr="00FA7B01">
        <w:tc>
          <w:tcPr>
            <w:tcW w:w="1277" w:type="pct"/>
          </w:tcPr>
          <w:p w14:paraId="25A56E28"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5. Оскарження одного окремого рішення суб’єктами господарювання</w:t>
            </w:r>
          </w:p>
        </w:tc>
        <w:tc>
          <w:tcPr>
            <w:tcW w:w="608" w:type="pct"/>
            <w:vAlign w:val="center"/>
          </w:tcPr>
          <w:p w14:paraId="567FA828"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63" w:type="pct"/>
            <w:vAlign w:val="center"/>
          </w:tcPr>
          <w:p w14:paraId="7A62E623"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683" w:type="pct"/>
            <w:vAlign w:val="center"/>
          </w:tcPr>
          <w:p w14:paraId="3F23C43A"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84" w:type="pct"/>
            <w:vAlign w:val="center"/>
          </w:tcPr>
          <w:p w14:paraId="5A2BB41E"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885" w:type="pct"/>
            <w:vAlign w:val="center"/>
          </w:tcPr>
          <w:p w14:paraId="59A9D4F0"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r>
      <w:tr w:rsidR="00E62116" w:rsidRPr="001179B2" w14:paraId="46F4DFFC" w14:textId="77777777" w:rsidTr="00FA7B01">
        <w:tc>
          <w:tcPr>
            <w:tcW w:w="1277" w:type="pct"/>
          </w:tcPr>
          <w:p w14:paraId="314BE0F4"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6. Підготовка звітності за результатами регулювання</w:t>
            </w:r>
          </w:p>
        </w:tc>
        <w:tc>
          <w:tcPr>
            <w:tcW w:w="608" w:type="pct"/>
            <w:vAlign w:val="center"/>
          </w:tcPr>
          <w:p w14:paraId="4701C4C9"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63" w:type="pct"/>
            <w:vAlign w:val="center"/>
          </w:tcPr>
          <w:p w14:paraId="29E72C30"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683" w:type="pct"/>
            <w:vAlign w:val="center"/>
          </w:tcPr>
          <w:p w14:paraId="2496E6C2"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84" w:type="pct"/>
            <w:vAlign w:val="center"/>
          </w:tcPr>
          <w:p w14:paraId="4C1F7898"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885" w:type="pct"/>
            <w:vAlign w:val="center"/>
          </w:tcPr>
          <w:p w14:paraId="6E622A12"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r>
      <w:tr w:rsidR="00E62116" w:rsidRPr="001179B2" w14:paraId="4EC2479A" w14:textId="77777777" w:rsidTr="00FA7B01">
        <w:tc>
          <w:tcPr>
            <w:tcW w:w="1277" w:type="pct"/>
          </w:tcPr>
          <w:p w14:paraId="3B41B2AB"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7.Інші адміністративні процедури</w:t>
            </w:r>
          </w:p>
        </w:tc>
        <w:tc>
          <w:tcPr>
            <w:tcW w:w="608" w:type="pct"/>
            <w:vAlign w:val="center"/>
          </w:tcPr>
          <w:p w14:paraId="62702814"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63" w:type="pct"/>
            <w:vAlign w:val="center"/>
          </w:tcPr>
          <w:p w14:paraId="03BE7EEE"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683" w:type="pct"/>
            <w:vAlign w:val="center"/>
          </w:tcPr>
          <w:p w14:paraId="3E182702"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84" w:type="pct"/>
            <w:vAlign w:val="center"/>
          </w:tcPr>
          <w:p w14:paraId="3F9D5A8F"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885" w:type="pct"/>
            <w:vAlign w:val="center"/>
          </w:tcPr>
          <w:p w14:paraId="12A7E9D5"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r>
      <w:tr w:rsidR="00E62116" w:rsidRPr="001179B2" w14:paraId="5AA6836A" w14:textId="77777777" w:rsidTr="00FA7B01">
        <w:tc>
          <w:tcPr>
            <w:tcW w:w="1277" w:type="pct"/>
          </w:tcPr>
          <w:p w14:paraId="0E41B3C4" w14:textId="77777777" w:rsidR="00E62116" w:rsidRPr="001179B2" w:rsidRDefault="005A069D"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 xml:space="preserve">8. </w:t>
            </w:r>
            <w:r w:rsidR="00E62116" w:rsidRPr="001179B2">
              <w:rPr>
                <w:rFonts w:ascii="Times New Roman" w:hAnsi="Times New Roman" w:cs="Times New Roman"/>
                <w:sz w:val="24"/>
                <w:szCs w:val="24"/>
                <w:lang w:val="uk-UA"/>
              </w:rPr>
              <w:t>Облік суб’єкта господарювання, що перебуває у сфері регулювання</w:t>
            </w:r>
          </w:p>
        </w:tc>
        <w:tc>
          <w:tcPr>
            <w:tcW w:w="608" w:type="pct"/>
            <w:vAlign w:val="center"/>
          </w:tcPr>
          <w:p w14:paraId="099A315C"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63" w:type="pct"/>
            <w:vAlign w:val="center"/>
          </w:tcPr>
          <w:p w14:paraId="7B645103"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683" w:type="pct"/>
            <w:vAlign w:val="center"/>
          </w:tcPr>
          <w:p w14:paraId="5284E1F1"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84" w:type="pct"/>
            <w:vAlign w:val="center"/>
          </w:tcPr>
          <w:p w14:paraId="4EDCAC26"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885" w:type="pct"/>
            <w:vAlign w:val="center"/>
          </w:tcPr>
          <w:p w14:paraId="02C5003B"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r>
      <w:tr w:rsidR="00E62116" w:rsidRPr="001179B2" w14:paraId="747D095B" w14:textId="77777777" w:rsidTr="00FA7B01">
        <w:tc>
          <w:tcPr>
            <w:tcW w:w="1277" w:type="pct"/>
          </w:tcPr>
          <w:p w14:paraId="410C6B40"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Разом за рік</w:t>
            </w:r>
          </w:p>
        </w:tc>
        <w:tc>
          <w:tcPr>
            <w:tcW w:w="608" w:type="pct"/>
          </w:tcPr>
          <w:p w14:paraId="147B5CC1"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63" w:type="pct"/>
          </w:tcPr>
          <w:p w14:paraId="5BA21E2B"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683" w:type="pct"/>
          </w:tcPr>
          <w:p w14:paraId="756C5174"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84" w:type="pct"/>
          </w:tcPr>
          <w:p w14:paraId="577DB651"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885" w:type="pct"/>
          </w:tcPr>
          <w:p w14:paraId="0CC81FEA"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r>
      <w:tr w:rsidR="00E62116" w:rsidRPr="001179B2" w14:paraId="3B100BEE" w14:textId="77777777" w:rsidTr="00FA7B01">
        <w:tc>
          <w:tcPr>
            <w:tcW w:w="1277" w:type="pct"/>
          </w:tcPr>
          <w:p w14:paraId="7BDCCE7B" w14:textId="77777777" w:rsidR="00E62116" w:rsidRPr="001179B2" w:rsidRDefault="00E62116" w:rsidP="00DF4044">
            <w:pPr>
              <w:spacing w:line="240" w:lineRule="auto"/>
              <w:jc w:val="both"/>
              <w:rPr>
                <w:rFonts w:ascii="Times New Roman" w:hAnsi="Times New Roman" w:cs="Times New Roman"/>
                <w:sz w:val="24"/>
                <w:szCs w:val="24"/>
                <w:lang w:val="uk-UA"/>
              </w:rPr>
            </w:pPr>
            <w:r w:rsidRPr="001179B2">
              <w:rPr>
                <w:rFonts w:ascii="Times New Roman" w:hAnsi="Times New Roman" w:cs="Times New Roman"/>
                <w:sz w:val="24"/>
                <w:szCs w:val="24"/>
                <w:lang w:val="uk-UA"/>
              </w:rPr>
              <w:t>Сумарно за п’ять років</w:t>
            </w:r>
          </w:p>
        </w:tc>
        <w:tc>
          <w:tcPr>
            <w:tcW w:w="608" w:type="pct"/>
          </w:tcPr>
          <w:p w14:paraId="60EA5093"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63" w:type="pct"/>
          </w:tcPr>
          <w:p w14:paraId="1821F60A"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683" w:type="pct"/>
          </w:tcPr>
          <w:p w14:paraId="69E8A0EB"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784" w:type="pct"/>
          </w:tcPr>
          <w:p w14:paraId="1C72358F"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c>
          <w:tcPr>
            <w:tcW w:w="885" w:type="pct"/>
          </w:tcPr>
          <w:p w14:paraId="647D6EC9" w14:textId="77777777" w:rsidR="00E62116" w:rsidRPr="001179B2" w:rsidRDefault="00E62116" w:rsidP="00DF4044">
            <w:pPr>
              <w:spacing w:line="240" w:lineRule="auto"/>
              <w:jc w:val="center"/>
              <w:rPr>
                <w:rFonts w:ascii="Times New Roman" w:hAnsi="Times New Roman" w:cs="Times New Roman"/>
                <w:sz w:val="24"/>
                <w:szCs w:val="24"/>
                <w:lang w:val="uk-UA"/>
              </w:rPr>
            </w:pPr>
            <w:r w:rsidRPr="001179B2">
              <w:rPr>
                <w:rFonts w:ascii="Times New Roman" w:hAnsi="Times New Roman" w:cs="Times New Roman"/>
                <w:sz w:val="24"/>
                <w:szCs w:val="24"/>
                <w:lang w:val="uk-UA"/>
              </w:rPr>
              <w:t>-</w:t>
            </w:r>
          </w:p>
        </w:tc>
      </w:tr>
    </w:tbl>
    <w:p w14:paraId="71A68D6A" w14:textId="77777777" w:rsidR="00E62116" w:rsidRPr="001179B2" w:rsidRDefault="00E62116" w:rsidP="00DF4044">
      <w:pPr>
        <w:spacing w:line="240" w:lineRule="auto"/>
        <w:jc w:val="both"/>
        <w:rPr>
          <w:rFonts w:ascii="Times New Roman" w:hAnsi="Times New Roman" w:cs="Times New Roman"/>
          <w:sz w:val="28"/>
          <w:szCs w:val="28"/>
          <w:lang w:val="uk-UA"/>
        </w:rPr>
      </w:pPr>
      <w:bookmarkStart w:id="8" w:name="n195"/>
      <w:bookmarkEnd w:id="8"/>
    </w:p>
    <w:p w14:paraId="1D8C0130" w14:textId="77777777" w:rsidR="006D354F" w:rsidRPr="001179B2" w:rsidRDefault="006D354F" w:rsidP="00DF4044">
      <w:pPr>
        <w:spacing w:line="240" w:lineRule="auto"/>
        <w:rPr>
          <w:lang w:val="uk-UA"/>
        </w:rPr>
      </w:pPr>
    </w:p>
    <w:sectPr w:rsidR="006D354F" w:rsidRPr="001179B2" w:rsidSect="00FA7B01">
      <w:headerReference w:type="default" r:id="rId6"/>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8F2A5" w14:textId="77777777" w:rsidR="00B52211" w:rsidRDefault="00B52211">
      <w:pPr>
        <w:spacing w:line="240" w:lineRule="auto"/>
      </w:pPr>
      <w:r>
        <w:separator/>
      </w:r>
    </w:p>
  </w:endnote>
  <w:endnote w:type="continuationSeparator" w:id="0">
    <w:p w14:paraId="3405E370" w14:textId="77777777" w:rsidR="00B52211" w:rsidRDefault="00B52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ngLiU_HKSCS">
    <w:altName w:val="Malgun Gothic Semilight"/>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A3D2B" w14:textId="77777777" w:rsidR="00B52211" w:rsidRDefault="00B52211">
      <w:pPr>
        <w:spacing w:line="240" w:lineRule="auto"/>
      </w:pPr>
      <w:r>
        <w:separator/>
      </w:r>
    </w:p>
  </w:footnote>
  <w:footnote w:type="continuationSeparator" w:id="0">
    <w:p w14:paraId="5414CCE3" w14:textId="77777777" w:rsidR="00B52211" w:rsidRDefault="00B522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A120C" w14:textId="77777777" w:rsidR="00FA7B01" w:rsidRPr="00226E8A" w:rsidRDefault="00FA7B01" w:rsidP="00FA7B01">
    <w:pPr>
      <w:pStyle w:val="a4"/>
      <w:jc w:val="center"/>
      <w:rPr>
        <w:rStyle w:val="a7"/>
      </w:rPr>
    </w:pPr>
    <w:r w:rsidRPr="00530588">
      <w:rPr>
        <w:rFonts w:ascii="Times New Roman" w:hAnsi="Times New Roman" w:cs="Times New Roman"/>
      </w:rPr>
      <w:fldChar w:fldCharType="begin"/>
    </w:r>
    <w:r w:rsidRPr="00530588">
      <w:rPr>
        <w:rFonts w:ascii="Times New Roman" w:hAnsi="Times New Roman" w:cs="Times New Roman"/>
      </w:rPr>
      <w:instrText>PAGE   \* MERGEFORMAT</w:instrText>
    </w:r>
    <w:r w:rsidRPr="00530588">
      <w:rPr>
        <w:rFonts w:ascii="Times New Roman" w:hAnsi="Times New Roman" w:cs="Times New Roman"/>
      </w:rPr>
      <w:fldChar w:fldCharType="separate"/>
    </w:r>
    <w:r w:rsidR="008774C8" w:rsidRPr="008774C8">
      <w:rPr>
        <w:rFonts w:ascii="Times New Roman" w:hAnsi="Times New Roman" w:cs="Times New Roman"/>
        <w:noProof/>
        <w:lang w:val="ru-RU"/>
      </w:rPr>
      <w:t>13</w:t>
    </w:r>
    <w:r w:rsidRPr="00530588">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16"/>
    <w:rsid w:val="000B4A4D"/>
    <w:rsid w:val="001179B2"/>
    <w:rsid w:val="00122217"/>
    <w:rsid w:val="001264F8"/>
    <w:rsid w:val="002278DD"/>
    <w:rsid w:val="00376DDC"/>
    <w:rsid w:val="003A6C75"/>
    <w:rsid w:val="003D3FA0"/>
    <w:rsid w:val="003E1E44"/>
    <w:rsid w:val="004108D4"/>
    <w:rsid w:val="0049342B"/>
    <w:rsid w:val="005A069D"/>
    <w:rsid w:val="00665D2A"/>
    <w:rsid w:val="00671F6C"/>
    <w:rsid w:val="006D354F"/>
    <w:rsid w:val="006E3E3F"/>
    <w:rsid w:val="00780695"/>
    <w:rsid w:val="007C2A06"/>
    <w:rsid w:val="007E7435"/>
    <w:rsid w:val="008774C8"/>
    <w:rsid w:val="008A6DC3"/>
    <w:rsid w:val="009908B0"/>
    <w:rsid w:val="00B27F46"/>
    <w:rsid w:val="00B52211"/>
    <w:rsid w:val="00C348C0"/>
    <w:rsid w:val="00C51911"/>
    <w:rsid w:val="00C77D87"/>
    <w:rsid w:val="00C97693"/>
    <w:rsid w:val="00D2683F"/>
    <w:rsid w:val="00D276F6"/>
    <w:rsid w:val="00DD3EF5"/>
    <w:rsid w:val="00DF4044"/>
    <w:rsid w:val="00DF4474"/>
    <w:rsid w:val="00E62116"/>
    <w:rsid w:val="00E62D4E"/>
    <w:rsid w:val="00FA7B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39A5"/>
  <w15:chartTrackingRefBased/>
  <w15:docId w15:val="{4FD8DAD6-D5B1-4098-AB3C-A80B9916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62116"/>
    <w:pPr>
      <w:suppressAutoHyphens/>
      <w:autoSpaceDN w:val="0"/>
      <w:spacing w:after="0" w:line="276" w:lineRule="auto"/>
      <w:textAlignment w:val="baseline"/>
    </w:pPr>
    <w:rPr>
      <w:rFonts w:ascii="Arial" w:eastAsia="Arial" w:hAnsi="Arial" w:cs="Arial"/>
      <w:color w:val="000000"/>
      <w:kern w:val="3"/>
      <w:lang w:val="en-US" w:eastAsia="zh-CN" w:bidi="hi-IN"/>
    </w:rPr>
  </w:style>
  <w:style w:type="paragraph" w:styleId="1">
    <w:name w:val="heading 1"/>
    <w:basedOn w:val="a"/>
    <w:next w:val="a"/>
    <w:link w:val="10"/>
    <w:uiPriority w:val="99"/>
    <w:qFormat/>
    <w:rsid w:val="00E62116"/>
    <w:pPr>
      <w:keepNext/>
      <w:overflowPunct w:val="0"/>
      <w:autoSpaceDE w:val="0"/>
      <w:adjustRightInd w:val="0"/>
      <w:outlineLvl w:val="0"/>
    </w:pPr>
    <w:rPr>
      <w:rFonts w:ascii="Times New Roman CYR" w:hAnsi="Times New Roman CYR"/>
      <w:b/>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2116"/>
    <w:rPr>
      <w:rFonts w:ascii="Times New Roman CYR" w:eastAsia="Arial" w:hAnsi="Times New Roman CYR" w:cs="Arial"/>
      <w:b/>
      <w:caps/>
      <w:color w:val="000000"/>
      <w:kern w:val="3"/>
      <w:szCs w:val="28"/>
      <w:lang w:val="en-US" w:eastAsia="zh-CN" w:bidi="hi-IN"/>
    </w:rPr>
  </w:style>
  <w:style w:type="paragraph" w:styleId="a3">
    <w:name w:val="No Spacing"/>
    <w:uiPriority w:val="1"/>
    <w:qFormat/>
    <w:rsid w:val="00E62116"/>
    <w:pPr>
      <w:spacing w:after="0" w:line="240" w:lineRule="auto"/>
    </w:pPr>
    <w:rPr>
      <w:lang w:val="ru-RU"/>
    </w:rPr>
  </w:style>
  <w:style w:type="paragraph" w:styleId="a4">
    <w:name w:val="header"/>
    <w:basedOn w:val="a"/>
    <w:link w:val="a5"/>
    <w:uiPriority w:val="99"/>
    <w:rsid w:val="00E62116"/>
  </w:style>
  <w:style w:type="character" w:customStyle="1" w:styleId="a5">
    <w:name w:val="Верхній колонтитул Знак"/>
    <w:basedOn w:val="a0"/>
    <w:link w:val="a4"/>
    <w:uiPriority w:val="99"/>
    <w:rsid w:val="00E62116"/>
    <w:rPr>
      <w:rFonts w:ascii="Arial" w:eastAsia="Arial" w:hAnsi="Arial" w:cs="Arial"/>
      <w:color w:val="000000"/>
      <w:kern w:val="3"/>
      <w:lang w:val="en-US" w:eastAsia="zh-CN" w:bidi="hi-IN"/>
    </w:rPr>
  </w:style>
  <w:style w:type="character" w:customStyle="1" w:styleId="rvts0">
    <w:name w:val="rvts0"/>
    <w:basedOn w:val="a0"/>
    <w:rsid w:val="00E62116"/>
  </w:style>
  <w:style w:type="paragraph" w:styleId="a6">
    <w:name w:val="Normal (Web)"/>
    <w:basedOn w:val="a"/>
    <w:uiPriority w:val="99"/>
    <w:rsid w:val="00E62116"/>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val="ru-RU" w:eastAsia="ru-RU" w:bidi="ar-SA"/>
    </w:rPr>
  </w:style>
  <w:style w:type="paragraph" w:customStyle="1" w:styleId="rvps14">
    <w:name w:val="rvps14"/>
    <w:basedOn w:val="a"/>
    <w:rsid w:val="00E62116"/>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val="uk-UA" w:eastAsia="uk-UA" w:bidi="ar-SA"/>
    </w:rPr>
  </w:style>
  <w:style w:type="character" w:styleId="a7">
    <w:name w:val="Emphasis"/>
    <w:basedOn w:val="a0"/>
    <w:uiPriority w:val="20"/>
    <w:qFormat/>
    <w:rsid w:val="00E62116"/>
    <w:rPr>
      <w:i/>
      <w:iCs/>
    </w:rPr>
  </w:style>
  <w:style w:type="character" w:customStyle="1" w:styleId="rvts9">
    <w:name w:val="rvts9"/>
    <w:basedOn w:val="a0"/>
    <w:rsid w:val="00E62116"/>
  </w:style>
  <w:style w:type="table" w:styleId="a8">
    <w:name w:val="Table Grid"/>
    <w:basedOn w:val="a1"/>
    <w:uiPriority w:val="59"/>
    <w:rsid w:val="00E62116"/>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3E1E44"/>
    <w:pPr>
      <w:widowControl w:val="0"/>
      <w:suppressAutoHyphens w:val="0"/>
      <w:autoSpaceDE w:val="0"/>
      <w:spacing w:line="240" w:lineRule="auto"/>
      <w:textAlignment w:val="auto"/>
    </w:pPr>
    <w:rPr>
      <w:rFonts w:ascii="Times New Roman" w:eastAsia="Times New Roman" w:hAnsi="Times New Roman" w:cs="Times New Roman"/>
      <w:color w:val="auto"/>
      <w:kern w:val="0"/>
      <w:lang w:val="uk-UA" w:eastAsia="en-US" w:bidi="ar-SA"/>
    </w:rPr>
  </w:style>
  <w:style w:type="paragraph" w:styleId="a9">
    <w:name w:val="List Paragraph"/>
    <w:basedOn w:val="a"/>
    <w:uiPriority w:val="34"/>
    <w:qFormat/>
    <w:rsid w:val="00C97693"/>
    <w:pPr>
      <w:ind w:left="720"/>
      <w:contextualSpacing/>
    </w:pPr>
    <w:rPr>
      <w:rFonts w:cs="Mangal"/>
      <w:szCs w:val="20"/>
    </w:rPr>
  </w:style>
  <w:style w:type="paragraph" w:styleId="aa">
    <w:name w:val="Balloon Text"/>
    <w:basedOn w:val="a"/>
    <w:link w:val="ab"/>
    <w:uiPriority w:val="99"/>
    <w:semiHidden/>
    <w:unhideWhenUsed/>
    <w:rsid w:val="004108D4"/>
    <w:pPr>
      <w:spacing w:line="240" w:lineRule="auto"/>
    </w:pPr>
    <w:rPr>
      <w:rFonts w:ascii="Segoe UI" w:hAnsi="Segoe UI" w:cs="Mangal"/>
      <w:sz w:val="18"/>
      <w:szCs w:val="16"/>
    </w:rPr>
  </w:style>
  <w:style w:type="character" w:customStyle="1" w:styleId="ab">
    <w:name w:val="Текст у виносці Знак"/>
    <w:basedOn w:val="a0"/>
    <w:link w:val="aa"/>
    <w:uiPriority w:val="99"/>
    <w:semiHidden/>
    <w:rsid w:val="004108D4"/>
    <w:rPr>
      <w:rFonts w:ascii="Segoe UI" w:eastAsia="Arial" w:hAnsi="Segoe UI" w:cs="Mangal"/>
      <w:color w:val="000000"/>
      <w:kern w:val="3"/>
      <w:sz w:val="18"/>
      <w:szCs w:val="16"/>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18564</Words>
  <Characters>10583</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Furmaniuk.Valentyna</dc:creator>
  <cp:keywords/>
  <dc:description/>
  <cp:lastModifiedBy>Furmaniuk.Valentyna</cp:lastModifiedBy>
  <cp:revision>6</cp:revision>
  <cp:lastPrinted>2023-10-25T06:11:00Z</cp:lastPrinted>
  <dcterms:created xsi:type="dcterms:W3CDTF">2023-10-25T06:54:00Z</dcterms:created>
  <dcterms:modified xsi:type="dcterms:W3CDTF">2023-10-25T09:01:00Z</dcterms:modified>
</cp:coreProperties>
</file>