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pPr>
    </w:p>
    <w:p>
      <w:pPr>
        <w:spacing w:lineRule="auto" w:line="240" w:after="0" w:beforeAutospacing="0" w:afterAutospacing="0"/>
      </w:pPr>
    </w:p>
    <w:p>
      <w:pPr>
        <w:spacing w:lineRule="auto" w:line="240" w:after="0" w:beforeAutospacing="0" w:afterAutospacing="0"/>
        <w:jc w:val="right"/>
        <w:rPr>
          <w:rFonts w:ascii="Times New Roman" w:hAnsi="Times New Roman"/>
          <w:sz w:val="28"/>
          <w:szCs w:val="28"/>
        </w:rPr>
      </w:pPr>
      <w:r>
        <w:rPr>
          <w:rFonts w:ascii="Times New Roman" w:hAnsi="Times New Roman"/>
          <w:sz w:val="28"/>
          <w:szCs w:val="28"/>
        </w:rPr>
        <w:t>Проєкт</w:t>
      </w:r>
    </w:p>
    <w:p>
      <w:pPr>
        <w:spacing w:lineRule="auto" w:line="240" w:after="0" w:beforeAutospacing="0" w:afterAutospacing="0"/>
        <w:ind w:right="4961"/>
        <w:rPr>
          <w:rFonts w:ascii="Times New Roman" w:hAnsi="Times New Roman"/>
          <w:sz w:val="28"/>
          <w:szCs w:val="28"/>
        </w:rPr>
      </w:pPr>
    </w:p>
    <w:p>
      <w:pPr>
        <w:spacing w:lineRule="auto" w:line="240" w:after="0" w:beforeAutospacing="0" w:afterAutospacing="0"/>
        <w:ind w:right="4961"/>
        <w:rPr>
          <w:rFonts w:ascii="Times New Roman" w:hAnsi="Times New Roman"/>
          <w:sz w:val="28"/>
          <w:szCs w:val="28"/>
        </w:rPr>
      </w:pPr>
    </w:p>
    <w:p>
      <w:pPr>
        <w:spacing w:lineRule="auto" w:line="240" w:after="0" w:beforeAutospacing="0" w:afterAutospacing="0"/>
        <w:ind w:right="4961"/>
        <w:rPr>
          <w:rFonts w:ascii="Times New Roman" w:hAnsi="Times New Roman"/>
          <w:sz w:val="28"/>
          <w:szCs w:val="28"/>
        </w:rPr>
      </w:pPr>
    </w:p>
    <w:p>
      <w:pPr>
        <w:spacing w:lineRule="auto" w:line="240" w:after="0" w:beforeAutospacing="0" w:afterAutospacing="0"/>
        <w:ind w:right="4961"/>
        <w:rPr>
          <w:rFonts w:ascii="Times New Roman" w:hAnsi="Times New Roman"/>
          <w:sz w:val="28"/>
          <w:szCs w:val="28"/>
        </w:rPr>
      </w:pPr>
    </w:p>
    <w:p>
      <w:pPr>
        <w:spacing w:lineRule="auto" w:line="240" w:after="0" w:beforeAutospacing="0" w:afterAutospacing="0"/>
        <w:ind w:right="4961"/>
        <w:rPr>
          <w:rFonts w:ascii="Times New Roman" w:hAnsi="Times New Roman"/>
          <w:sz w:val="28"/>
          <w:szCs w:val="28"/>
        </w:rPr>
      </w:pPr>
    </w:p>
    <w:p>
      <w:pPr>
        <w:spacing w:lineRule="auto" w:line="240" w:after="0" w:beforeAutospacing="0" w:afterAutospacing="0"/>
        <w:ind w:right="4961"/>
        <w:rPr>
          <w:rFonts w:ascii="Times New Roman" w:hAnsi="Times New Roman"/>
          <w:b w:val="1"/>
          <w:sz w:val="28"/>
          <w:szCs w:val="28"/>
        </w:rPr>
      </w:pPr>
      <w:r>
        <w:rPr>
          <w:rFonts w:ascii="Times New Roman" w:hAnsi="Times New Roman"/>
          <w:b w:val="1"/>
          <w:sz w:val="28"/>
          <w:szCs w:val="28"/>
        </w:rPr>
        <w:t>Про затвердження Порядку</w:t>
        <w:br w:type="textWrapping"/>
        <w:t>здійснення громадської акредитації закладу загальної середньої освіти</w:t>
      </w:r>
    </w:p>
    <w:p>
      <w:pPr>
        <w:spacing w:lineRule="auto" w:line="240" w:after="0" w:beforeAutospacing="0" w:afterAutospacing="0"/>
        <w:ind w:right="5244"/>
        <w:jc w:val="both"/>
        <w:rPr>
          <w:rFonts w:ascii="Times New Roman" w:hAnsi="Times New Roman"/>
          <w:sz w:val="28"/>
          <w:szCs w:val="28"/>
        </w:rPr>
      </w:pPr>
    </w:p>
    <w:p>
      <w:pPr>
        <w:spacing w:lineRule="auto" w:line="240" w:after="0" w:beforeAutospacing="0" w:afterAutospacing="0"/>
        <w:ind w:firstLine="709"/>
        <w:jc w:val="both"/>
        <w:rPr>
          <w:rFonts w:ascii="Times New Roman" w:hAnsi="Times New Roman"/>
          <w:sz w:val="28"/>
          <w:szCs w:val="28"/>
        </w:rPr>
      </w:pPr>
      <w:r>
        <w:rPr>
          <w:rFonts w:ascii="Times New Roman" w:hAnsi="Times New Roman"/>
          <w:sz w:val="28"/>
          <w:szCs w:val="28"/>
        </w:rPr>
        <w:t>Відповідно до абзацу шостого пункту 1 частини четвертої статті 41, статті 49 Закону України «Про освіту», статті 50 Закону Україну «Про повну загальну середню освіту», пункту 8 Положення про Міністерство освіти і науки України, затвердженого постановою Кабінету Міністрів України від 16 жовтня 2014 року № 630, з метою визначення порядку здійснення громадської акредитації закладу загальної середньої освіти</w:t>
      </w:r>
    </w:p>
    <w:p>
      <w:pPr>
        <w:spacing w:lineRule="auto" w:line="240" w:after="0" w:beforeAutospacing="0" w:afterAutospacing="0"/>
        <w:ind w:firstLine="567"/>
        <w:jc w:val="both"/>
        <w:rPr>
          <w:rFonts w:ascii="Arial" w:hAnsi="Arial"/>
          <w:color w:val="000000"/>
        </w:rPr>
      </w:pPr>
    </w:p>
    <w:p>
      <w:pPr>
        <w:spacing w:lineRule="auto" w:line="240" w:after="0" w:beforeAutospacing="0" w:afterAutospacing="0"/>
        <w:jc w:val="both"/>
        <w:rPr>
          <w:rFonts w:ascii="Times New Roman" w:hAnsi="Times New Roman"/>
          <w:sz w:val="28"/>
          <w:szCs w:val="28"/>
        </w:rPr>
      </w:pPr>
      <w:r>
        <w:rPr>
          <w:rFonts w:ascii="Times New Roman" w:hAnsi="Times New Roman"/>
          <w:sz w:val="28"/>
          <w:szCs w:val="28"/>
        </w:rPr>
        <w:t>НАКАЗУЮ:</w:t>
      </w:r>
    </w:p>
    <w:p>
      <w:pPr>
        <w:spacing w:lineRule="auto" w:line="240" w:after="0" w:beforeAutospacing="0" w:afterAutospacing="0"/>
        <w:ind w:firstLine="709"/>
        <w:jc w:val="both"/>
        <w:rPr>
          <w:rFonts w:ascii="Times New Roman" w:hAnsi="Times New Roman"/>
          <w:sz w:val="28"/>
          <w:szCs w:val="28"/>
        </w:rPr>
      </w:pP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567" w:leader="none"/>
          <w:tab w:val="left" w:pos="851" w:leader="none"/>
        </w:tabs>
        <w:spacing w:lineRule="auto" w:line="240" w:after="0" w:beforeAutospacing="0" w:afterAutospacing="0"/>
        <w:ind w:firstLine="567" w:left="0"/>
        <w:jc w:val="both"/>
        <w:rPr>
          <w:rFonts w:ascii="Times New Roman" w:hAnsi="Times New Roman"/>
          <w:color w:val="000000"/>
          <w:sz w:val="28"/>
          <w:szCs w:val="28"/>
        </w:rPr>
      </w:pPr>
      <w:r>
        <w:rPr>
          <w:rFonts w:ascii="Times New Roman" w:hAnsi="Times New Roman"/>
          <w:color w:val="000000"/>
          <w:sz w:val="28"/>
          <w:szCs w:val="28"/>
        </w:rPr>
        <w:t>Затвердити Порядок здійснення громадської акредитації закладу загальної середньої освіти, що додається.</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851" w:leader="none"/>
        </w:tabs>
        <w:spacing w:lineRule="auto" w:line="240" w:after="0" w:beforeAutospacing="0" w:afterAutospacing="0"/>
        <w:ind w:firstLine="567" w:left="0"/>
        <w:jc w:val="both"/>
        <w:rPr>
          <w:rFonts w:ascii="Times New Roman" w:hAnsi="Times New Roman"/>
          <w:color w:val="000000"/>
          <w:sz w:val="28"/>
          <w:szCs w:val="28"/>
        </w:rPr>
      </w:pPr>
      <w:r>
        <w:rPr>
          <w:rFonts w:ascii="Times New Roman" w:hAnsi="Times New Roman"/>
          <w:color w:val="000000"/>
          <w:sz w:val="28"/>
          <w:szCs w:val="28"/>
        </w:rPr>
        <w:t>Директорату дошкільної, шкільної, позашкільної та інклюзивної освіти (Єресько О. В. ) забезпечити в установленому порядку подання цього наказу на державну реєстрацію до Міністерства юстиції України.</w:t>
      </w:r>
    </w:p>
    <w:p>
      <w:pPr>
        <w:pStyle w:val="P12"/>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851" w:leader="none"/>
        </w:tabs>
        <w:spacing w:lineRule="auto" w:line="240" w:after="0" w:beforeAutospacing="0" w:afterAutospacing="0"/>
        <w:jc w:val="both"/>
        <w:rPr>
          <w:rFonts w:ascii="Times New Roman" w:hAnsi="Times New Roman"/>
          <w:sz w:val="28"/>
          <w:szCs w:val="28"/>
        </w:rPr>
      </w:pPr>
      <w:r>
        <w:rPr>
          <w:rFonts w:ascii="Times New Roman" w:hAnsi="Times New Roman"/>
          <w:sz w:val="28"/>
          <w:szCs w:val="28"/>
        </w:rPr>
        <w:t>Цей наказ набирає чинності з 01 січня 2023 року.</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851" w:leader="none"/>
        </w:tabs>
        <w:spacing w:lineRule="auto" w:line="240" w:after="0" w:beforeAutospacing="0" w:afterAutospacing="0"/>
        <w:ind w:firstLine="567" w:left="0"/>
        <w:jc w:val="both"/>
        <w:rPr>
          <w:rFonts w:ascii="Times New Roman" w:hAnsi="Times New Roman"/>
          <w:color w:val="000000"/>
          <w:sz w:val="28"/>
          <w:szCs w:val="28"/>
        </w:rPr>
      </w:pPr>
      <w:r>
        <w:rPr>
          <w:rFonts w:ascii="Times New Roman" w:hAnsi="Times New Roman"/>
          <w:color w:val="000000"/>
          <w:sz w:val="28"/>
          <w:szCs w:val="28"/>
        </w:rPr>
        <w:t>Контроль за виконанням цього наказу покласти на заступника Міністра Рогову В. Б.</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993" w:leader="none"/>
        </w:tabs>
        <w:spacing w:lineRule="auto" w:line="240" w:after="0" w:beforeAutospacing="0" w:afterAutospacing="0"/>
        <w:ind w:left="942"/>
        <w:jc w:val="both"/>
        <w:rPr>
          <w:rFonts w:ascii="Times New Roman" w:hAnsi="Times New Roman"/>
          <w:color w:val="000000"/>
          <w:sz w:val="20"/>
          <w:szCs w:val="20"/>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993" w:leader="none"/>
        </w:tabs>
        <w:spacing w:lineRule="auto" w:line="240" w:after="0" w:beforeAutospacing="0" w:afterAutospacing="0"/>
        <w:ind w:left="942"/>
        <w:jc w:val="both"/>
        <w:rPr>
          <w:rFonts w:ascii="Times New Roman" w:hAnsi="Times New Roman"/>
          <w:color w:val="000000"/>
          <w:sz w:val="20"/>
          <w:szCs w:val="20"/>
        </w:rPr>
      </w:pPr>
    </w:p>
    <w:tbl>
      <w:tblPr>
        <w:tblStyle w:val="T3"/>
        <w:tblW w:w="9639" w:type="dxa"/>
        <w:tblInd w:w="0" w:type="dxa"/>
        <w:tblLayout w:type="fixed"/>
        <w:tblLook w:val="0000"/>
      </w:tblPr>
      <w:tblGrid/>
      <w:tr>
        <w:tc>
          <w:tcPr>
            <w:tcW w:w="4048" w:type="dxa"/>
            <w:shd w:val="clear" w:color="auto" w:fill="FFFFFF"/>
          </w:tcPr>
          <w:p>
            <w:pPr>
              <w:spacing w:lineRule="auto" w:line="240" w:after="0" w:beforeAutospacing="0" w:afterAutospacing="0"/>
              <w:rPr>
                <w:rFonts w:ascii="Times New Roman" w:hAnsi="Times New Roman"/>
                <w:sz w:val="28"/>
                <w:szCs w:val="28"/>
              </w:rPr>
            </w:pPr>
            <w:r>
              <w:rPr>
                <w:rFonts w:ascii="Times New Roman" w:hAnsi="Times New Roman"/>
                <w:sz w:val="28"/>
                <w:szCs w:val="28"/>
              </w:rPr>
              <w:t xml:space="preserve">Міністр </w:t>
            </w:r>
          </w:p>
        </w:tc>
        <w:tc>
          <w:tcPr>
            <w:tcW w:w="5591" w:type="dxa"/>
            <w:shd w:val="clear" w:color="auto" w:fill="FFFFFF"/>
          </w:tcPr>
          <w:p>
            <w:pPr>
              <w:spacing w:lineRule="auto" w:line="240" w:after="0" w:beforeAutospacing="0" w:afterAutospacing="0"/>
              <w:rPr>
                <w:rFonts w:ascii="Times New Roman" w:hAnsi="Times New Roman"/>
                <w:sz w:val="28"/>
                <w:szCs w:val="28"/>
              </w:rPr>
            </w:pPr>
            <w:r>
              <w:rPr>
                <w:rFonts w:ascii="Times New Roman" w:hAnsi="Times New Roman"/>
                <w:sz w:val="28"/>
                <w:szCs w:val="28"/>
              </w:rPr>
              <w:t xml:space="preserve">                                            Сергій ШКАРЛЕТ</w:t>
            </w:r>
          </w:p>
        </w:tc>
      </w:tr>
    </w:tbl>
    <w:p>
      <w:pPr>
        <w:spacing w:lineRule="auto" w:line="240" w:after="0" w:beforeAutospacing="0" w:afterAutospacing="0"/>
      </w:pPr>
    </w:p>
    <w:p>
      <w:pPr>
        <w:rPr>
          <w:rFonts w:ascii="Times New Roman" w:hAnsi="Times New Roman"/>
        </w:rPr>
        <w:sectPr>
          <w:headerReference xmlns:r="http://schemas.openxmlformats.org/officeDocument/2006/relationships" w:type="first" r:id="RelHdr1"/>
          <w:headerReference xmlns:r="http://schemas.openxmlformats.org/officeDocument/2006/relationships" w:type="default" r:id="RelHdr2"/>
          <w:footnotePr/>
          <w:endnotePr/>
          <w:type w:val="nextPage"/>
          <w:pgSz w:w="11906" w:h="16838" w:code="0"/>
          <w:pgMar w:left="1417" w:right="850" w:top="850" w:bottom="567" w:header="708" w:footer="708" w:gutter="0"/>
          <w:pgNumType w:start="1" w:chapSep="period"/>
          <w:cols w:equalWidth="1" w:space="720"/>
          <w:titlePg w:val="1"/>
        </w:sectPr>
      </w:pPr>
      <w:r>
        <w:br w:type="page"/>
      </w:r>
    </w:p>
    <w:p>
      <w:pPr>
        <w:ind w:left="5670"/>
        <w:rPr>
          <w:rFonts w:ascii="Times New Roman" w:hAnsi="Times New Roman"/>
          <w:sz w:val="28"/>
          <w:szCs w:val="28"/>
        </w:rPr>
      </w:pPr>
      <w:r>
        <w:rPr>
          <w:rFonts w:ascii="Times New Roman" w:hAnsi="Times New Roman"/>
          <w:sz w:val="28"/>
          <w:szCs w:val="28"/>
        </w:rPr>
        <w:t>ЗАТВЕРДЖЕНО</w:t>
        <w:br w:type="textWrapping"/>
        <w:t>Наказ Міністерства освіти</w:t>
        <w:br w:type="textWrapping"/>
        <w:t>і науки України</w:t>
      </w:r>
    </w:p>
    <w:p>
      <w:pPr>
        <w:spacing w:lineRule="auto" w:line="240" w:after="0" w:beforeAutospacing="0" w:afterAutospacing="0"/>
        <w:ind w:left="5670"/>
        <w:rPr>
          <w:rFonts w:ascii="Times New Roman" w:hAnsi="Times New Roman"/>
          <w:sz w:val="28"/>
          <w:szCs w:val="28"/>
        </w:rPr>
      </w:pPr>
      <w:r>
        <w:rPr>
          <w:rFonts w:ascii="Times New Roman" w:hAnsi="Times New Roman"/>
          <w:sz w:val="28"/>
          <w:szCs w:val="28"/>
        </w:rPr>
        <w:t xml:space="preserve">_____________2022_____ № </w:t>
      </w:r>
    </w:p>
    <w:p>
      <w:pPr>
        <w:spacing w:lineRule="auto" w:line="240" w:after="0" w:beforeAutospacing="0" w:afterAutospacing="0"/>
        <w:ind w:left="5103"/>
        <w:rPr>
          <w:rFonts w:ascii="Times New Roman" w:hAnsi="Times New Roman"/>
          <w:sz w:val="28"/>
          <w:szCs w:val="28"/>
        </w:rPr>
      </w:pPr>
    </w:p>
    <w:p>
      <w:pPr>
        <w:tabs>
          <w:tab w:val="left" w:pos="9638" w:leader="none"/>
        </w:tabs>
        <w:spacing w:lineRule="auto" w:line="240" w:after="0" w:beforeAutospacing="0" w:afterAutospacing="0"/>
        <w:rPr>
          <w:rFonts w:ascii="Times New Roman" w:hAnsi="Times New Roman"/>
          <w:b w:val="1"/>
          <w:sz w:val="28"/>
          <w:szCs w:val="28"/>
        </w:rPr>
      </w:pPr>
      <w:r>
        <w:rPr>
          <w:rFonts w:ascii="Times New Roman" w:hAnsi="Times New Roman"/>
          <w:b w:val="1"/>
          <w:sz w:val="28"/>
          <w:szCs w:val="28"/>
        </w:rPr>
        <w:tab/>
      </w:r>
    </w:p>
    <w:p>
      <w:pPr>
        <w:tabs>
          <w:tab w:val="left" w:pos="9638" w:leader="none"/>
        </w:tabs>
        <w:spacing w:lineRule="auto" w:line="240" w:after="0" w:beforeAutospacing="0" w:afterAutospacing="0"/>
        <w:ind w:firstLine="567"/>
        <w:jc w:val="center"/>
        <w:rPr>
          <w:rFonts w:ascii="Times New Roman" w:hAnsi="Times New Roman"/>
          <w:b w:val="1"/>
          <w:sz w:val="28"/>
          <w:szCs w:val="28"/>
        </w:rPr>
      </w:pPr>
      <w:r>
        <w:rPr>
          <w:rFonts w:ascii="Times New Roman" w:hAnsi="Times New Roman"/>
          <w:b w:val="1"/>
          <w:sz w:val="28"/>
          <w:szCs w:val="28"/>
        </w:rPr>
        <w:t>ПОРЯДОК</w:t>
      </w:r>
    </w:p>
    <w:p>
      <w:pPr>
        <w:tabs>
          <w:tab w:val="left" w:pos="9638" w:leader="none"/>
        </w:tabs>
        <w:spacing w:lineRule="auto" w:line="240" w:after="0" w:beforeAutospacing="0" w:afterAutospacing="0"/>
        <w:ind w:firstLine="567"/>
        <w:jc w:val="center"/>
        <w:rPr>
          <w:rFonts w:ascii="Times New Roman" w:hAnsi="Times New Roman"/>
          <w:b w:val="1"/>
          <w:sz w:val="28"/>
          <w:szCs w:val="28"/>
        </w:rPr>
      </w:pPr>
      <w:r>
        <w:rPr>
          <w:rFonts w:ascii="Times New Roman" w:hAnsi="Times New Roman"/>
          <w:b w:val="1"/>
          <w:sz w:val="28"/>
          <w:szCs w:val="28"/>
        </w:rPr>
        <w:t>здійснення громадської акредитації закладу</w:t>
        <w:br w:type="textWrapping"/>
        <w:t>загальної середньої освіти</w:t>
      </w:r>
    </w:p>
    <w:p>
      <w:pPr>
        <w:tabs>
          <w:tab w:val="left" w:pos="9638" w:leader="none"/>
        </w:tabs>
        <w:spacing w:lineRule="auto" w:line="240" w:after="0" w:beforeAutospacing="0" w:afterAutospacing="0"/>
        <w:ind w:firstLine="567"/>
        <w:jc w:val="center"/>
        <w:rPr>
          <w:rFonts w:ascii="Times New Roman" w:hAnsi="Times New Roman"/>
          <w:b w:val="1"/>
          <w:sz w:val="28"/>
          <w:szCs w:val="28"/>
        </w:rPr>
      </w:pPr>
    </w:p>
    <w:p>
      <w:pPr>
        <w:tabs>
          <w:tab w:val="left" w:pos="9638" w:leader="none"/>
        </w:tabs>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 xml:space="preserve">1. Цей Порядок визначає механізм здійснення громадської акредитації закладів освіти, які забезпечують здобуття певного рівня повної загальної середньої освіти, незалежно від їх типу, підпорядкування та форми власності </w:t>
        <w:br w:type="textWrapping"/>
        <w:t>(далі – заклади освіти), крім структурних підрозділів таких закладів освіти, які провадять освітню діяльність на інших рівнях/складниках освіти, у сфері неформальної освіти.</w:t>
      </w:r>
    </w:p>
    <w:p>
      <w:pPr>
        <w:tabs>
          <w:tab w:val="left" w:pos="9638" w:leader="none"/>
        </w:tabs>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Цей Порядок не поширюється на заклади професійної (професійно-технічної), фахової передвищої, вищої освіти.</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2. У цьому Порядку терміни вживаються у таких значеннях:</w:t>
      </w:r>
    </w:p>
    <w:p>
      <w:pPr>
        <w:spacing w:lineRule="auto" w:line="240" w:after="0" w:beforeAutospacing="0" w:afterAutospacing="0"/>
        <w:ind w:firstLine="709"/>
        <w:jc w:val="both"/>
        <w:rPr>
          <w:rFonts w:ascii="Times New Roman" w:hAnsi="Times New Roman"/>
          <w:sz w:val="28"/>
          <w:szCs w:val="28"/>
        </w:rPr>
      </w:pPr>
      <w:r>
        <w:rPr>
          <w:rFonts w:ascii="Times New Roman" w:hAnsi="Times New Roman"/>
          <w:sz w:val="28"/>
          <w:szCs w:val="28"/>
        </w:rPr>
        <w:t>внутрішня система забезпечення якості освіти – сукупність умов, процедур і заходів у закладі освіти, що забезпечують ефективність освітніх і управлінських процесів, які безпосередньо впливають на забезпечення досягнення учнями результатів навчання, передбачених освітніми програмами і стандартами освіти;</w:t>
      </w:r>
    </w:p>
    <w:p>
      <w:pPr>
        <w:spacing w:lineRule="auto" w:line="240" w:before="240" w:after="0" w:beforeAutospacing="0" w:afterAutospacing="0"/>
        <w:ind w:firstLine="709"/>
        <w:jc w:val="both"/>
        <w:rPr>
          <w:rFonts w:ascii="Times New Roman" w:hAnsi="Times New Roman"/>
          <w:sz w:val="28"/>
          <w:szCs w:val="28"/>
        </w:rPr>
      </w:pPr>
      <w:r>
        <w:rPr>
          <w:rFonts w:ascii="Times New Roman" w:hAnsi="Times New Roman"/>
          <w:sz w:val="28"/>
          <w:szCs w:val="28"/>
        </w:rPr>
        <w:t>загальний висновок – документ, що складається за результатами громадської акредитації закладу освіти, містить результати оцінювання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 а також рекомендації щодо забезпечення ефективної роботи, сталого розвитку закладу освіти та формування його позитивного іміджу і репутації.</w:t>
      </w:r>
    </w:p>
    <w:p>
      <w:pPr>
        <w:spacing w:lineRule="auto" w:line="240" w:before="240" w:beforeAutospacing="0" w:afterAutospacing="0"/>
        <w:ind w:firstLine="709"/>
        <w:jc w:val="both"/>
        <w:rPr>
          <w:rFonts w:ascii="Times New Roman" w:hAnsi="Times New Roman"/>
          <w:sz w:val="28"/>
          <w:szCs w:val="28"/>
        </w:rPr>
      </w:pPr>
      <w:r>
        <w:rPr>
          <w:rFonts w:ascii="Times New Roman" w:hAnsi="Times New Roman"/>
          <w:sz w:val="28"/>
          <w:szCs w:val="28"/>
        </w:rPr>
        <w:t>Інші терміни вживаються у значеннях, наведених у Законах України «Про освіту» та «Про повну загальну середню освіту», «Про запобігання корупції».</w:t>
      </w:r>
    </w:p>
    <w:p>
      <w:pPr>
        <w:pStyle w:val="P10"/>
        <w:ind w:firstLine="567"/>
        <w:jc w:val="both"/>
        <w:rPr>
          <w:rFonts w:ascii="Times New Roman" w:hAnsi="Times New Roman"/>
          <w:sz w:val="28"/>
          <w:szCs w:val="28"/>
        </w:rPr>
      </w:pPr>
      <w:r>
        <w:rPr>
          <w:rFonts w:ascii="Times New Roman" w:hAnsi="Times New Roman"/>
          <w:sz w:val="28"/>
          <w:szCs w:val="28"/>
        </w:rPr>
        <w:t>3. Громадська акредитація закладу освіти здійснюється за ініціативою його керівника юридичними особами, що проводять незалежне оцінювання якості освіти та освітньої діяльності, акредитованими відповідно до Порядку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загальної середньої освіти, затвердженого наказом Міністерства освіти і науки України від 26 січня 2022 року № 66, зареєстрованим в Міністерстві юстиції України13 травня 2022 р. за № 520/37856 (далі – Порядок акредитації).</w:t>
      </w:r>
    </w:p>
    <w:p>
      <w:pPr>
        <w:tabs>
          <w:tab w:val="left" w:pos="9638" w:leader="none"/>
        </w:tabs>
        <w:spacing w:lineRule="auto" w:line="240" w:beforeAutospacing="0" w:afterAutospacing="0"/>
        <w:ind w:firstLine="567"/>
        <w:jc w:val="both"/>
        <w:rPr>
          <w:rFonts w:ascii="Times New Roman" w:hAnsi="Times New Roman"/>
          <w:sz w:val="28"/>
          <w:szCs w:val="28"/>
        </w:rPr>
      </w:pPr>
    </w:p>
    <w:p>
      <w:pPr>
        <w:tabs>
          <w:tab w:val="left" w:pos="9638" w:leader="none"/>
        </w:tabs>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4. Громадська акредитація закладу освіти передбачає проведення незалежного оцінювання закладу освіти щодо:</w:t>
      </w:r>
    </w:p>
    <w:p>
      <w:pPr>
        <w:tabs>
          <w:tab w:val="left" w:pos="9638" w:leader="none"/>
        </w:tabs>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ефективності внутрішньої системи забезпечення якості освіти через оцінювання освітніх і управлінських процесів;</w:t>
      </w:r>
    </w:p>
    <w:p>
      <w:pPr>
        <w:tabs>
          <w:tab w:val="left" w:pos="9638" w:leader="none"/>
        </w:tabs>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забезпечення досягнення здобувачами освіти результатів навчання, передбачених освітніми програмами і стандартами освіти.</w:t>
      </w:r>
    </w:p>
    <w:p>
      <w:pPr>
        <w:tabs>
          <w:tab w:val="left" w:pos="9638" w:leader="none"/>
        </w:tabs>
        <w:spacing w:lineRule="auto" w:line="240" w:beforeAutospacing="0" w:afterAutospacing="0"/>
        <w:ind w:firstLine="567"/>
        <w:jc w:val="both"/>
        <w:rPr>
          <w:rFonts w:ascii="Times New Roman" w:hAnsi="Times New Roman"/>
          <w:sz w:val="28"/>
          <w:szCs w:val="28"/>
          <w:lang w:val="ru-RU"/>
        </w:rPr>
      </w:pPr>
      <w:r>
        <w:rPr>
          <w:rFonts w:ascii="Times New Roman" w:hAnsi="Times New Roman"/>
          <w:sz w:val="28"/>
          <w:szCs w:val="28"/>
          <w:lang w:val="ru-RU"/>
        </w:rPr>
        <w:t>Н</w:t>
      </w:r>
      <w:r>
        <w:rPr>
          <w:rFonts w:ascii="Times New Roman" w:hAnsi="Times New Roman"/>
          <w:sz w:val="28"/>
          <w:szCs w:val="28"/>
        </w:rPr>
        <w:t>езалежн</w:t>
      </w:r>
      <w:r>
        <w:rPr>
          <w:rFonts w:ascii="Times New Roman" w:hAnsi="Times New Roman"/>
          <w:sz w:val="28"/>
          <w:szCs w:val="28"/>
          <w:lang w:val="ru-RU"/>
        </w:rPr>
        <w:t>е</w:t>
      </w:r>
      <w:r>
        <w:rPr>
          <w:rFonts w:ascii="Times New Roman" w:hAnsi="Times New Roman"/>
          <w:sz w:val="28"/>
          <w:szCs w:val="28"/>
        </w:rPr>
        <w:t xml:space="preserve"> оцінювання закладу освіти</w:t>
      </w:r>
      <w:r>
        <w:rPr>
          <w:rFonts w:ascii="Times New Roman" w:hAnsi="Times New Roman"/>
          <w:sz w:val="28"/>
          <w:szCs w:val="28"/>
          <w:lang w:val="ru-RU"/>
        </w:rPr>
        <w:t xml:space="preserve"> проводиться на основі:</w:t>
      </w:r>
    </w:p>
    <w:p>
      <w:pPr>
        <w:shd w:val="clear" w:fill="FFFFFF"/>
        <w:tabs>
          <w:tab w:val="left" w:pos="9638" w:leader="none"/>
        </w:tabs>
        <w:spacing w:lineRule="auto" w:line="240" w:beforeAutospacing="0" w:afterAutospacing="0"/>
        <w:ind w:firstLine="567"/>
        <w:jc w:val="both"/>
        <w:rPr>
          <w:rFonts w:ascii="Times New Roman" w:hAnsi="Times New Roman"/>
          <w:color w:val="000000"/>
          <w:sz w:val="28"/>
          <w:szCs w:val="28"/>
        </w:rPr>
      </w:pPr>
      <w:r>
        <w:rPr>
          <w:rFonts w:ascii="Times New Roman" w:hAnsi="Times New Roman"/>
          <w:color w:val="000000"/>
          <w:sz w:val="28"/>
          <w:szCs w:val="28"/>
        </w:rPr>
        <w:t>методів, вимог/правил, критеріїв та індикаторів оцінювання ефективності внутрішньої системи забезпечення якості освіти. Визначені вимоги/правила включають вимоги/правила в обсязі не меншому ніж передбачено додатком 1 до Порядку проведення інституційного аудиту закладів загальної середньої освіти, затвердженого наказом Міністерства освіти і науки України від 09 січня 2019 року № 17, зареєстрованого в Міністерстві юстиції України 12 березня 2019 року за № 250/33221 (далі – Порядок проведення інституційного аудиту);</w:t>
      </w:r>
    </w:p>
    <w:p>
      <w:pPr>
        <w:shd w:val="clear" w:fill="FFFFFF"/>
        <w:tabs>
          <w:tab w:val="left" w:pos="9638" w:leader="none"/>
        </w:tabs>
        <w:spacing w:lineRule="auto" w:line="240" w:beforeAutospacing="0" w:afterAutospacing="0"/>
        <w:ind w:firstLine="567"/>
        <w:jc w:val="both"/>
        <w:rPr>
          <w:rFonts w:ascii="Times New Roman" w:hAnsi="Times New Roman"/>
          <w:color w:val="000000"/>
          <w:sz w:val="28"/>
          <w:szCs w:val="28"/>
        </w:rPr>
      </w:pPr>
      <w:r>
        <w:rPr>
          <w:rFonts w:ascii="Times New Roman" w:hAnsi="Times New Roman"/>
          <w:color w:val="000000"/>
          <w:sz w:val="28"/>
          <w:szCs w:val="28"/>
        </w:rPr>
        <w:t>методів/інструментів, що застосовуються для визначення рівня забезпечення досягнення здобувачами освіти результатів навчання, передбачених освітніми програмами і стандартами освіти;</w:t>
      </w:r>
    </w:p>
    <w:p>
      <w:pPr>
        <w:shd w:val="clear" w:fill="FFFFFF"/>
        <w:tabs>
          <w:tab w:val="left" w:pos="9638" w:leader="none"/>
        </w:tabs>
        <w:spacing w:lineRule="auto" w:line="240" w:beforeAutospacing="0" w:afterAutospacing="0"/>
        <w:ind w:firstLine="567"/>
        <w:jc w:val="both"/>
        <w:rPr>
          <w:rFonts w:ascii="Times New Roman" w:hAnsi="Times New Roman"/>
          <w:color w:val="000000"/>
          <w:sz w:val="28"/>
          <w:szCs w:val="28"/>
        </w:rPr>
      </w:pPr>
      <w:r>
        <w:rPr>
          <w:rFonts w:ascii="Times New Roman" w:hAnsi="Times New Roman"/>
          <w:color w:val="000000"/>
          <w:sz w:val="28"/>
          <w:szCs w:val="28"/>
        </w:rPr>
        <w:t xml:space="preserve">орієнтовних рівнів освітньої діяльності закладу освіти, що відповідають (другому (достатньому) та четвертому (низькому) рівням оцінювання якості освітньої діяльності, визначеного Порядком проведення інституційного аудиту. Для розроблення орієнтовного опису цих рівнів </w:t>
      </w:r>
      <w:r>
        <w:rPr>
          <w:rFonts w:ascii="Times New Roman" w:hAnsi="Times New Roman"/>
          <w:sz w:val="28"/>
          <w:szCs w:val="28"/>
        </w:rPr>
        <w:t xml:space="preserve">юридична особа, що проводить незалежне оцінювання якості освіти та освітньої діяльності може використати </w:t>
      </w:r>
      <w:r>
        <w:rPr>
          <w:rFonts w:ascii="Times New Roman" w:hAnsi="Times New Roman"/>
          <w:color w:val="000000"/>
          <w:sz w:val="28"/>
          <w:szCs w:val="28"/>
        </w:rPr>
        <w:t>Методичні рекомендацій з питань формування внутрішньої системи забезпечення якості освіти у закладах загальної середньої освіти;</w:t>
      </w:r>
    </w:p>
    <w:p>
      <w:pP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способів проведення окремих процедур визначення рівня якості освіти та оцінювання освітніх і управлінських процесів, а саме: дистанційно чи під час роботи команди експертів у закладі освіти.</w:t>
      </w:r>
    </w:p>
    <w:p>
      <w:pPr>
        <w:tabs>
          <w:tab w:val="left" w:pos="993" w:leader="none"/>
        </w:tabs>
        <w:spacing w:lineRule="auto" w:line="240" w:beforeAutospacing="0" w:afterAutospacing="0"/>
        <w:ind w:firstLine="567"/>
        <w:jc w:val="both"/>
        <w:rPr>
          <w:rFonts w:ascii="Times New Roman" w:hAnsi="Times New Roman"/>
          <w:sz w:val="28"/>
          <w:szCs w:val="28"/>
        </w:rPr>
      </w:pPr>
      <w:r>
        <w:rPr>
          <w:rFonts w:ascii="Times New Roman" w:hAnsi="Times New Roman"/>
          <w:color w:val="000000"/>
          <w:sz w:val="28"/>
          <w:szCs w:val="28"/>
        </w:rPr>
        <w:t xml:space="preserve">Незалежне оцінювання закладу освіти здійснюється відповідно до методики проведення громадської акредитації закладу(ів) освіти (далі – Методика), поданої юридичною особою, що здійснює </w:t>
      </w:r>
      <w:r>
        <w:rPr>
          <w:rFonts w:ascii="Times New Roman" w:hAnsi="Times New Roman"/>
          <w:sz w:val="28"/>
          <w:szCs w:val="28"/>
        </w:rPr>
        <w:t>незалежне оцінювання якості освіти та освітньої діяльності</w:t>
      </w:r>
      <w:r>
        <w:rPr>
          <w:rFonts w:ascii="Times New Roman" w:hAnsi="Times New Roman"/>
          <w:color w:val="000000"/>
          <w:sz w:val="28"/>
          <w:szCs w:val="28"/>
        </w:rPr>
        <w:t xml:space="preserve"> до Державної служби якості освіти України (далі – Служба) під час проходження процедури акредитації </w:t>
      </w:r>
      <w:r>
        <w:rPr>
          <w:rFonts w:ascii="Times New Roman" w:hAnsi="Times New Roman"/>
          <w:sz w:val="28"/>
          <w:szCs w:val="28"/>
        </w:rPr>
        <w:t>з дотриманням вимог законодавства про захист персональних даних.</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 xml:space="preserve">5. Для проведення незалежного оцінювання закладу освіти юридична особа, яка здійснює громадську акредитацію такого </w:t>
      </w:r>
      <w:r>
        <w:rPr>
          <w:rFonts w:ascii="Times New Roman" w:hAnsi="Times New Roman"/>
          <w:sz w:val="28"/>
          <w:szCs w:val="28"/>
          <w:highlight w:val="white"/>
        </w:rPr>
        <w:t>закладу освіти</w:t>
      </w:r>
      <w:r>
        <w:rPr>
          <w:rFonts w:ascii="Times New Roman" w:hAnsi="Times New Roman"/>
          <w:sz w:val="28"/>
          <w:szCs w:val="28"/>
        </w:rPr>
        <w:t xml:space="preserve"> ф</w:t>
      </w:r>
      <w:r>
        <w:rPr>
          <w:rFonts w:ascii="Times New Roman" w:hAnsi="Times New Roman"/>
          <w:sz w:val="28"/>
          <w:szCs w:val="28"/>
          <w:highlight w:val="white"/>
        </w:rPr>
        <w:t>ормує</w:t>
      </w:r>
      <w:r>
        <w:rPr>
          <w:rFonts w:ascii="Times New Roman" w:hAnsi="Times New Roman"/>
          <w:sz w:val="28"/>
          <w:szCs w:val="28"/>
        </w:rPr>
        <w:t xml:space="preserve"> команду експертів у складі не менше 3 осіб, визначає керівника та розподіляє обов’язків між її членами.</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Членами команди експертів не можуть бути особи, які є близькими особами працівників закладу освіти, мають конфлікт інтересів відповідно до законодавства у сфері запобігання корупції. У разі з’ясування/виникнення таких обставин під час здійснення громадської акредитації член команди експертів за рішенням її керівника не допускається до громадської акредитації.</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6. За результатами проведення незалежного оцінювання закладу освіти складається загальний висновок, що повинен містити інформацію про результати незалежного оцінювання закладу освіти, а саме:</w:t>
      </w:r>
    </w:p>
    <w:p>
      <w:pPr>
        <w:spacing w:lineRule="auto" w:line="240" w:beforeAutospacing="0" w:afterAutospacing="0"/>
        <w:ind w:firstLine="709"/>
        <w:jc w:val="both"/>
        <w:rPr>
          <w:rFonts w:ascii="Times New Roman" w:hAnsi="Times New Roman"/>
          <w:sz w:val="24"/>
          <w:szCs w:val="24"/>
        </w:rPr>
      </w:pPr>
      <w:r>
        <w:rPr>
          <w:rFonts w:ascii="Times New Roman" w:hAnsi="Times New Roman"/>
          <w:sz w:val="28"/>
          <w:szCs w:val="28"/>
          <w:highlight w:val="white"/>
        </w:rPr>
        <w:t>оцінювання компонентів освітньої системи закладу освіти (освітніх та управлінських процесів) відповідно до вимог/правил передбачених Методикою;</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ефективність внутрішньої системи забезпечення якості освіти;</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забезпечення досягнення здобувачами освіти результатів навчання, передбачених освітніми програмами і стандартами освіти;</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досягнення закладу освіти і потреби у вдосконаленні освітньої діяльності та внутрішньої системи забезпечення якості освіти;</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рекомендації щодо забезпечення ефективної роботи, сталого розвитку закладу освіти та формування його позитивного іміджу і репутації;</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 xml:space="preserve">інформацію про рішення щодо видачі/невидачі сертифіката. </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На підставі інформації, отриманої від членів команди експертів, інших матеріалів громадської акредитації керівник команди експертів здійснює оформлення трьох примірників загального висновку, що підписуються всіма членами команди експертів. Два примірники загального висновку надаються/надсилаються керівнику і засновнику закладу освіти незалежно від успішності результатів громадської акредитації закладу освіти.</w:t>
      </w:r>
    </w:p>
    <w:p>
      <w:pPr>
        <w:spacing w:lineRule="auto" w:line="240" w:beforeAutospacing="0" w:afterAutospacing="0"/>
        <w:ind w:firstLine="567"/>
        <w:jc w:val="both"/>
        <w:rPr>
          <w:rFonts w:ascii="Times New Roman" w:hAnsi="Times New Roman"/>
          <w:sz w:val="28"/>
          <w:szCs w:val="28"/>
        </w:rPr>
      </w:pPr>
      <w:bookmarkStart w:id="0" w:name="_gjdgxs"/>
      <w:bookmarkEnd w:id="0"/>
      <w:r>
        <w:rPr>
          <w:rFonts w:ascii="Times New Roman" w:hAnsi="Times New Roman"/>
          <w:sz w:val="28"/>
          <w:szCs w:val="28"/>
        </w:rPr>
        <w:t>7. Успішні результати громадської акредитації закладу освіти засвідчуються сертифікатом про громадську акредитацію (далі – сертифікат), виданим на підставі загального висновку та рішення юридичної особи, яка здійснювала громадську акредитацію в цьому закладі.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У сертифікаті зазначається: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найменування, місцезнаходження та ідентифікаційний код юридичної особи, яка здійснювала громадську акредитацію закладу освіти, згідно відомостей, що містяться в Єдиному державному реєстрі юридичних осіб, фізичних осіб – підприємців та громадських формувань;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номер і дата наказу Служби, яким затверджено рішення про акредитацію юридичної особи, яка здійснювала громадську акредитацію закладу освіти;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найменування, місцезнаходження та ідентифікаційний код закладу освіти, згідно відомостей, що містяться в Єдиному державному реєстрі юридичних осіб, фізичних осіб – підприємців та громадських формувань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місце знаходження його структурного(их) підрозділу(ів), філії(й) (у разі наявності), рівень(ні) загальної середньої освіти, на яких заклад освіти провадить освітню діяльність;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bookmarkStart w:id="1" w:name="30j0zll"/>
      <w:bookmarkEnd w:id="1"/>
      <w:r>
        <w:rPr>
          <w:rFonts w:ascii="Times New Roman" w:hAnsi="Times New Roman"/>
          <w:sz w:val="28"/>
          <w:szCs w:val="28"/>
        </w:rPr>
        <w:t>рівень оцінювання якості освіти та ефективність внутрішньої системи забезпечення якості освіти, встановлені за результатами громадської акредитації закладу освіти;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hd w:val="clear" w:fill="FFFFFF"/>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дату видачі сертифіката і строк його дії.</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 xml:space="preserve">У випадку висновку команди експертів про негативні результати проведення незалежного оцінювання закладу освіти (низький рівень ефективності внутрішньої системи забезпечення якості освіти, не забезпечено досягнення здобувачами освіти результатів навчання, передбачених освітніми програмами і стандартами освіти, не надано необхідні документи, матеріали, відомості, пояснення та інформацію з питань, що виникають під час проведення оцінювання закладу освіти, створено інші перешкоди в роботі команди експертів, що унеможливило проведення повного та/або об’єктивного оцінювання закладу освіти тощо) сертифікат не видається. </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 xml:space="preserve">8. Сертифікат та загальний висновок оприлюднюються на вебсайті закладу освіти, а у разі його відсутності на вебсайті засновника протягом </w:t>
      </w:r>
      <w:r>
        <w:rPr>
          <w:rFonts w:ascii="Times New Roman" w:hAnsi="Times New Roman"/>
          <w:bCs w:val="1"/>
          <w:sz w:val="28"/>
          <w:szCs w:val="28"/>
        </w:rPr>
        <w:t>10 днів з дня видачі сертифіката</w:t>
      </w:r>
      <w:r>
        <w:rPr>
          <w:rFonts w:ascii="Times New Roman" w:hAnsi="Times New Roman"/>
          <w:sz w:val="28"/>
          <w:szCs w:val="28"/>
        </w:rPr>
        <w:t xml:space="preserve">. </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 xml:space="preserve">У разі, якщо сертифікат не видавався, загальний висновок оприлюднюються у спосіб, що визначений абзацом першим цього пункту протягом 10 днів з дня його надсилання/вручення. </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9. Про результати здійсненої громадської акредитації закладу освіти юридична особа, яка здійснювала громадську акредитацію в цьому закладі, повідомляє Службу в спосіб, що передбачений пунктом 11 Порядку акредитації.</w:t>
      </w:r>
    </w:p>
    <w:p>
      <w:pPr>
        <w:shd w:val="clear" w:fill="FFFFFF"/>
        <w:spacing w:lineRule="auto" w:line="240" w:after="150" w:beforeAutospacing="0" w:afterAutospacing="0"/>
        <w:ind w:firstLine="450"/>
        <w:jc w:val="both"/>
        <w:rPr>
          <w:rFonts w:ascii="Times New Roman" w:hAnsi="Times New Roman"/>
          <w:bCs w:val="1"/>
          <w:sz w:val="28"/>
          <w:szCs w:val="28"/>
        </w:rPr>
      </w:pPr>
      <w:bookmarkStart w:id="2" w:name="_1fob9te"/>
      <w:bookmarkEnd w:id="2"/>
      <w:r>
        <w:rPr>
          <w:rFonts w:ascii="Times New Roman" w:hAnsi="Times New Roman"/>
          <w:sz w:val="28"/>
          <w:szCs w:val="28"/>
        </w:rPr>
        <w:t xml:space="preserve">10. Виданий за результатами громадської акредитації закладу освіти сертифікат автоматично втрачає чинність у випадку виявлення Службою або її територіальними органами у ході проведення </w:t>
      </w:r>
      <w:r>
        <w:rPr>
          <w:rFonts w:ascii="Times New Roman" w:hAnsi="Times New Roman"/>
          <w:bCs w:val="1"/>
          <w:sz w:val="28"/>
          <w:szCs w:val="28"/>
        </w:rPr>
        <w:t>позапланового інституційного аудиту та/або позапланової перевірки такого закладу освіти порушень, які існували під час проведення громадської акредитації і за наявності яких результати громадської акредитації було визнано успішними.</w:t>
      </w:r>
    </w:p>
    <w:p>
      <w:pPr>
        <w:shd w:val="clear" w:fill="FFFFFF"/>
        <w:spacing w:lineRule="auto" w:line="240" w:after="150" w:beforeAutospacing="0" w:afterAutospacing="0"/>
        <w:ind w:firstLine="450"/>
        <w:jc w:val="both"/>
        <w:rPr>
          <w:rFonts w:ascii="Times New Roman" w:hAnsi="Times New Roman"/>
          <w:bCs w:val="1"/>
          <w:sz w:val="28"/>
          <w:szCs w:val="28"/>
        </w:rPr>
      </w:pPr>
      <w:r>
        <w:rPr>
          <w:rFonts w:ascii="Times New Roman" w:hAnsi="Times New Roman"/>
          <w:bCs w:val="1"/>
          <w:sz w:val="28"/>
          <w:szCs w:val="28"/>
        </w:rPr>
        <w:t>У разі встановлення таких обставин Служба вилучає з реєстру акредитованих громадських фахових об’єднань та інших юридичних осіб, що здійснюють незалежне оцінювання якості освіти та освітньої діяльності закладів освіти, інформацію про заклад освіти та виданий йому сертифікат. Про вчинені дії Служба</w:t>
      </w:r>
      <w:bookmarkStart w:id="3" w:name="_GoBack"/>
      <w:bookmarkEnd w:id="3"/>
      <w:r>
        <w:rPr>
          <w:rFonts w:ascii="Times New Roman" w:hAnsi="Times New Roman"/>
          <w:bCs w:val="1"/>
          <w:sz w:val="28"/>
          <w:szCs w:val="28"/>
        </w:rPr>
        <w:t xml:space="preserve">  інформує юридичну особу, </w:t>
      </w:r>
      <w:r>
        <w:rPr>
          <w:rFonts w:ascii="Times New Roman" w:hAnsi="Times New Roman"/>
          <w:sz w:val="28"/>
          <w:szCs w:val="28"/>
        </w:rPr>
        <w:t>яка здійснювала громадську акредитацію в такому закладі освіти, керівника та засновника цього закладу освіти в п’ятиденний термін.</w:t>
      </w:r>
    </w:p>
    <w:p>
      <w:pPr>
        <w:spacing w:lineRule="auto" w:line="240" w:beforeAutospacing="0" w:afterAutospacing="0"/>
        <w:ind w:firstLine="567"/>
        <w:jc w:val="both"/>
        <w:rPr>
          <w:rFonts w:ascii="Times New Roman" w:hAnsi="Times New Roman"/>
          <w:sz w:val="28"/>
          <w:szCs w:val="28"/>
        </w:rPr>
      </w:pPr>
      <w:r>
        <w:rPr>
          <w:rFonts w:ascii="Times New Roman" w:hAnsi="Times New Roman"/>
          <w:sz w:val="28"/>
          <w:szCs w:val="28"/>
        </w:rPr>
        <w:t>11. </w:t>
      </w:r>
      <w:r>
        <w:rPr>
          <w:rFonts w:ascii="Times New Roman" w:hAnsi="Times New Roman"/>
          <w:sz w:val="28"/>
          <w:szCs w:val="28"/>
          <w:shd w:val="clear" w:color="auto" w:fill="FFFFFF"/>
        </w:rPr>
        <w:t xml:space="preserve">Служба та її територіальні органи безоплатно надають закладам освіти консультації з питань, </w:t>
      </w:r>
      <w:r>
        <w:rPr>
          <w:rFonts w:ascii="Times New Roman" w:hAnsi="Times New Roman"/>
          <w:sz w:val="28"/>
          <w:szCs w:val="28"/>
        </w:rPr>
        <w:t xml:space="preserve">що виникають під час здійснення громадської акредитації закладу освіти. </w:t>
      </w:r>
    </w:p>
    <w:p>
      <w:pPr>
        <w:spacing w:lineRule="auto" w:line="240" w:beforeAutospacing="0" w:afterAutospacing="0"/>
        <w:ind w:firstLine="567"/>
        <w:jc w:val="both"/>
        <w:rPr>
          <w:rFonts w:ascii="Times New Roman" w:hAnsi="Times New Roman"/>
          <w:sz w:val="28"/>
          <w:szCs w:val="28"/>
        </w:rPr>
      </w:pPr>
    </w:p>
    <w:p>
      <w:pPr>
        <w:spacing w:lineRule="auto" w:line="240" w:after="0" w:beforeAutospacing="0" w:afterAutospacing="0"/>
        <w:rPr>
          <w:rFonts w:ascii="Times New Roman" w:hAnsi="Times New Roman"/>
          <w:sz w:val="28"/>
          <w:szCs w:val="28"/>
        </w:rPr>
      </w:pPr>
      <w:r>
        <w:rPr>
          <w:rFonts w:ascii="Times New Roman" w:hAnsi="Times New Roman"/>
          <w:sz w:val="28"/>
          <w:szCs w:val="28"/>
        </w:rPr>
        <w:t>Генеральний директор</w:t>
      </w:r>
    </w:p>
    <w:p>
      <w:pPr>
        <w:spacing w:lineRule="auto" w:line="240" w:after="0" w:beforeAutospacing="0" w:afterAutospacing="0"/>
        <w:rPr>
          <w:rFonts w:ascii="Times New Roman" w:hAnsi="Times New Roman"/>
          <w:sz w:val="28"/>
          <w:szCs w:val="28"/>
        </w:rPr>
      </w:pPr>
      <w:r>
        <w:rPr>
          <w:rFonts w:ascii="Times New Roman" w:hAnsi="Times New Roman"/>
          <w:sz w:val="28"/>
          <w:szCs w:val="28"/>
        </w:rPr>
        <w:t>директорату дошкільної, шкільної,</w:t>
      </w:r>
    </w:p>
    <w:p>
      <w:pPr>
        <w:spacing w:lineRule="auto" w:line="240" w:after="0" w:beforeAutospacing="0" w:afterAutospacing="0"/>
        <w:rPr>
          <w:rFonts w:ascii="Times New Roman" w:hAnsi="Times New Roman"/>
          <w:b w:val="1"/>
          <w:sz w:val="24"/>
          <w:szCs w:val="24"/>
        </w:rPr>
      </w:pPr>
      <w:r>
        <w:rPr>
          <w:rFonts w:ascii="Times New Roman" w:hAnsi="Times New Roman"/>
          <w:sz w:val="28"/>
          <w:szCs w:val="28"/>
        </w:rPr>
        <w:t>позашкільної та інклюзивної освіти</w:t>
        <w:tab/>
        <w:tab/>
        <w:t xml:space="preserve">                                   Олег ЄРЕСЬКО </w:t>
      </w:r>
    </w:p>
    <w:sectPr>
      <w:footnotePr/>
      <w:endnotePr/>
      <w:type w:val="nextPage"/>
      <w:pgSz w:w="11906" w:h="16838" w:code="0"/>
      <w:pgMar w:left="1417" w:right="566" w:top="850" w:bottom="567" w:header="708" w:footer="708" w:gutter="0"/>
      <w:pgNumType w:start="1" w:chapSep="period"/>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819" w:leader="none"/>
        <w:tab w:val="right" w:pos="9639" w:leader="none"/>
      </w:tabs>
      <w:spacing w:lineRule="auto" w:line="240" w:after="0" w:beforeAutospacing="0" w:afterAutospacing="0"/>
      <w:jc w:val="center"/>
      <w:rPr>
        <w:color w:val="000000"/>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819" w:leader="none"/>
        <w:tab w:val="right" w:pos="9639" w:leader="none"/>
      </w:tabs>
      <w:spacing w:lineRule="auto" w:line="240" w:after="0" w:beforeAutospacing="0" w:afterAutospacing="0"/>
      <w:jc w:val="center"/>
      <w:rPr>
        <w:color w:val="000000"/>
      </w:rPr>
    </w:pPr>
    <w:r>
      <w:rPr>
        <w:color w:val="000000"/>
      </w:rPr>
      <w:fldChar w:fldCharType="begin"/>
    </w:r>
    <w:r>
      <w:rPr>
        <w:color w:val="000000"/>
      </w:rPr>
      <w:instrText>PAGE</w:instrText>
    </w:r>
    <w:r>
      <w:rPr>
        <w:color w:val="000000"/>
      </w:rPr>
      <w:fldChar w:fldCharType="separate"/>
    </w:r>
    <w:r>
      <w:rPr>
        <w:color w:val="000000"/>
      </w:rPr>
      <w:t>#</w:t>
    </w:r>
    <w:r>
      <w:rPr>
        <w:color w:val="000000"/>
      </w:rPr>
      <w:fldChar w:fldCharType="end"/>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center" w:pos="4819" w:leader="none"/>
        <w:tab w:val="right" w:pos="9639" w:leader="none"/>
      </w:tabs>
      <w:spacing w:lineRule="auto" w:line="240" w:after="0" w:beforeAutospacing="0" w:afterAutospacing="0"/>
      <w:rPr>
        <w:color w:val="000000"/>
      </w:rPr>
    </w:pPr>
  </w:p>
</w:hdr>
</file>

<file path=word/numbering.xml><?xml version="1.0" encoding="utf-8"?>
<w:numbering xmlns:w="http://schemas.openxmlformats.org/wordprocessingml/2006/main">
  <w:abstractNum w:abstractNumId="0">
    <w:nsid w:val="457A2CE4"/>
    <w:multiLevelType w:val="multilevel"/>
    <w:lvl w:ilvl="0">
      <w:start w:val="1"/>
      <w:numFmt w:val="decimal"/>
      <w:suff w:val="tab"/>
      <w:lvlText w:val="%1."/>
      <w:lvlJc w:val="left"/>
      <w:pPr>
        <w:ind w:hanging="375" w:left="943"/>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num w:numId="1">
    <w:abstractNumId w:val="0"/>
  </w:num>
</w:numbering>
</file>

<file path=word/settings.xml><?xml version="1.0" encoding="utf-8"?>
<w:settings xmlns:w="http://schemas.openxmlformats.org/wordprocessingml/2006/main">
  <w:displayBackgroundShape w:val="0"/>
  <w:trackRevisions/>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ru-RU"/>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qFormat/>
    <w:pPr>
      <w:keepNext w:val="1"/>
      <w:keepLines w:val="1"/>
      <w:spacing w:before="480" w:after="120" w:beforeAutospacing="0" w:afterAutospacing="0"/>
      <w:outlineLvl w:val="0"/>
    </w:pPr>
    <w:rPr>
      <w:b w:val="1"/>
      <w:sz w:val="48"/>
      <w:szCs w:val="48"/>
    </w:rPr>
  </w:style>
  <w:style w:type="paragraph" w:styleId="P2">
    <w:name w:val="heading 2"/>
    <w:basedOn w:val="P0"/>
    <w:next w:val="P0"/>
    <w:qFormat/>
    <w:pPr>
      <w:keepNext w:val="1"/>
      <w:keepLines w:val="1"/>
      <w:spacing w:before="360" w:after="80" w:beforeAutospacing="0" w:afterAutospacing="0"/>
      <w:outlineLvl w:val="1"/>
    </w:pPr>
    <w:rPr>
      <w:b w:val="1"/>
      <w:sz w:val="36"/>
      <w:szCs w:val="36"/>
    </w:rPr>
  </w:style>
  <w:style w:type="paragraph" w:styleId="P3">
    <w:name w:val="heading 3"/>
    <w:basedOn w:val="P0"/>
    <w:next w:val="P0"/>
    <w:semiHidden/>
    <w:qFormat/>
    <w:pPr>
      <w:keepNext w:val="1"/>
      <w:keepLines w:val="1"/>
      <w:spacing w:before="280" w:after="80" w:beforeAutospacing="0" w:afterAutospacing="0"/>
      <w:outlineLvl w:val="2"/>
    </w:pPr>
    <w:rPr>
      <w:b w:val="1"/>
      <w:sz w:val="28"/>
      <w:szCs w:val="28"/>
    </w:rPr>
  </w:style>
  <w:style w:type="paragraph" w:styleId="P4">
    <w:name w:val="heading 4"/>
    <w:basedOn w:val="P0"/>
    <w:next w:val="P0"/>
    <w:semiHidden/>
    <w:qFormat/>
    <w:pPr>
      <w:keepNext w:val="1"/>
      <w:keepLines w:val="1"/>
      <w:spacing w:before="240" w:after="40" w:beforeAutospacing="0" w:afterAutospacing="0"/>
      <w:outlineLvl w:val="3"/>
    </w:pPr>
    <w:rPr>
      <w:b w:val="1"/>
      <w:sz w:val="24"/>
      <w:szCs w:val="24"/>
    </w:rPr>
  </w:style>
  <w:style w:type="paragraph" w:styleId="P5">
    <w:name w:val="heading 5"/>
    <w:basedOn w:val="P0"/>
    <w:next w:val="P0"/>
    <w:semiHidden/>
    <w:qFormat/>
    <w:pPr>
      <w:keepNext w:val="1"/>
      <w:keepLines w:val="1"/>
      <w:spacing w:before="220" w:after="40" w:beforeAutospacing="0" w:afterAutospacing="0"/>
      <w:outlineLvl w:val="4"/>
    </w:pPr>
    <w:rPr>
      <w:b w:val="1"/>
    </w:rPr>
  </w:style>
  <w:style w:type="paragraph" w:styleId="P6">
    <w:name w:val="heading 6"/>
    <w:basedOn w:val="P0"/>
    <w:next w:val="P0"/>
    <w:semiHidden/>
    <w:qFormat/>
    <w:pPr>
      <w:keepNext w:val="1"/>
      <w:keepLines w:val="1"/>
      <w:spacing w:before="200" w:after="40" w:beforeAutospacing="0" w:afterAutospacing="0"/>
      <w:outlineLvl w:val="5"/>
    </w:pPr>
    <w:rPr>
      <w:b w:val="1"/>
      <w:sz w:val="20"/>
      <w:szCs w:val="20"/>
    </w:rPr>
  </w:style>
  <w:style w:type="paragraph" w:styleId="P7">
    <w:name w:val="Title"/>
    <w:basedOn w:val="P0"/>
    <w:next w:val="P0"/>
    <w:qFormat/>
    <w:pPr>
      <w:keepNext w:val="1"/>
      <w:keepLines w:val="1"/>
      <w:spacing w:before="480" w:after="120" w:beforeAutospacing="0" w:afterAutospacing="0"/>
    </w:pPr>
    <w:rPr>
      <w:b w:val="1"/>
      <w:sz w:val="72"/>
      <w:szCs w:val="72"/>
    </w:rPr>
  </w:style>
  <w:style w:type="paragraph" w:styleId="P8">
    <w:name w:val="Subtitle"/>
    <w:basedOn w:val="P0"/>
    <w:next w:val="P0"/>
    <w:qFormat/>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80" w:beforeAutospacing="0" w:afterAutospacing="0"/>
    </w:pPr>
    <w:rPr>
      <w:rFonts w:ascii="Georgia" w:hAnsi="Georgia"/>
      <w:i w:val="1"/>
      <w:color w:val="666666"/>
      <w:sz w:val="48"/>
      <w:szCs w:val="48"/>
    </w:rPr>
  </w:style>
  <w:style w:type="paragraph" w:styleId="P9">
    <w:name w:val="Balloon Text"/>
    <w:basedOn w:val="P0"/>
    <w:link w:val="C3"/>
    <w:semiHidden/>
    <w:pPr>
      <w:spacing w:lineRule="auto" w:line="240" w:after="0" w:beforeAutospacing="0" w:afterAutospacing="0"/>
    </w:pPr>
    <w:rPr>
      <w:rFonts w:ascii="Segoe UI" w:hAnsi="Segoe UI"/>
      <w:sz w:val="18"/>
      <w:szCs w:val="18"/>
    </w:rPr>
  </w:style>
  <w:style w:type="paragraph" w:styleId="P10">
    <w:name w:val="annotation text"/>
    <w:basedOn w:val="P0"/>
    <w:link w:val="C5"/>
    <w:semiHidden/>
    <w:pPr>
      <w:spacing w:lineRule="auto" w:line="240" w:beforeAutospacing="0" w:afterAutospacing="0"/>
    </w:pPr>
    <w:rPr>
      <w:sz w:val="20"/>
      <w:szCs w:val="20"/>
    </w:rPr>
  </w:style>
  <w:style w:type="paragraph" w:styleId="P11">
    <w:name w:val="annotation subject"/>
    <w:basedOn w:val="P10"/>
    <w:next w:val="P10"/>
    <w:link w:val="C6"/>
    <w:semiHidden/>
    <w:pPr/>
    <w:rPr>
      <w:b w:val="1"/>
      <w:bCs w:val="1"/>
    </w:rPr>
  </w:style>
  <w:style w:type="paragraph" w:styleId="P12">
    <w:name w:val="List Paragraph"/>
    <w:basedOn w:val="P0"/>
    <w:qFormat/>
    <w:pPr>
      <w:ind w:left="720"/>
      <w:contextualSpacing w:val="1"/>
    </w:pPr>
    <w:rPr/>
  </w:style>
  <w:style w:type="paragraph" w:styleId="P13">
    <w:name w:val="footnote text"/>
    <w:link w:val="C9"/>
    <w:semiHidden/>
    <w:pPr>
      <w:spacing w:lineRule="auto" w:line="240" w:after="0"/>
    </w:pPr>
    <w:rPr>
      <w:sz w:val="20"/>
      <w:szCs w:val="20"/>
    </w:rPr>
  </w:style>
  <w:style w:type="paragraph" w:styleId="P14">
    <w:name w:val="endnote text"/>
    <w:link w:val="C11"/>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Текст у виносці Знак"/>
    <w:basedOn w:val="C0"/>
    <w:link w:val="P9"/>
    <w:semiHidden/>
    <w:rPr>
      <w:rFonts w:ascii="Segoe UI" w:hAnsi="Segoe UI"/>
      <w:sz w:val="18"/>
      <w:szCs w:val="18"/>
    </w:rPr>
  </w:style>
  <w:style w:type="character" w:styleId="C4">
    <w:name w:val="annotation reference"/>
    <w:basedOn w:val="C0"/>
    <w:semiHidden/>
    <w:rPr>
      <w:sz w:val="16"/>
      <w:szCs w:val="16"/>
    </w:rPr>
  </w:style>
  <w:style w:type="character" w:styleId="C5">
    <w:name w:val="Текст примітки Знак"/>
    <w:basedOn w:val="C0"/>
    <w:link w:val="P10"/>
    <w:semiHidden/>
    <w:rPr>
      <w:sz w:val="20"/>
      <w:szCs w:val="20"/>
    </w:rPr>
  </w:style>
  <w:style w:type="character" w:styleId="C6">
    <w:name w:val="Тема примітки Знак"/>
    <w:basedOn w:val="C5"/>
    <w:link w:val="P11"/>
    <w:semiHidden/>
    <w:rPr>
      <w:b w:val="1"/>
      <w:bCs w:val="1"/>
      <w:sz w:val="20"/>
      <w:szCs w:val="20"/>
    </w:rPr>
  </w:style>
  <w:style w:type="character" w:styleId="C7">
    <w:name w:val="rvts9"/>
    <w:basedOn w:val="C0"/>
    <w:rPr/>
  </w:style>
  <w:style w:type="character" w:styleId="C8">
    <w:name w:val="footnote reference"/>
    <w:semiHidden/>
    <w:rPr>
      <w:vertAlign w:val="superscript"/>
    </w:rPr>
  </w:style>
  <w:style w:type="character" w:styleId="C9">
    <w:name w:val="Footnote Text Char"/>
    <w:link w:val="P13"/>
    <w:semiHidden/>
    <w:rPr>
      <w:sz w:val="20"/>
      <w:szCs w:val="20"/>
    </w:rPr>
  </w:style>
  <w:style w:type="character" w:styleId="C10">
    <w:name w:val="endnote reference"/>
    <w:semiHidden/>
    <w:rPr>
      <w:vertAlign w:val="superscript"/>
    </w:rPr>
  </w:style>
  <w:style w:type="character" w:styleId="C11">
    <w:name w:val="Endnote Text Char"/>
    <w:link w:val="P14"/>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left w:w="115" w:type="dxa"/>
        <w:right w:w="115"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4fb0-c262-4763-8fb6-75e97dce1f76}">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Valentina.Bobyr</dc:creator>
  <dcterms:created xsi:type="dcterms:W3CDTF">2022-10-31T16:06:00Z</dcterms:created>
  <cp:lastModifiedBy>erp_adm</cp:lastModifiedBy>
  <cp:lastPrinted>2022-10-12T14:55:00Z</cp:lastPrinted>
  <dcterms:modified xsi:type="dcterms:W3CDTF">2022-11-09T14:35:31Z</dcterms:modified>
  <cp:revision>5</cp:revision>
</cp:coreProperties>
</file>