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7E" w:rsidRDefault="001E22A9">
      <w:pPr>
        <w:spacing w:after="0" w:line="240" w:lineRule="auto"/>
        <w:jc w:val="center"/>
        <w:rPr>
          <w:rFonts w:ascii="Times New Roman" w:hAnsi="Times New Roman"/>
          <w:b/>
          <w:sz w:val="28"/>
          <w:szCs w:val="28"/>
        </w:rPr>
      </w:pPr>
      <w:r>
        <w:rPr>
          <w:rFonts w:ascii="Times New Roman" w:hAnsi="Times New Roman"/>
          <w:b/>
          <w:sz w:val="28"/>
          <w:szCs w:val="28"/>
        </w:rPr>
        <w:t>АНАЛІЗ РЕГУЛЯТОРНОГО ВПЛИВУ</w:t>
      </w:r>
    </w:p>
    <w:p w:rsidR="00EF187E" w:rsidRDefault="001E22A9">
      <w:pPr>
        <w:spacing w:after="0" w:line="240" w:lineRule="auto"/>
        <w:jc w:val="center"/>
        <w:rPr>
          <w:rFonts w:ascii="Times New Roman" w:hAnsi="Times New Roman"/>
          <w:b/>
          <w:sz w:val="28"/>
          <w:szCs w:val="28"/>
        </w:rPr>
      </w:pPr>
      <w:r>
        <w:rPr>
          <w:rFonts w:ascii="Times New Roman" w:hAnsi="Times New Roman"/>
          <w:b/>
          <w:sz w:val="28"/>
          <w:szCs w:val="28"/>
        </w:rPr>
        <w:t xml:space="preserve">проєкту наказу Міністерства освіти і науки «Про затвердження Порядку здійснення громадської акредитації закладу загальної середньої освіти» </w:t>
      </w:r>
    </w:p>
    <w:p w:rsidR="00EF187E" w:rsidRDefault="00EF187E">
      <w:pPr>
        <w:spacing w:after="0" w:line="240" w:lineRule="auto"/>
        <w:rPr>
          <w:rFonts w:ascii="Times New Roman" w:hAnsi="Times New Roman"/>
          <w:sz w:val="28"/>
          <w:szCs w:val="28"/>
        </w:rPr>
      </w:pPr>
    </w:p>
    <w:p w:rsidR="00EF187E" w:rsidRDefault="001E22A9">
      <w:pPr>
        <w:pStyle w:val="1"/>
        <w:numPr>
          <w:ilvl w:val="0"/>
          <w:numId w:val="10"/>
        </w:numPr>
        <w:spacing w:before="120" w:after="120"/>
      </w:pPr>
      <w:bookmarkStart w:id="0" w:name="_Toc3536283"/>
      <w:r>
        <w:t>Визначення проблеми</w:t>
      </w:r>
      <w:bookmarkEnd w:id="0"/>
    </w:p>
    <w:p w:rsidR="00EF187E" w:rsidRDefault="001E22A9">
      <w:pPr>
        <w:spacing w:after="0" w:line="240" w:lineRule="auto"/>
        <w:ind w:firstLine="567"/>
        <w:jc w:val="both"/>
        <w:rPr>
          <w:rStyle w:val="rvts0"/>
          <w:rFonts w:ascii="Times New Roman" w:hAnsi="Times New Roman"/>
          <w:sz w:val="28"/>
          <w:szCs w:val="28"/>
        </w:rPr>
      </w:pPr>
      <w:r>
        <w:rPr>
          <w:rStyle w:val="rvts0"/>
          <w:rFonts w:ascii="Times New Roman" w:hAnsi="Times New Roman"/>
          <w:sz w:val="28"/>
          <w:szCs w:val="28"/>
        </w:rPr>
        <w:t>Згідно з пунктом 1 Положення про Міністерство освіти і науки України, затвердженого постановою Кабінету Міністрів України від 16.10.2014 № 630, МОН є головним органом у системі центральних органів виконавчої влади, що забезпечує формування та реалізує державну політику у сфері освіти. Згідно з підпунктом 5 пункту 4 зазначеного Положення МОН, зокрема, здійснює нормативно-правове регулювання у сфері освіти.</w:t>
      </w:r>
    </w:p>
    <w:p w:rsidR="00EF187E" w:rsidRDefault="001E22A9">
      <w:pPr>
        <w:pStyle w:val="rvps2"/>
        <w:shd w:val="clear" w:color="auto" w:fill="FFFFFF"/>
        <w:spacing w:before="0" w:beforeAutospacing="0" w:after="0" w:afterAutospacing="0"/>
        <w:ind w:firstLine="567"/>
        <w:jc w:val="both"/>
        <w:rPr>
          <w:rStyle w:val="rvts0"/>
          <w:sz w:val="28"/>
          <w:szCs w:val="28"/>
          <w:lang w:eastAsia="en-US"/>
        </w:rPr>
      </w:pPr>
      <w:r>
        <w:rPr>
          <w:rStyle w:val="rvts0"/>
          <w:sz w:val="28"/>
          <w:szCs w:val="28"/>
          <w:lang w:eastAsia="en-US"/>
        </w:rPr>
        <w:t>Метою розбудови та функціонування системи забезпечення якості освіти в Україні є постійне та послідовне підвищення якості освіти, а також допомога закладам освіти в підвищенні якості освіти (абзаци п’ятий, шостий пункту один статті 49 Закону України «Про освіту»).</w:t>
      </w:r>
    </w:p>
    <w:p w:rsidR="00EF187E" w:rsidRDefault="001E22A9">
      <w:pPr>
        <w:spacing w:after="0" w:line="240" w:lineRule="auto"/>
        <w:ind w:firstLine="567"/>
        <w:contextualSpacing/>
        <w:jc w:val="both"/>
        <w:rPr>
          <w:rStyle w:val="rvts0"/>
          <w:rFonts w:ascii="Times New Roman" w:hAnsi="Times New Roman"/>
          <w:sz w:val="28"/>
          <w:szCs w:val="28"/>
        </w:rPr>
      </w:pPr>
      <w:bookmarkStart w:id="1" w:name="n577"/>
      <w:bookmarkEnd w:id="1"/>
      <w:r>
        <w:rPr>
          <w:rStyle w:val="rvts0"/>
          <w:rFonts w:ascii="Times New Roman" w:hAnsi="Times New Roman"/>
          <w:sz w:val="28"/>
          <w:szCs w:val="28"/>
        </w:rPr>
        <w:t xml:space="preserve">Наразі процедурою зовнішнього оцінювання якості освітив в закладах загальної середньої освіти (далі – заклади освіти) та забезпечення досягнення здобувачами освіти результатів навчання передбачених освітньою(іми програмою(ами) і державним(и) стандартом(ами) є процедура громадської акредитації, що визначена статтею 49 Закону України «Про освіту» та статтею 50 Закону України «Про повну загальну середню освіту». </w:t>
      </w:r>
    </w:p>
    <w:p w:rsidR="00EF187E" w:rsidRDefault="001E22A9">
      <w:pPr>
        <w:pStyle w:val="ae"/>
        <w:ind w:firstLine="567"/>
        <w:jc w:val="both"/>
        <w:rPr>
          <w:sz w:val="28"/>
          <w:szCs w:val="28"/>
        </w:rPr>
      </w:pPr>
      <w:r>
        <w:rPr>
          <w:sz w:val="28"/>
          <w:szCs w:val="28"/>
        </w:rPr>
        <w:t>Відповідно до частини другої статті 50 Закону України «Про повну загальну середню освіту» г</w:t>
      </w:r>
      <w:r>
        <w:rPr>
          <w:sz w:val="28"/>
          <w:szCs w:val="28"/>
          <w:shd w:val="clear" w:color="auto" w:fill="FFFFFF"/>
        </w:rPr>
        <w:t>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r>
        <w:rPr>
          <w:color w:val="333333"/>
          <w:sz w:val="28"/>
          <w:szCs w:val="28"/>
          <w:shd w:val="clear" w:color="auto" w:fill="FFFFFF"/>
        </w:rPr>
        <w:t>.</w:t>
      </w:r>
    </w:p>
    <w:p w:rsidR="00EF187E" w:rsidRDefault="001E22A9">
      <w:pPr>
        <w:pStyle w:val="rvps2"/>
        <w:shd w:val="clear" w:color="auto" w:fill="FFFFFF"/>
        <w:spacing w:before="0" w:beforeAutospacing="0" w:after="0" w:afterAutospacing="0"/>
        <w:ind w:firstLine="567"/>
        <w:jc w:val="both"/>
        <w:rPr>
          <w:rStyle w:val="rvts0"/>
          <w:sz w:val="28"/>
          <w:szCs w:val="28"/>
        </w:rPr>
      </w:pPr>
      <w:bookmarkStart w:id="2" w:name="n711"/>
      <w:bookmarkEnd w:id="2"/>
      <w:r>
        <w:rPr>
          <w:rStyle w:val="rvts0"/>
          <w:sz w:val="28"/>
          <w:szCs w:val="28"/>
        </w:rPr>
        <w:t xml:space="preserve">Водночас проведення згаданої вище процедури є неможливим, оскільки не унормовані єдині підходи до її здійснення. Враховуючи вищевикладене постає необхідність у розробленні та нормативному визначенні механізму і особливостей її здійснення. </w:t>
      </w:r>
    </w:p>
    <w:p w:rsidR="00EF187E" w:rsidRDefault="001E22A9">
      <w:pPr>
        <w:spacing w:after="0" w:line="240" w:lineRule="auto"/>
        <w:ind w:firstLine="567"/>
        <w:jc w:val="both"/>
        <w:rPr>
          <w:rStyle w:val="rvts0"/>
          <w:rFonts w:ascii="Times New Roman" w:hAnsi="Times New Roman"/>
          <w:sz w:val="28"/>
          <w:szCs w:val="28"/>
        </w:rPr>
      </w:pPr>
      <w:r>
        <w:rPr>
          <w:rStyle w:val="rvts0"/>
          <w:rFonts w:ascii="Times New Roman" w:hAnsi="Times New Roman"/>
          <w:sz w:val="28"/>
          <w:szCs w:val="28"/>
        </w:rPr>
        <w:t xml:space="preserve">Передбачається, що дія проєкту регуляторного акта поширюватиметься на всі заклади загальної середньої освіти незалежно від їх підпорядкування, типів і форм власності. За інформацією державної наукової установи «Інститу освітньої аналітики» наразі в Україні загалом функціонує 13556 </w:t>
      </w:r>
      <w:r>
        <w:rPr>
          <w:rFonts w:ascii="Times New Roman" w:hAnsi="Times New Roman"/>
          <w:sz w:val="28"/>
          <w:szCs w:val="28"/>
          <w:lang w:eastAsia="ru-RU"/>
        </w:rPr>
        <w:t>закладів загальної середньої освіти.</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Реалізація Проєкту вплине на:</w:t>
      </w:r>
    </w:p>
    <w:tbl>
      <w:tblPr>
        <w:tblStyle w:val="afa"/>
        <w:tblW w:w="0" w:type="auto"/>
        <w:tblLook w:val="04A0" w:firstRow="1" w:lastRow="0" w:firstColumn="1" w:lastColumn="0" w:noHBand="0" w:noVBand="1"/>
      </w:tblPr>
      <w:tblGrid>
        <w:gridCol w:w="3148"/>
        <w:gridCol w:w="3100"/>
        <w:gridCol w:w="3096"/>
      </w:tblGrid>
      <w:tr w:rsidR="00EF187E">
        <w:tc>
          <w:tcPr>
            <w:tcW w:w="3148"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Групи (підгрупи)</w:t>
            </w:r>
          </w:p>
        </w:tc>
        <w:tc>
          <w:tcPr>
            <w:tcW w:w="310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Так</w:t>
            </w:r>
          </w:p>
        </w:tc>
        <w:tc>
          <w:tcPr>
            <w:tcW w:w="3096"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Ні</w:t>
            </w:r>
          </w:p>
        </w:tc>
      </w:tr>
      <w:tr w:rsidR="00EF187E">
        <w:tc>
          <w:tcPr>
            <w:tcW w:w="3148" w:type="dxa"/>
          </w:tcPr>
          <w:p w:rsidR="00EF187E" w:rsidRDefault="001E22A9">
            <w:pPr>
              <w:spacing w:line="240" w:lineRule="auto"/>
              <w:rPr>
                <w:rFonts w:ascii="Times New Roman" w:hAnsi="Times New Roman"/>
                <w:sz w:val="24"/>
                <w:szCs w:val="28"/>
              </w:rPr>
            </w:pPr>
            <w:r>
              <w:rPr>
                <w:rFonts w:ascii="Times New Roman" w:hAnsi="Times New Roman"/>
                <w:sz w:val="24"/>
                <w:szCs w:val="28"/>
              </w:rPr>
              <w:t>Громадяни</w:t>
            </w:r>
          </w:p>
        </w:tc>
        <w:tc>
          <w:tcPr>
            <w:tcW w:w="310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w:t>
            </w:r>
          </w:p>
        </w:tc>
        <w:tc>
          <w:tcPr>
            <w:tcW w:w="3096"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w:t>
            </w:r>
          </w:p>
        </w:tc>
      </w:tr>
      <w:tr w:rsidR="00EF187E">
        <w:tc>
          <w:tcPr>
            <w:tcW w:w="3148" w:type="dxa"/>
          </w:tcPr>
          <w:p w:rsidR="00EF187E" w:rsidRDefault="001E22A9">
            <w:pPr>
              <w:spacing w:line="240" w:lineRule="auto"/>
              <w:rPr>
                <w:rFonts w:ascii="Times New Roman" w:hAnsi="Times New Roman"/>
                <w:sz w:val="24"/>
                <w:szCs w:val="28"/>
              </w:rPr>
            </w:pPr>
            <w:r>
              <w:rPr>
                <w:rFonts w:ascii="Times New Roman" w:hAnsi="Times New Roman"/>
                <w:sz w:val="24"/>
                <w:szCs w:val="28"/>
              </w:rPr>
              <w:t>Держава</w:t>
            </w:r>
          </w:p>
        </w:tc>
        <w:tc>
          <w:tcPr>
            <w:tcW w:w="310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w:t>
            </w:r>
          </w:p>
        </w:tc>
        <w:tc>
          <w:tcPr>
            <w:tcW w:w="3096"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w:t>
            </w:r>
          </w:p>
        </w:tc>
      </w:tr>
      <w:tr w:rsidR="00EF187E">
        <w:tc>
          <w:tcPr>
            <w:tcW w:w="3148" w:type="dxa"/>
          </w:tcPr>
          <w:p w:rsidR="00EF187E" w:rsidRDefault="001E22A9">
            <w:pPr>
              <w:spacing w:line="240" w:lineRule="auto"/>
              <w:rPr>
                <w:rFonts w:ascii="Times New Roman" w:hAnsi="Times New Roman"/>
                <w:sz w:val="24"/>
                <w:szCs w:val="28"/>
              </w:rPr>
            </w:pPr>
            <w:r>
              <w:rPr>
                <w:rFonts w:ascii="Times New Roman" w:hAnsi="Times New Roman"/>
                <w:sz w:val="24"/>
                <w:szCs w:val="28"/>
              </w:rPr>
              <w:t>Суб’єкти господарювання,  у тому числі суб’єкти малого підприємництва</w:t>
            </w:r>
          </w:p>
        </w:tc>
        <w:tc>
          <w:tcPr>
            <w:tcW w:w="310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w:t>
            </w:r>
          </w:p>
        </w:tc>
        <w:tc>
          <w:tcPr>
            <w:tcW w:w="3096"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w:t>
            </w:r>
          </w:p>
        </w:tc>
      </w:tr>
    </w:tbl>
    <w:p w:rsidR="00EF187E" w:rsidRDefault="00EF187E">
      <w:pPr>
        <w:spacing w:after="0" w:line="240" w:lineRule="auto"/>
        <w:ind w:firstLine="567"/>
        <w:jc w:val="both"/>
        <w:rPr>
          <w:rFonts w:ascii="Times New Roman" w:hAnsi="Times New Roman"/>
          <w:sz w:val="28"/>
          <w:szCs w:val="28"/>
        </w:rPr>
      </w:pPr>
    </w:p>
    <w:p w:rsidR="00EF187E" w:rsidRDefault="001E22A9">
      <w:pPr>
        <w:spacing w:line="240" w:lineRule="auto"/>
        <w:rPr>
          <w:rFonts w:ascii="Times New Roman" w:hAnsi="Times New Roman"/>
          <w:sz w:val="28"/>
          <w:szCs w:val="28"/>
        </w:rPr>
      </w:pPr>
      <w:r>
        <w:rPr>
          <w:rFonts w:ascii="Times New Roman" w:hAnsi="Times New Roman"/>
          <w:sz w:val="28"/>
          <w:szCs w:val="28"/>
        </w:rPr>
        <w:br w:type="page"/>
      </w:r>
    </w:p>
    <w:p w:rsidR="00EF187E" w:rsidRDefault="00EF187E">
      <w:pPr>
        <w:spacing w:after="0" w:line="240" w:lineRule="auto"/>
        <w:ind w:firstLine="567"/>
        <w:jc w:val="both"/>
        <w:rPr>
          <w:rFonts w:ascii="Times New Roman" w:hAnsi="Times New Roman"/>
          <w:sz w:val="28"/>
          <w:szCs w:val="28"/>
        </w:rPr>
      </w:pP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Також ця проблема не може бути розв’язана за допомогою діючих регуляторних актів, у зв’язку з тим, що на сьогодні відсутні регуляторні акти, які б вирішували зазначену проблему.</w:t>
      </w:r>
    </w:p>
    <w:p w:rsidR="00EF187E" w:rsidRDefault="00EF187E">
      <w:pPr>
        <w:spacing w:after="0" w:line="240" w:lineRule="auto"/>
        <w:rPr>
          <w:rFonts w:ascii="Times New Roman" w:hAnsi="Times New Roman"/>
          <w:sz w:val="28"/>
          <w:szCs w:val="28"/>
        </w:rPr>
      </w:pPr>
    </w:p>
    <w:p w:rsidR="00EF187E" w:rsidRDefault="001E22A9">
      <w:pPr>
        <w:pStyle w:val="1"/>
      </w:pPr>
      <w:bookmarkStart w:id="3" w:name="_Toc3536284"/>
      <w:r>
        <w:t>II. Цілі державного регулювання</w:t>
      </w:r>
      <w:bookmarkEnd w:id="3"/>
    </w:p>
    <w:p w:rsidR="00EF187E" w:rsidRDefault="00EF187E">
      <w:pPr>
        <w:spacing w:after="0" w:line="240" w:lineRule="auto"/>
        <w:jc w:val="both"/>
        <w:rPr>
          <w:rFonts w:ascii="Times New Roman" w:hAnsi="Times New Roman"/>
          <w:sz w:val="28"/>
          <w:szCs w:val="28"/>
        </w:rPr>
      </w:pPr>
    </w:p>
    <w:p w:rsidR="001E22A9" w:rsidRPr="001E22A9" w:rsidRDefault="001E22A9" w:rsidP="001E22A9">
      <w:pPr>
        <w:tabs>
          <w:tab w:val="left" w:pos="9638"/>
        </w:tabs>
        <w:ind w:firstLine="567"/>
        <w:jc w:val="both"/>
        <w:rPr>
          <w:rFonts w:ascii="Times New Roman" w:hAnsi="Times New Roman"/>
          <w:sz w:val="28"/>
          <w:szCs w:val="28"/>
        </w:rPr>
      </w:pPr>
      <w:r>
        <w:rPr>
          <w:rFonts w:ascii="Times New Roman" w:hAnsi="Times New Roman"/>
          <w:sz w:val="28"/>
          <w:szCs w:val="28"/>
        </w:rPr>
        <w:t>Основною ціллю державного регулювання запропонованого регуляторного акта</w:t>
      </w:r>
      <w:r w:rsidRPr="001E22A9">
        <w:rPr>
          <w:rFonts w:ascii="Times New Roman" w:hAnsi="Times New Roman"/>
          <w:sz w:val="28"/>
          <w:szCs w:val="28"/>
        </w:rPr>
        <w:t xml:space="preserve"> </w:t>
      </w:r>
      <w:r>
        <w:rPr>
          <w:rFonts w:ascii="Times New Roman" w:hAnsi="Times New Roman"/>
          <w:sz w:val="28"/>
          <w:szCs w:val="28"/>
        </w:rPr>
        <w:t>є</w:t>
      </w:r>
      <w:r w:rsidRPr="001E22A9">
        <w:rPr>
          <w:rFonts w:ascii="Times New Roman" w:hAnsi="Times New Roman"/>
          <w:sz w:val="28"/>
          <w:szCs w:val="28"/>
        </w:rPr>
        <w:t xml:space="preserve"> визначення механізму </w:t>
      </w:r>
      <w:r>
        <w:rPr>
          <w:rFonts w:ascii="Times New Roman" w:hAnsi="Times New Roman"/>
          <w:sz w:val="28"/>
          <w:szCs w:val="28"/>
        </w:rPr>
        <w:t xml:space="preserve">та особливостей </w:t>
      </w:r>
      <w:r w:rsidRPr="001E22A9">
        <w:rPr>
          <w:rFonts w:ascii="Times New Roman" w:hAnsi="Times New Roman"/>
          <w:sz w:val="28"/>
          <w:szCs w:val="28"/>
        </w:rPr>
        <w:t>здійснення громадської акредитації закладів, які забезпечують здобуття певного рівня повної загальної середньої освіти, незалежно від їх типу, підпорядкування та форми власності крім структурних підрозділів таких закладів освіти, які провадять освітню діяльність на інших рівнях/складниках освіти, у сфері неформальної освіти.</w:t>
      </w:r>
    </w:p>
    <w:p w:rsidR="00EF187E" w:rsidRDefault="00EF187E">
      <w:pPr>
        <w:pStyle w:val="1"/>
      </w:pPr>
      <w:bookmarkStart w:id="4" w:name="_Toc3536285"/>
    </w:p>
    <w:p w:rsidR="00EF187E" w:rsidRDefault="001E22A9">
      <w:pPr>
        <w:pStyle w:val="1"/>
      </w:pPr>
      <w:r>
        <w:t>III. Визначення та оцінка альтернативних способів досягнення цілей</w:t>
      </w:r>
      <w:bookmarkEnd w:id="4"/>
    </w:p>
    <w:p w:rsidR="00EF187E" w:rsidRDefault="00EF187E">
      <w:pPr>
        <w:pStyle w:val="rvps2"/>
        <w:shd w:val="clear" w:color="auto" w:fill="FFFFFF"/>
        <w:spacing w:before="0" w:beforeAutospacing="0" w:after="0" w:afterAutospacing="0"/>
        <w:ind w:firstLine="567"/>
        <w:rPr>
          <w:b/>
          <w:color w:val="000000"/>
          <w:sz w:val="28"/>
        </w:rPr>
      </w:pPr>
    </w:p>
    <w:p w:rsidR="00EF187E" w:rsidRDefault="001E22A9">
      <w:pPr>
        <w:pStyle w:val="rvps2"/>
        <w:shd w:val="clear" w:color="auto" w:fill="FFFFFF"/>
        <w:spacing w:before="0" w:beforeAutospacing="0" w:after="0" w:afterAutospacing="0"/>
        <w:ind w:firstLine="567"/>
        <w:rPr>
          <w:b/>
          <w:color w:val="000000"/>
          <w:sz w:val="28"/>
        </w:rPr>
      </w:pPr>
      <w:r>
        <w:rPr>
          <w:b/>
          <w:color w:val="000000"/>
          <w:sz w:val="28"/>
        </w:rPr>
        <w:t>1. Визначення альтернативних способів</w:t>
      </w:r>
    </w:p>
    <w:tbl>
      <w:tblPr>
        <w:tblStyle w:val="afa"/>
        <w:tblW w:w="0" w:type="auto"/>
        <w:tblLook w:val="04A0" w:firstRow="1" w:lastRow="0" w:firstColumn="1" w:lastColumn="0" w:noHBand="0" w:noVBand="1"/>
      </w:tblPr>
      <w:tblGrid>
        <w:gridCol w:w="4785"/>
        <w:gridCol w:w="4785"/>
      </w:tblGrid>
      <w:tr w:rsidR="00EF187E">
        <w:tc>
          <w:tcPr>
            <w:tcW w:w="4785" w:type="dxa"/>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Вид альтернативи</w:t>
            </w:r>
          </w:p>
        </w:tc>
        <w:tc>
          <w:tcPr>
            <w:tcW w:w="4785" w:type="dxa"/>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Опис альтернативи</w:t>
            </w:r>
          </w:p>
        </w:tc>
      </w:tr>
      <w:tr w:rsidR="00EF187E">
        <w:tc>
          <w:tcPr>
            <w:tcW w:w="4785" w:type="dxa"/>
          </w:tcPr>
          <w:p w:rsidR="00EF187E" w:rsidRDefault="001E22A9">
            <w:pPr>
              <w:spacing w:line="240" w:lineRule="auto"/>
              <w:rPr>
                <w:rFonts w:ascii="Times New Roman" w:hAnsi="Times New Roman"/>
                <w:sz w:val="24"/>
                <w:szCs w:val="24"/>
              </w:rPr>
            </w:pPr>
            <w:r>
              <w:rPr>
                <w:rFonts w:ascii="Times New Roman" w:hAnsi="Times New Roman"/>
                <w:sz w:val="24"/>
                <w:szCs w:val="24"/>
              </w:rPr>
              <w:t>Альтернатива 1</w:t>
            </w:r>
          </w:p>
          <w:p w:rsidR="00EF187E" w:rsidRDefault="001E22A9">
            <w:pPr>
              <w:spacing w:line="240" w:lineRule="auto"/>
              <w:jc w:val="both"/>
              <w:rPr>
                <w:rFonts w:ascii="Times New Roman" w:hAnsi="Times New Roman"/>
                <w:sz w:val="24"/>
                <w:szCs w:val="24"/>
              </w:rPr>
            </w:pPr>
            <w:r>
              <w:rPr>
                <w:rFonts w:ascii="Times New Roman" w:hAnsi="Times New Roman"/>
                <w:sz w:val="24"/>
                <w:szCs w:val="24"/>
              </w:rPr>
              <w:t>(збереження чинного регулювання)</w:t>
            </w:r>
          </w:p>
          <w:p w:rsidR="00EF187E" w:rsidRDefault="00EF187E">
            <w:pPr>
              <w:spacing w:line="240" w:lineRule="auto"/>
              <w:rPr>
                <w:rFonts w:ascii="Times New Roman" w:hAnsi="Times New Roman"/>
                <w:sz w:val="24"/>
                <w:szCs w:val="24"/>
              </w:rPr>
            </w:pPr>
          </w:p>
        </w:tc>
        <w:tc>
          <w:tcPr>
            <w:tcW w:w="4785" w:type="dxa"/>
          </w:tcPr>
          <w:p w:rsidR="00EF187E" w:rsidRDefault="001E22A9">
            <w:pPr>
              <w:spacing w:line="240" w:lineRule="auto"/>
              <w:jc w:val="both"/>
              <w:rPr>
                <w:rFonts w:ascii="Times New Roman" w:hAnsi="Times New Roman"/>
                <w:sz w:val="24"/>
                <w:szCs w:val="24"/>
              </w:rPr>
            </w:pPr>
            <w:r>
              <w:rPr>
                <w:rFonts w:ascii="Times New Roman" w:hAnsi="Times New Roman"/>
                <w:sz w:val="24"/>
                <w:szCs w:val="24"/>
              </w:rPr>
              <w:t>Відсутність нормативного врегулювання порядку здійснення громадської акредитації призведе до:</w:t>
            </w:r>
          </w:p>
          <w:p w:rsidR="00EF187E" w:rsidRDefault="001E22A9">
            <w:pPr>
              <w:spacing w:line="240" w:lineRule="auto"/>
              <w:jc w:val="both"/>
              <w:rPr>
                <w:rFonts w:ascii="Times New Roman" w:hAnsi="Times New Roman"/>
                <w:sz w:val="24"/>
                <w:szCs w:val="24"/>
              </w:rPr>
            </w:pPr>
            <w:r>
              <w:rPr>
                <w:rFonts w:ascii="Times New Roman" w:hAnsi="Times New Roman"/>
                <w:sz w:val="24"/>
                <w:szCs w:val="24"/>
              </w:rPr>
              <w:t>1) порушення вимог законодавства про освіту в частині проведення громадської акредитації закладу загальної середньої освіти;</w:t>
            </w:r>
          </w:p>
          <w:p w:rsidR="00EF187E" w:rsidRDefault="001E22A9">
            <w:pPr>
              <w:spacing w:line="240" w:lineRule="auto"/>
              <w:jc w:val="both"/>
              <w:rPr>
                <w:rFonts w:ascii="Times New Roman" w:hAnsi="Times New Roman"/>
                <w:sz w:val="24"/>
                <w:szCs w:val="24"/>
              </w:rPr>
            </w:pPr>
            <w:r>
              <w:rPr>
                <w:rFonts w:ascii="Times New Roman" w:hAnsi="Times New Roman"/>
                <w:sz w:val="24"/>
                <w:szCs w:val="24"/>
              </w:rPr>
              <w:t xml:space="preserve">2) позбавить юридичну особу, акредитовану у відповідному порядку, наданої законодавством можливості здійснювати громадську акредитацію закладів освіти </w:t>
            </w:r>
          </w:p>
          <w:p w:rsidR="00EF187E" w:rsidRDefault="001E22A9">
            <w:pPr>
              <w:spacing w:line="240" w:lineRule="auto"/>
              <w:jc w:val="both"/>
              <w:rPr>
                <w:rFonts w:ascii="Times New Roman" w:hAnsi="Times New Roman"/>
                <w:sz w:val="24"/>
                <w:szCs w:val="24"/>
              </w:rPr>
            </w:pPr>
            <w:r>
              <w:rPr>
                <w:rFonts w:ascii="Times New Roman" w:hAnsi="Times New Roman"/>
                <w:sz w:val="24"/>
                <w:szCs w:val="24"/>
              </w:rPr>
              <w:t>3) позбавить заклад освіти можливість обрати процедуру, що дозволить оцінити якість їхньої освіти та визначити чи забезпечено досягнення здобувачами освіти результатів навчання</w:t>
            </w:r>
            <w:r>
              <w:rPr>
                <w:rStyle w:val="rvts0"/>
                <w:rFonts w:ascii="Times New Roman" w:hAnsi="Times New Roman"/>
                <w:sz w:val="28"/>
                <w:szCs w:val="28"/>
              </w:rPr>
              <w:t xml:space="preserve"> </w:t>
            </w:r>
            <w:r>
              <w:rPr>
                <w:rFonts w:ascii="Times New Roman" w:hAnsi="Times New Roman"/>
                <w:sz w:val="24"/>
                <w:szCs w:val="24"/>
              </w:rPr>
              <w:t>передбачених освітньою(іми</w:t>
            </w:r>
            <w:r>
              <w:rPr>
                <w:rFonts w:ascii="Times New Roman" w:hAnsi="Times New Roman"/>
                <w:sz w:val="24"/>
                <w:szCs w:val="24"/>
                <w:lang w:val="en-US"/>
              </w:rPr>
              <w:t>)</w:t>
            </w:r>
            <w:r>
              <w:rPr>
                <w:rFonts w:ascii="Times New Roman" w:hAnsi="Times New Roman"/>
                <w:sz w:val="24"/>
                <w:szCs w:val="24"/>
              </w:rPr>
              <w:t xml:space="preserve"> програмою(ами) і державним(и) стандартом(ами)</w:t>
            </w:r>
          </w:p>
        </w:tc>
      </w:tr>
      <w:tr w:rsidR="00EF187E">
        <w:tc>
          <w:tcPr>
            <w:tcW w:w="4785" w:type="dxa"/>
          </w:tcPr>
          <w:p w:rsidR="00EF187E" w:rsidRDefault="001E22A9">
            <w:pPr>
              <w:tabs>
                <w:tab w:val="left" w:pos="2790"/>
              </w:tabs>
              <w:spacing w:line="240" w:lineRule="auto"/>
              <w:rPr>
                <w:rFonts w:ascii="Times New Roman" w:hAnsi="Times New Roman"/>
                <w:sz w:val="24"/>
                <w:szCs w:val="24"/>
              </w:rPr>
            </w:pPr>
            <w:r>
              <w:rPr>
                <w:rFonts w:ascii="Times New Roman" w:hAnsi="Times New Roman"/>
                <w:sz w:val="24"/>
                <w:szCs w:val="24"/>
              </w:rPr>
              <w:t>Альтернатива 2</w:t>
            </w:r>
          </w:p>
          <w:p w:rsidR="00EF187E" w:rsidRDefault="001E22A9">
            <w:pPr>
              <w:tabs>
                <w:tab w:val="left" w:pos="2790"/>
              </w:tabs>
              <w:spacing w:line="240" w:lineRule="auto"/>
              <w:rPr>
                <w:rFonts w:ascii="Times New Roman" w:hAnsi="Times New Roman"/>
                <w:sz w:val="24"/>
                <w:szCs w:val="24"/>
              </w:rPr>
            </w:pPr>
            <w:r>
              <w:rPr>
                <w:rFonts w:ascii="Times New Roman" w:hAnsi="Times New Roman"/>
                <w:sz w:val="24"/>
                <w:szCs w:val="24"/>
              </w:rPr>
              <w:t>(Міністерством освіти і науки України прийнято регуляторний акт)</w:t>
            </w:r>
          </w:p>
        </w:tc>
        <w:tc>
          <w:tcPr>
            <w:tcW w:w="4785" w:type="dxa"/>
          </w:tcPr>
          <w:p w:rsidR="00EF187E" w:rsidRDefault="001E22A9">
            <w:pPr>
              <w:spacing w:line="240" w:lineRule="auto"/>
              <w:jc w:val="both"/>
              <w:rPr>
                <w:rFonts w:ascii="Times New Roman" w:hAnsi="Times New Roman"/>
                <w:sz w:val="24"/>
                <w:szCs w:val="24"/>
              </w:rPr>
            </w:pPr>
            <w:r>
              <w:rPr>
                <w:rFonts w:ascii="Times New Roman" w:hAnsi="Times New Roman"/>
                <w:sz w:val="24"/>
                <w:szCs w:val="24"/>
              </w:rPr>
              <w:t>Забезпечує досягнення цілей. Сприятиме реалізації засад державної політики у сфері освіти та принципів освітньої діяльності. Дозволить запровадити в Україні єдину процедуру здійснення громадської акредитації, механізму її проведення та можливість закладу освіти обирати процедуру зовнішнього оцінювання якості освіти серед можливих, що визначені законодавством</w:t>
            </w:r>
          </w:p>
        </w:tc>
      </w:tr>
    </w:tbl>
    <w:p w:rsidR="00EF187E" w:rsidRDefault="00EF187E">
      <w:pPr>
        <w:spacing w:after="0" w:line="240" w:lineRule="auto"/>
        <w:rPr>
          <w:rFonts w:ascii="Times New Roman" w:hAnsi="Times New Roman"/>
          <w:sz w:val="28"/>
          <w:szCs w:val="28"/>
        </w:rPr>
      </w:pPr>
    </w:p>
    <w:p w:rsidR="00EF187E" w:rsidRDefault="001E22A9">
      <w:pPr>
        <w:spacing w:after="0" w:line="240" w:lineRule="auto"/>
        <w:ind w:firstLine="567"/>
        <w:rPr>
          <w:rFonts w:ascii="Times New Roman" w:hAnsi="Times New Roman"/>
          <w:b/>
          <w:sz w:val="28"/>
          <w:szCs w:val="28"/>
        </w:rPr>
      </w:pPr>
      <w:r>
        <w:rPr>
          <w:rFonts w:ascii="Times New Roman" w:hAnsi="Times New Roman"/>
          <w:b/>
          <w:sz w:val="28"/>
          <w:szCs w:val="28"/>
        </w:rPr>
        <w:t>2. Оцінка вибраних альтернативних способів досягнення цілей</w:t>
      </w:r>
    </w:p>
    <w:p w:rsidR="00EF187E" w:rsidRDefault="00EF187E">
      <w:pPr>
        <w:spacing w:after="0" w:line="240" w:lineRule="auto"/>
        <w:jc w:val="both"/>
        <w:rPr>
          <w:rFonts w:ascii="Times New Roman" w:hAnsi="Times New Roman"/>
          <w:sz w:val="28"/>
          <w:szCs w:val="28"/>
        </w:rPr>
      </w:pP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Дія проєкту акта буде поширюватися на:</w:t>
      </w:r>
    </w:p>
    <w:p w:rsidR="00EF187E" w:rsidRDefault="001E22A9">
      <w:pPr>
        <w:pStyle w:val="a9"/>
        <w:numPr>
          <w:ilvl w:val="0"/>
          <w:numId w:val="14"/>
        </w:numPr>
        <w:spacing w:after="0" w:line="240" w:lineRule="auto"/>
        <w:ind w:left="0" w:firstLine="567"/>
        <w:jc w:val="both"/>
        <w:rPr>
          <w:rFonts w:ascii="Times New Roman" w:hAnsi="Times New Roman"/>
          <w:sz w:val="28"/>
          <w:szCs w:val="28"/>
        </w:rPr>
      </w:pPr>
      <w:r>
        <w:rPr>
          <w:rFonts w:ascii="Times New Roman" w:hAnsi="Times New Roman"/>
          <w:sz w:val="28"/>
          <w:szCs w:val="28"/>
        </w:rPr>
        <w:t>заклади освіти, які виступають в якості замовників цієї послуги;</w:t>
      </w:r>
    </w:p>
    <w:p w:rsidR="00EF187E" w:rsidRDefault="001E22A9">
      <w:pPr>
        <w:pStyle w:val="a9"/>
        <w:numPr>
          <w:ilvl w:val="0"/>
          <w:numId w:val="14"/>
        </w:numPr>
        <w:spacing w:after="0" w:line="240" w:lineRule="auto"/>
        <w:ind w:left="0" w:firstLine="567"/>
        <w:jc w:val="both"/>
        <w:rPr>
          <w:rFonts w:ascii="Times New Roman" w:hAnsi="Times New Roman"/>
          <w:sz w:val="28"/>
          <w:szCs w:val="28"/>
        </w:rPr>
      </w:pPr>
      <w:r>
        <w:rPr>
          <w:rFonts w:ascii="Times New Roman" w:hAnsi="Times New Roman"/>
          <w:sz w:val="28"/>
          <w:szCs w:val="28"/>
        </w:rPr>
        <w:t>юридичні особи, акредитовані в установленому порядку, які виступають в якості тих, хто надає цю послугу;</w:t>
      </w:r>
    </w:p>
    <w:p w:rsidR="00EF187E" w:rsidRDefault="001E22A9">
      <w:pPr>
        <w:pStyle w:val="a9"/>
        <w:numPr>
          <w:ilvl w:val="0"/>
          <w:numId w:val="14"/>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Державну службу якості освіти та її територіальні органи, що виступає в якості органу, який здійснює акредитацію юридичних осіб, позбавляє їх акредитації та веде реєстр акредитованих юридичних осіб, що здійснюють незалежне оцінювання якості освіти та якості освітньої діяльності, а також організовує навчання експертів, залучених до здійснення громадської акредитації, узагальнює та аналізує інформацію, надану юридичною особою, за результатами проведеної громадської акредитації закладів освіти. </w:t>
      </w:r>
    </w:p>
    <w:p w:rsidR="00EF187E" w:rsidRDefault="00EF187E">
      <w:pPr>
        <w:spacing w:after="0" w:line="240" w:lineRule="auto"/>
        <w:rPr>
          <w:rFonts w:ascii="Times New Roman" w:hAnsi="Times New Roman"/>
          <w:sz w:val="28"/>
          <w:szCs w:val="28"/>
        </w:rPr>
      </w:pPr>
    </w:p>
    <w:p w:rsidR="00EF187E" w:rsidRDefault="001E22A9">
      <w:pPr>
        <w:spacing w:after="0" w:line="240" w:lineRule="auto"/>
        <w:jc w:val="center"/>
        <w:rPr>
          <w:rFonts w:ascii="Times New Roman" w:hAnsi="Times New Roman"/>
          <w:sz w:val="28"/>
          <w:szCs w:val="28"/>
        </w:rPr>
      </w:pPr>
      <w:r>
        <w:rPr>
          <w:rFonts w:ascii="Times New Roman" w:hAnsi="Times New Roman"/>
          <w:sz w:val="28"/>
          <w:szCs w:val="28"/>
        </w:rPr>
        <w:t>Оцінка впливу на сферу інтересів держави</w:t>
      </w:r>
    </w:p>
    <w:p w:rsidR="00EF187E" w:rsidRDefault="00EF187E">
      <w:pPr>
        <w:spacing w:after="0" w:line="240" w:lineRule="auto"/>
        <w:rPr>
          <w:rFonts w:ascii="Times New Roman" w:hAnsi="Times New Roman"/>
          <w:sz w:val="28"/>
          <w:szCs w:val="28"/>
        </w:rPr>
      </w:pPr>
    </w:p>
    <w:tbl>
      <w:tblPr>
        <w:tblStyle w:val="afa"/>
        <w:tblW w:w="0" w:type="auto"/>
        <w:tblLook w:val="04A0" w:firstRow="1" w:lastRow="0" w:firstColumn="1" w:lastColumn="0" w:noHBand="0" w:noVBand="1"/>
      </w:tblPr>
      <w:tblGrid>
        <w:gridCol w:w="2878"/>
        <w:gridCol w:w="3482"/>
        <w:gridCol w:w="2984"/>
      </w:tblGrid>
      <w:tr w:rsidR="00EF187E">
        <w:tc>
          <w:tcPr>
            <w:tcW w:w="2878"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Вид альтернативи</w:t>
            </w:r>
          </w:p>
        </w:tc>
        <w:tc>
          <w:tcPr>
            <w:tcW w:w="3482"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Вигоди</w:t>
            </w:r>
          </w:p>
        </w:tc>
        <w:tc>
          <w:tcPr>
            <w:tcW w:w="2984"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Витрати</w:t>
            </w:r>
          </w:p>
        </w:tc>
      </w:tr>
      <w:tr w:rsidR="00EF187E">
        <w:tc>
          <w:tcPr>
            <w:tcW w:w="2878" w:type="dxa"/>
          </w:tcPr>
          <w:p w:rsidR="00EF187E" w:rsidRDefault="001E22A9">
            <w:pPr>
              <w:spacing w:line="240" w:lineRule="auto"/>
              <w:rPr>
                <w:rFonts w:ascii="Times New Roman" w:hAnsi="Times New Roman"/>
                <w:sz w:val="24"/>
                <w:szCs w:val="28"/>
              </w:rPr>
            </w:pPr>
            <w:r>
              <w:rPr>
                <w:rFonts w:ascii="Times New Roman" w:hAnsi="Times New Roman"/>
                <w:sz w:val="24"/>
                <w:szCs w:val="28"/>
              </w:rPr>
              <w:t>Альтернатива 1</w:t>
            </w:r>
          </w:p>
        </w:tc>
        <w:tc>
          <w:tcPr>
            <w:tcW w:w="3482"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p w:rsidR="008761E6" w:rsidRPr="008761E6" w:rsidRDefault="008761E6" w:rsidP="008761E6">
            <w:pPr>
              <w:spacing w:line="240" w:lineRule="auto"/>
              <w:jc w:val="both"/>
              <w:rPr>
                <w:rFonts w:ascii="Times New Roman" w:hAnsi="Times New Roman"/>
                <w:sz w:val="24"/>
                <w:szCs w:val="28"/>
              </w:rPr>
            </w:pPr>
            <w:r w:rsidRPr="008761E6">
              <w:rPr>
                <w:rFonts w:ascii="Times New Roman" w:hAnsi="Times New Roman"/>
                <w:sz w:val="24"/>
                <w:szCs w:val="28"/>
              </w:rPr>
              <w:t>Відсутність нормативного врегулювання порядку здійснення громадської акредитації призведе до:</w:t>
            </w:r>
          </w:p>
          <w:p w:rsidR="008761E6" w:rsidRPr="008761E6" w:rsidRDefault="008761E6" w:rsidP="008761E6">
            <w:pPr>
              <w:spacing w:line="240" w:lineRule="auto"/>
              <w:jc w:val="both"/>
              <w:rPr>
                <w:rFonts w:ascii="Times New Roman" w:hAnsi="Times New Roman"/>
                <w:sz w:val="24"/>
                <w:szCs w:val="28"/>
              </w:rPr>
            </w:pPr>
            <w:r w:rsidRPr="008761E6">
              <w:rPr>
                <w:rFonts w:ascii="Times New Roman" w:hAnsi="Times New Roman"/>
                <w:sz w:val="24"/>
                <w:szCs w:val="28"/>
              </w:rPr>
              <w:t>1) порушення вимог законодавства про освіту в частині проведення громадської акредитації закладу загальної середньої освіти;</w:t>
            </w:r>
          </w:p>
          <w:p w:rsidR="008761E6" w:rsidRPr="008761E6" w:rsidRDefault="008761E6" w:rsidP="008761E6">
            <w:pPr>
              <w:spacing w:line="240" w:lineRule="auto"/>
              <w:jc w:val="both"/>
              <w:rPr>
                <w:rFonts w:ascii="Times New Roman" w:hAnsi="Times New Roman"/>
                <w:sz w:val="24"/>
                <w:szCs w:val="28"/>
              </w:rPr>
            </w:pPr>
            <w:r w:rsidRPr="008761E6">
              <w:rPr>
                <w:rFonts w:ascii="Times New Roman" w:hAnsi="Times New Roman"/>
                <w:sz w:val="24"/>
                <w:szCs w:val="28"/>
              </w:rPr>
              <w:t xml:space="preserve">2) позбавить юридичну особу, акредитовану у відповідному порядку, наданої законодавством можливості здійснювати громадську акредитацію закладів освіти </w:t>
            </w:r>
          </w:p>
          <w:p w:rsidR="008761E6" w:rsidRDefault="008761E6" w:rsidP="008761E6">
            <w:pPr>
              <w:spacing w:line="240" w:lineRule="auto"/>
              <w:jc w:val="both"/>
              <w:rPr>
                <w:rFonts w:ascii="Times New Roman" w:hAnsi="Times New Roman"/>
                <w:sz w:val="24"/>
                <w:szCs w:val="28"/>
              </w:rPr>
            </w:pPr>
            <w:r w:rsidRPr="008761E6">
              <w:rPr>
                <w:rFonts w:ascii="Times New Roman" w:hAnsi="Times New Roman"/>
                <w:sz w:val="24"/>
                <w:szCs w:val="28"/>
              </w:rPr>
              <w:t>3) позбавить заклад освіти можливість обрати процедуру, що дозволить оцінити якість їхньої освіти та визначити чи забезпечено досягнення здобувачами освіти результатів навчання передбачених освітньою(іми) програмою(ами) і державним(и) стандартом(ами)</w:t>
            </w:r>
          </w:p>
        </w:tc>
        <w:tc>
          <w:tcPr>
            <w:tcW w:w="2984"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tc>
      </w:tr>
      <w:tr w:rsidR="00EF187E">
        <w:tc>
          <w:tcPr>
            <w:tcW w:w="2878" w:type="dxa"/>
          </w:tcPr>
          <w:p w:rsidR="00EF187E" w:rsidRDefault="001E22A9">
            <w:pPr>
              <w:spacing w:line="240" w:lineRule="auto"/>
              <w:rPr>
                <w:rFonts w:ascii="Times New Roman" w:hAnsi="Times New Roman"/>
                <w:sz w:val="24"/>
                <w:szCs w:val="28"/>
              </w:rPr>
            </w:pPr>
            <w:r>
              <w:rPr>
                <w:rFonts w:ascii="Times New Roman" w:hAnsi="Times New Roman"/>
                <w:sz w:val="24"/>
                <w:szCs w:val="28"/>
              </w:rPr>
              <w:t>Альтернатива 2</w:t>
            </w:r>
          </w:p>
        </w:tc>
        <w:tc>
          <w:tcPr>
            <w:tcW w:w="3482" w:type="dxa"/>
            <w:shd w:val="clear" w:color="auto" w:fill="auto"/>
          </w:tcPr>
          <w:p w:rsidR="00EF187E" w:rsidRDefault="001E22A9">
            <w:pPr>
              <w:spacing w:line="240" w:lineRule="auto"/>
              <w:jc w:val="both"/>
              <w:rPr>
                <w:rFonts w:ascii="Times New Roman" w:hAnsi="Times New Roman"/>
                <w:sz w:val="24"/>
                <w:szCs w:val="28"/>
              </w:rPr>
            </w:pPr>
            <w:r>
              <w:rPr>
                <w:rFonts w:ascii="Times New Roman" w:hAnsi="Times New Roman"/>
                <w:sz w:val="24"/>
                <w:szCs w:val="28"/>
              </w:rPr>
              <w:t>Запровадження процедури здійснення громадської акредитації закладів загальної середньої освіти надасть можливість отримати інформацію про:</w:t>
            </w:r>
          </w:p>
          <w:p w:rsidR="00EF187E" w:rsidRDefault="001E22A9">
            <w:pPr>
              <w:spacing w:line="240" w:lineRule="auto"/>
              <w:jc w:val="both"/>
              <w:rPr>
                <w:rFonts w:ascii="Times New Roman" w:hAnsi="Times New Roman"/>
                <w:sz w:val="24"/>
                <w:szCs w:val="28"/>
              </w:rPr>
            </w:pPr>
            <w:r>
              <w:rPr>
                <w:rFonts w:ascii="Times New Roman" w:hAnsi="Times New Roman"/>
                <w:sz w:val="24"/>
                <w:szCs w:val="24"/>
              </w:rPr>
              <w:lastRenderedPageBreak/>
              <w:t>1) забезпечення досягнення здобувачами освіти результатів навчання</w:t>
            </w:r>
            <w:r>
              <w:rPr>
                <w:rStyle w:val="rvts0"/>
                <w:rFonts w:ascii="Times New Roman" w:hAnsi="Times New Roman"/>
                <w:sz w:val="28"/>
                <w:szCs w:val="28"/>
              </w:rPr>
              <w:t xml:space="preserve"> </w:t>
            </w:r>
            <w:r>
              <w:rPr>
                <w:rFonts w:ascii="Times New Roman" w:hAnsi="Times New Roman"/>
                <w:sz w:val="24"/>
                <w:szCs w:val="28"/>
              </w:rPr>
              <w:t>передбачених освітньою(іми) програмою(ами) і державним(и) стандартом(ами);</w:t>
            </w:r>
          </w:p>
          <w:p w:rsidR="00EF187E" w:rsidRDefault="001E22A9">
            <w:pPr>
              <w:spacing w:line="240" w:lineRule="auto"/>
              <w:jc w:val="both"/>
              <w:rPr>
                <w:rFonts w:ascii="Times New Roman" w:hAnsi="Times New Roman"/>
                <w:sz w:val="24"/>
                <w:szCs w:val="28"/>
              </w:rPr>
            </w:pPr>
            <w:r>
              <w:rPr>
                <w:rFonts w:ascii="Times New Roman" w:hAnsi="Times New Roman"/>
                <w:sz w:val="24"/>
                <w:szCs w:val="28"/>
              </w:rPr>
              <w:t>2) про результати експерементального впровадження освітніх програм, розроблених не на основі типових;</w:t>
            </w:r>
          </w:p>
          <w:p w:rsidR="00EF187E" w:rsidRDefault="001E22A9">
            <w:pPr>
              <w:spacing w:line="240" w:lineRule="auto"/>
              <w:jc w:val="both"/>
              <w:rPr>
                <w:rFonts w:ascii="Times New Roman" w:hAnsi="Times New Roman"/>
                <w:sz w:val="24"/>
                <w:szCs w:val="28"/>
              </w:rPr>
            </w:pPr>
            <w:r>
              <w:rPr>
                <w:rFonts w:ascii="Times New Roman" w:hAnsi="Times New Roman"/>
                <w:sz w:val="24"/>
                <w:szCs w:val="28"/>
              </w:rPr>
              <w:t>3) якість освітньої діяльності закладів освіти,</w:t>
            </w:r>
          </w:p>
          <w:p w:rsidR="00EF187E" w:rsidRDefault="001E22A9">
            <w:pPr>
              <w:spacing w:line="240" w:lineRule="auto"/>
              <w:ind w:firstLine="414"/>
              <w:jc w:val="both"/>
              <w:rPr>
                <w:rFonts w:ascii="Times New Roman" w:hAnsi="Times New Roman"/>
                <w:sz w:val="24"/>
                <w:szCs w:val="28"/>
                <w:highlight w:val="yellow"/>
              </w:rPr>
            </w:pPr>
            <w:r>
              <w:rPr>
                <w:rFonts w:ascii="Times New Roman" w:hAnsi="Times New Roman"/>
                <w:sz w:val="24"/>
                <w:szCs w:val="24"/>
              </w:rPr>
              <w:t>Окрім цього, запровадження зазначеної процедури сприятиме розвитку альтернативних підходів до оцінювання якості освіти та освітньої діяльності закладів освіти, а також розвитку експертного середовища</w:t>
            </w:r>
          </w:p>
        </w:tc>
        <w:tc>
          <w:tcPr>
            <w:tcW w:w="2984" w:type="dxa"/>
          </w:tcPr>
          <w:p w:rsidR="00EF187E" w:rsidRDefault="001E22A9">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41802356,8 грн </w:t>
            </w:r>
          </w:p>
          <w:p w:rsidR="00EF187E" w:rsidRDefault="001E22A9">
            <w:pPr>
              <w:spacing w:line="240" w:lineRule="auto"/>
              <w:jc w:val="both"/>
              <w:rPr>
                <w:rFonts w:ascii="Times New Roman" w:hAnsi="Times New Roman"/>
                <w:sz w:val="24"/>
                <w:szCs w:val="28"/>
              </w:rPr>
            </w:pPr>
            <w:r>
              <w:rPr>
                <w:rFonts w:ascii="Times New Roman" w:hAnsi="Times New Roman"/>
                <w:color w:val="000000"/>
                <w:sz w:val="24"/>
                <w:szCs w:val="24"/>
              </w:rPr>
              <w:t xml:space="preserve">Витрати включаються до заробітної плати працівників закладів освіти, які здійснюють відповідну діяльність на </w:t>
            </w:r>
            <w:r>
              <w:rPr>
                <w:rFonts w:ascii="Times New Roman" w:hAnsi="Times New Roman"/>
                <w:color w:val="000000"/>
                <w:sz w:val="24"/>
                <w:szCs w:val="24"/>
              </w:rPr>
              <w:lastRenderedPageBreak/>
              <w:t>виконання посадових обов’язків та працівників органу державної влади що залучені до процесу регулювання</w:t>
            </w:r>
            <w:r>
              <w:rPr>
                <w:rFonts w:ascii="Times New Roman" w:hAnsi="Times New Roman"/>
                <w:sz w:val="24"/>
                <w:szCs w:val="28"/>
              </w:rPr>
              <w:t xml:space="preserve"> </w:t>
            </w:r>
          </w:p>
        </w:tc>
      </w:tr>
    </w:tbl>
    <w:p w:rsidR="00EF187E" w:rsidRDefault="00EF187E">
      <w:pPr>
        <w:spacing w:after="0" w:line="240" w:lineRule="auto"/>
        <w:ind w:firstLine="567"/>
        <w:jc w:val="both"/>
        <w:rPr>
          <w:rFonts w:ascii="Times New Roman" w:hAnsi="Times New Roman"/>
          <w:sz w:val="28"/>
          <w:szCs w:val="28"/>
        </w:rPr>
      </w:pP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Вибір Альтернативи 1 не сприятиме вирішенню проблеми, що існує сьогодні, щодо можливості здійснення громадської акредитації закладів освіти за запитами керівників таких закладів.</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Вибір Альтернативи 2 забезпечить запровадження в Україні процедури здійснення громадської акредитації закладів загальної середньої освіти. </w:t>
      </w:r>
    </w:p>
    <w:p w:rsidR="00EF187E" w:rsidRDefault="00EF187E">
      <w:pPr>
        <w:spacing w:after="0" w:line="240" w:lineRule="auto"/>
        <w:ind w:firstLine="567"/>
        <w:jc w:val="both"/>
        <w:rPr>
          <w:rFonts w:ascii="Times New Roman" w:hAnsi="Times New Roman"/>
          <w:sz w:val="28"/>
          <w:szCs w:val="28"/>
        </w:rPr>
      </w:pPr>
    </w:p>
    <w:p w:rsidR="00EF187E" w:rsidRDefault="001E22A9">
      <w:pPr>
        <w:spacing w:after="0" w:line="240" w:lineRule="auto"/>
        <w:jc w:val="center"/>
        <w:rPr>
          <w:rFonts w:ascii="Times New Roman" w:hAnsi="Times New Roman"/>
          <w:sz w:val="28"/>
          <w:szCs w:val="28"/>
        </w:rPr>
      </w:pPr>
      <w:r>
        <w:rPr>
          <w:rFonts w:ascii="Times New Roman" w:hAnsi="Times New Roman"/>
          <w:sz w:val="28"/>
          <w:szCs w:val="28"/>
        </w:rPr>
        <w:t>Оцінка впливу на сферу інтересів громадян</w:t>
      </w:r>
    </w:p>
    <w:p w:rsidR="00EF187E" w:rsidRDefault="00EF187E">
      <w:pPr>
        <w:spacing w:after="0" w:line="240" w:lineRule="auto"/>
        <w:jc w:val="center"/>
        <w:rPr>
          <w:rFonts w:ascii="Times New Roman" w:hAnsi="Times New Roman"/>
          <w:sz w:val="28"/>
          <w:szCs w:val="28"/>
        </w:rPr>
      </w:pPr>
    </w:p>
    <w:tbl>
      <w:tblPr>
        <w:tblStyle w:val="afa"/>
        <w:tblW w:w="9493" w:type="dxa"/>
        <w:tblLook w:val="04A0" w:firstRow="1" w:lastRow="0" w:firstColumn="1" w:lastColumn="0" w:noHBand="0" w:noVBand="1"/>
      </w:tblPr>
      <w:tblGrid>
        <w:gridCol w:w="3122"/>
        <w:gridCol w:w="3123"/>
        <w:gridCol w:w="3248"/>
      </w:tblGrid>
      <w:tr w:rsidR="00EF187E">
        <w:tc>
          <w:tcPr>
            <w:tcW w:w="3122"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Вид альтернативи</w:t>
            </w:r>
          </w:p>
        </w:tc>
        <w:tc>
          <w:tcPr>
            <w:tcW w:w="3123"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Вигоди</w:t>
            </w:r>
          </w:p>
        </w:tc>
        <w:tc>
          <w:tcPr>
            <w:tcW w:w="3248"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Витрати</w:t>
            </w:r>
          </w:p>
        </w:tc>
      </w:tr>
      <w:tr w:rsidR="00EF187E">
        <w:tc>
          <w:tcPr>
            <w:tcW w:w="3122" w:type="dxa"/>
          </w:tcPr>
          <w:p w:rsidR="00EF187E" w:rsidRDefault="001E22A9">
            <w:pPr>
              <w:spacing w:line="240" w:lineRule="auto"/>
              <w:rPr>
                <w:rFonts w:ascii="Times New Roman" w:hAnsi="Times New Roman"/>
                <w:sz w:val="24"/>
                <w:szCs w:val="28"/>
              </w:rPr>
            </w:pPr>
            <w:r>
              <w:rPr>
                <w:rFonts w:ascii="Times New Roman" w:hAnsi="Times New Roman"/>
                <w:sz w:val="24"/>
                <w:szCs w:val="28"/>
              </w:rPr>
              <w:t>Альтернатива 1</w:t>
            </w:r>
          </w:p>
        </w:tc>
        <w:tc>
          <w:tcPr>
            <w:tcW w:w="3123"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tc>
        <w:tc>
          <w:tcPr>
            <w:tcW w:w="3248"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tc>
      </w:tr>
      <w:tr w:rsidR="00EF187E">
        <w:tc>
          <w:tcPr>
            <w:tcW w:w="3122" w:type="dxa"/>
          </w:tcPr>
          <w:p w:rsidR="00EF187E" w:rsidRDefault="001E22A9">
            <w:pPr>
              <w:spacing w:line="240" w:lineRule="auto"/>
              <w:rPr>
                <w:rFonts w:ascii="Times New Roman" w:hAnsi="Times New Roman"/>
                <w:sz w:val="24"/>
                <w:szCs w:val="28"/>
              </w:rPr>
            </w:pPr>
            <w:r>
              <w:rPr>
                <w:rFonts w:ascii="Times New Roman" w:hAnsi="Times New Roman"/>
                <w:sz w:val="24"/>
                <w:szCs w:val="28"/>
              </w:rPr>
              <w:t>Альтернатива 2</w:t>
            </w:r>
          </w:p>
        </w:tc>
        <w:tc>
          <w:tcPr>
            <w:tcW w:w="3123" w:type="dxa"/>
          </w:tcPr>
          <w:p w:rsidR="00EF187E" w:rsidRDefault="001E22A9">
            <w:pPr>
              <w:spacing w:line="240" w:lineRule="auto"/>
              <w:jc w:val="both"/>
              <w:rPr>
                <w:rFonts w:ascii="Times New Roman" w:hAnsi="Times New Roman"/>
                <w:sz w:val="24"/>
                <w:szCs w:val="28"/>
              </w:rPr>
            </w:pPr>
            <w:r>
              <w:rPr>
                <w:rFonts w:ascii="Times New Roman" w:hAnsi="Times New Roman"/>
                <w:sz w:val="24"/>
                <w:szCs w:val="28"/>
              </w:rPr>
              <w:t xml:space="preserve">Сприятиме забезпеченню підвищення якості освіти та якості освітньої діяльності в закладах загальної середньої освіти. </w:t>
            </w:r>
          </w:p>
        </w:tc>
        <w:tc>
          <w:tcPr>
            <w:tcW w:w="3248"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tc>
      </w:tr>
    </w:tbl>
    <w:p w:rsidR="00EF187E" w:rsidRDefault="00EF187E">
      <w:pPr>
        <w:spacing w:after="0" w:line="240" w:lineRule="auto"/>
        <w:rPr>
          <w:rFonts w:ascii="Times New Roman" w:hAnsi="Times New Roman"/>
          <w:sz w:val="28"/>
          <w:szCs w:val="28"/>
        </w:rPr>
      </w:pPr>
    </w:p>
    <w:p w:rsidR="00EF187E" w:rsidRDefault="001E22A9">
      <w:pPr>
        <w:spacing w:after="0" w:line="240" w:lineRule="auto"/>
        <w:jc w:val="center"/>
        <w:rPr>
          <w:rFonts w:ascii="Times New Roman" w:hAnsi="Times New Roman"/>
          <w:sz w:val="28"/>
          <w:szCs w:val="28"/>
        </w:rPr>
      </w:pPr>
      <w:r>
        <w:rPr>
          <w:rFonts w:ascii="Times New Roman" w:hAnsi="Times New Roman"/>
          <w:sz w:val="28"/>
          <w:szCs w:val="28"/>
        </w:rPr>
        <w:t>Оцінка впливу на сферу інтересів суб’єктів господарювання</w:t>
      </w:r>
    </w:p>
    <w:p w:rsidR="00EF187E" w:rsidRDefault="00EF187E">
      <w:pPr>
        <w:spacing w:after="0" w:line="240" w:lineRule="auto"/>
        <w:ind w:firstLine="709"/>
        <w:jc w:val="both"/>
        <w:rPr>
          <w:rFonts w:ascii="Times New Roman" w:hAnsi="Times New Roman"/>
          <w:sz w:val="28"/>
          <w:szCs w:val="28"/>
          <w:lang w:eastAsia="ru-RU"/>
        </w:rPr>
      </w:pPr>
    </w:p>
    <w:tbl>
      <w:tblPr>
        <w:tblStyle w:val="afa"/>
        <w:tblW w:w="5000" w:type="pct"/>
        <w:tblLook w:val="04A0" w:firstRow="1" w:lastRow="0" w:firstColumn="1" w:lastColumn="0" w:noHBand="0" w:noVBand="1"/>
      </w:tblPr>
      <w:tblGrid>
        <w:gridCol w:w="2535"/>
        <w:gridCol w:w="1420"/>
        <w:gridCol w:w="1419"/>
        <w:gridCol w:w="1419"/>
        <w:gridCol w:w="1419"/>
        <w:gridCol w:w="1417"/>
      </w:tblGrid>
      <w:tr w:rsidR="00EF187E">
        <w:tc>
          <w:tcPr>
            <w:tcW w:w="1316"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Показник</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Великі</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Середні</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Малі</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Мікро</w:t>
            </w:r>
          </w:p>
        </w:tc>
        <w:tc>
          <w:tcPr>
            <w:tcW w:w="736"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Разом</w:t>
            </w:r>
          </w:p>
        </w:tc>
      </w:tr>
      <w:tr w:rsidR="00EF187E">
        <w:tc>
          <w:tcPr>
            <w:tcW w:w="1316" w:type="pct"/>
          </w:tcPr>
          <w:p w:rsidR="00EF187E" w:rsidRDefault="001E22A9">
            <w:pPr>
              <w:spacing w:line="240" w:lineRule="auto"/>
              <w:rPr>
                <w:rFonts w:ascii="Times New Roman" w:hAnsi="Times New Roman"/>
                <w:sz w:val="24"/>
                <w:szCs w:val="28"/>
              </w:rPr>
            </w:pPr>
            <w:r>
              <w:rPr>
                <w:rFonts w:ascii="Times New Roman" w:hAnsi="Times New Roman"/>
                <w:sz w:val="24"/>
                <w:szCs w:val="28"/>
              </w:rPr>
              <w:t>Кількість суб’єктів господарювання, що підпадають під дію регулювання, одиниць</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0</w:t>
            </w:r>
          </w:p>
        </w:tc>
        <w:tc>
          <w:tcPr>
            <w:tcW w:w="737" w:type="pct"/>
          </w:tcPr>
          <w:p w:rsidR="00EF187E" w:rsidRDefault="001E22A9">
            <w:pPr>
              <w:spacing w:line="240" w:lineRule="auto"/>
              <w:jc w:val="center"/>
              <w:rPr>
                <w:rFonts w:ascii="Times New Roman" w:hAnsi="Times New Roman"/>
                <w:sz w:val="24"/>
                <w:szCs w:val="28"/>
                <w:lang w:val="en-US"/>
              </w:rPr>
            </w:pPr>
            <w:r>
              <w:rPr>
                <w:rFonts w:ascii="Times New Roman" w:hAnsi="Times New Roman"/>
                <w:sz w:val="24"/>
                <w:szCs w:val="28"/>
                <w:lang w:val="en-US"/>
              </w:rPr>
              <w:t>1578</w:t>
            </w:r>
          </w:p>
        </w:tc>
        <w:tc>
          <w:tcPr>
            <w:tcW w:w="737" w:type="pct"/>
          </w:tcPr>
          <w:p w:rsidR="00EF187E" w:rsidRDefault="001E22A9">
            <w:pPr>
              <w:spacing w:line="240" w:lineRule="auto"/>
              <w:jc w:val="center"/>
              <w:rPr>
                <w:rFonts w:ascii="Times New Roman" w:hAnsi="Times New Roman"/>
                <w:sz w:val="24"/>
                <w:szCs w:val="28"/>
                <w:lang w:val="ru-RU"/>
              </w:rPr>
            </w:pPr>
            <w:r>
              <w:rPr>
                <w:rFonts w:ascii="Times New Roman" w:hAnsi="Times New Roman"/>
                <w:sz w:val="24"/>
                <w:szCs w:val="28"/>
                <w:lang w:val="ru-RU"/>
              </w:rPr>
              <w:t>10482</w:t>
            </w:r>
          </w:p>
          <w:p w:rsidR="00EF187E" w:rsidRDefault="00EF187E">
            <w:pPr>
              <w:spacing w:line="240" w:lineRule="auto"/>
              <w:jc w:val="center"/>
              <w:rPr>
                <w:rFonts w:ascii="Times New Roman" w:hAnsi="Times New Roman"/>
                <w:sz w:val="24"/>
                <w:szCs w:val="28"/>
              </w:rPr>
            </w:pP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lang w:val="en-US"/>
              </w:rPr>
              <w:t>1496</w:t>
            </w:r>
          </w:p>
        </w:tc>
        <w:tc>
          <w:tcPr>
            <w:tcW w:w="736" w:type="pct"/>
          </w:tcPr>
          <w:p w:rsidR="00EF187E" w:rsidRDefault="001E22A9">
            <w:pPr>
              <w:spacing w:line="240" w:lineRule="auto"/>
              <w:jc w:val="center"/>
              <w:rPr>
                <w:rFonts w:ascii="Times New Roman" w:hAnsi="Times New Roman"/>
                <w:sz w:val="24"/>
                <w:szCs w:val="28"/>
                <w:lang w:val="en-US"/>
              </w:rPr>
            </w:pPr>
            <w:r>
              <w:rPr>
                <w:rFonts w:ascii="Times New Roman" w:hAnsi="Times New Roman"/>
                <w:sz w:val="24"/>
                <w:szCs w:val="28"/>
                <w:lang w:val="en-US"/>
              </w:rPr>
              <w:t>13556</w:t>
            </w:r>
          </w:p>
        </w:tc>
      </w:tr>
      <w:tr w:rsidR="00EF187E">
        <w:tc>
          <w:tcPr>
            <w:tcW w:w="1316" w:type="pct"/>
          </w:tcPr>
          <w:p w:rsidR="00EF187E" w:rsidRDefault="001E22A9">
            <w:pPr>
              <w:spacing w:line="240" w:lineRule="auto"/>
              <w:rPr>
                <w:rFonts w:ascii="Times New Roman" w:hAnsi="Times New Roman"/>
                <w:sz w:val="24"/>
                <w:szCs w:val="28"/>
              </w:rPr>
            </w:pPr>
            <w:r>
              <w:rPr>
                <w:rFonts w:ascii="Times New Roman" w:hAnsi="Times New Roman"/>
                <w:sz w:val="24"/>
                <w:szCs w:val="28"/>
              </w:rPr>
              <w:t>Питома вага групи у загальній кількості, відсотків</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0%</w:t>
            </w:r>
          </w:p>
        </w:tc>
        <w:tc>
          <w:tcPr>
            <w:tcW w:w="737" w:type="pct"/>
          </w:tcPr>
          <w:p w:rsidR="00EF187E" w:rsidRDefault="001E22A9">
            <w:pPr>
              <w:spacing w:line="240" w:lineRule="auto"/>
              <w:jc w:val="center"/>
              <w:rPr>
                <w:rFonts w:ascii="Times New Roman" w:hAnsi="Times New Roman"/>
                <w:sz w:val="24"/>
                <w:szCs w:val="28"/>
                <w:lang w:val="en-US"/>
              </w:rPr>
            </w:pPr>
            <w:r>
              <w:rPr>
                <w:rFonts w:ascii="Times New Roman" w:hAnsi="Times New Roman"/>
                <w:sz w:val="24"/>
                <w:szCs w:val="28"/>
                <w:lang w:val="en-US"/>
              </w:rPr>
              <w:t>12</w:t>
            </w:r>
            <w:r>
              <w:rPr>
                <w:rFonts w:ascii="Times New Roman" w:hAnsi="Times New Roman"/>
                <w:sz w:val="24"/>
                <w:szCs w:val="28"/>
              </w:rPr>
              <w:t>%</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lang w:val="en-US"/>
              </w:rPr>
              <w:t>77</w:t>
            </w:r>
            <w:r>
              <w:rPr>
                <w:rFonts w:ascii="Times New Roman" w:hAnsi="Times New Roman"/>
                <w:sz w:val="24"/>
                <w:szCs w:val="28"/>
              </w:rPr>
              <w:t>%</w:t>
            </w:r>
          </w:p>
        </w:tc>
        <w:tc>
          <w:tcPr>
            <w:tcW w:w="737"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lang w:val="en-US"/>
              </w:rPr>
              <w:t>11</w:t>
            </w:r>
            <w:r>
              <w:rPr>
                <w:rFonts w:ascii="Times New Roman" w:hAnsi="Times New Roman"/>
                <w:sz w:val="24"/>
                <w:szCs w:val="28"/>
              </w:rPr>
              <w:t>%</w:t>
            </w:r>
          </w:p>
        </w:tc>
        <w:tc>
          <w:tcPr>
            <w:tcW w:w="736" w:type="pct"/>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100%</w:t>
            </w:r>
          </w:p>
        </w:tc>
      </w:tr>
    </w:tbl>
    <w:p w:rsidR="00EF187E" w:rsidRDefault="00EF187E">
      <w:pPr>
        <w:spacing w:after="0" w:line="240" w:lineRule="auto"/>
        <w:rPr>
          <w:rFonts w:ascii="Times New Roman" w:hAnsi="Times New Roman"/>
          <w:sz w:val="28"/>
          <w:szCs w:val="28"/>
        </w:rPr>
      </w:pPr>
    </w:p>
    <w:tbl>
      <w:tblPr>
        <w:tblStyle w:val="afa"/>
        <w:tblW w:w="0" w:type="auto"/>
        <w:tblLook w:val="04A0" w:firstRow="1" w:lastRow="0" w:firstColumn="1" w:lastColumn="0" w:noHBand="0" w:noVBand="1"/>
      </w:tblPr>
      <w:tblGrid>
        <w:gridCol w:w="3190"/>
        <w:gridCol w:w="3190"/>
        <w:gridCol w:w="3190"/>
      </w:tblGrid>
      <w:tr w:rsidR="00EF187E">
        <w:tc>
          <w:tcPr>
            <w:tcW w:w="319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Вид альтернативи</w:t>
            </w:r>
          </w:p>
        </w:tc>
        <w:tc>
          <w:tcPr>
            <w:tcW w:w="319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Вигоди</w:t>
            </w:r>
          </w:p>
        </w:tc>
        <w:tc>
          <w:tcPr>
            <w:tcW w:w="319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Витрати</w:t>
            </w:r>
          </w:p>
        </w:tc>
      </w:tr>
      <w:tr w:rsidR="00EF187E">
        <w:tc>
          <w:tcPr>
            <w:tcW w:w="3190" w:type="dxa"/>
          </w:tcPr>
          <w:p w:rsidR="00EF187E" w:rsidRDefault="001E22A9">
            <w:pPr>
              <w:spacing w:line="240" w:lineRule="auto"/>
              <w:rPr>
                <w:rFonts w:ascii="Times New Roman" w:hAnsi="Times New Roman"/>
                <w:sz w:val="24"/>
                <w:szCs w:val="28"/>
              </w:rPr>
            </w:pPr>
            <w:r>
              <w:rPr>
                <w:rFonts w:ascii="Times New Roman" w:hAnsi="Times New Roman"/>
                <w:sz w:val="24"/>
                <w:szCs w:val="28"/>
              </w:rPr>
              <w:t>Альтернатива 1</w:t>
            </w:r>
          </w:p>
        </w:tc>
        <w:tc>
          <w:tcPr>
            <w:tcW w:w="3190" w:type="dxa"/>
          </w:tcPr>
          <w:p w:rsidR="00EF187E" w:rsidRDefault="001E22A9">
            <w:pPr>
              <w:spacing w:line="240" w:lineRule="auto"/>
              <w:rPr>
                <w:rFonts w:ascii="Times New Roman" w:hAnsi="Times New Roman"/>
                <w:sz w:val="24"/>
                <w:szCs w:val="28"/>
              </w:rPr>
            </w:pPr>
            <w:r>
              <w:rPr>
                <w:rFonts w:ascii="Times New Roman" w:hAnsi="Times New Roman"/>
                <w:sz w:val="24"/>
                <w:szCs w:val="28"/>
              </w:rPr>
              <w:t>Відсутні</w:t>
            </w:r>
          </w:p>
        </w:tc>
        <w:tc>
          <w:tcPr>
            <w:tcW w:w="3190"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tc>
      </w:tr>
      <w:tr w:rsidR="00EF187E">
        <w:tc>
          <w:tcPr>
            <w:tcW w:w="3190" w:type="dxa"/>
          </w:tcPr>
          <w:p w:rsidR="00EF187E" w:rsidRDefault="001E22A9">
            <w:pPr>
              <w:spacing w:line="240" w:lineRule="auto"/>
              <w:rPr>
                <w:rFonts w:ascii="Times New Roman" w:hAnsi="Times New Roman"/>
                <w:sz w:val="24"/>
                <w:szCs w:val="28"/>
              </w:rPr>
            </w:pPr>
            <w:r>
              <w:rPr>
                <w:rFonts w:ascii="Times New Roman" w:hAnsi="Times New Roman"/>
                <w:sz w:val="24"/>
                <w:szCs w:val="28"/>
              </w:rPr>
              <w:lastRenderedPageBreak/>
              <w:t>Альтернатива 2</w:t>
            </w:r>
          </w:p>
        </w:tc>
        <w:tc>
          <w:tcPr>
            <w:tcW w:w="3190" w:type="dxa"/>
          </w:tcPr>
          <w:p w:rsidR="00EF187E" w:rsidRDefault="001E22A9">
            <w:pPr>
              <w:spacing w:line="240" w:lineRule="auto"/>
              <w:rPr>
                <w:rFonts w:ascii="Times New Roman" w:hAnsi="Times New Roman"/>
                <w:sz w:val="24"/>
                <w:szCs w:val="28"/>
              </w:rPr>
            </w:pPr>
            <w:r>
              <w:rPr>
                <w:rFonts w:ascii="Times New Roman" w:hAnsi="Times New Roman"/>
                <w:sz w:val="24"/>
                <w:szCs w:val="28"/>
              </w:rPr>
              <w:t>Підвищення якості надання освітніх послуг закладами освіти</w:t>
            </w:r>
          </w:p>
        </w:tc>
        <w:tc>
          <w:tcPr>
            <w:tcW w:w="3190" w:type="dxa"/>
          </w:tcPr>
          <w:p w:rsidR="00EF187E" w:rsidRDefault="001E22A9">
            <w:pPr>
              <w:spacing w:line="240" w:lineRule="auto"/>
              <w:jc w:val="both"/>
              <w:rPr>
                <w:rFonts w:ascii="Times New Roman" w:hAnsi="Times New Roman"/>
                <w:color w:val="000000"/>
                <w:sz w:val="24"/>
                <w:szCs w:val="24"/>
              </w:rPr>
            </w:pPr>
            <w:r>
              <w:rPr>
                <w:rFonts w:ascii="Times New Roman" w:hAnsi="Times New Roman"/>
                <w:color w:val="000000"/>
                <w:sz w:val="24"/>
                <w:szCs w:val="24"/>
              </w:rPr>
              <w:t>41802356,8 грн</w:t>
            </w:r>
          </w:p>
          <w:p w:rsidR="00EF187E" w:rsidRDefault="00EF187E">
            <w:pPr>
              <w:spacing w:line="240" w:lineRule="auto"/>
              <w:jc w:val="both"/>
              <w:rPr>
                <w:rFonts w:ascii="Times New Roman" w:hAnsi="Times New Roman"/>
                <w:strike/>
              </w:rPr>
            </w:pPr>
          </w:p>
        </w:tc>
      </w:tr>
    </w:tbl>
    <w:p w:rsidR="00EF187E" w:rsidRDefault="00EF187E">
      <w:pPr>
        <w:spacing w:after="0" w:line="240" w:lineRule="auto"/>
        <w:rPr>
          <w:rFonts w:ascii="Times New Roman" w:hAnsi="Times New Roman"/>
          <w:sz w:val="28"/>
          <w:szCs w:val="28"/>
        </w:rPr>
      </w:pPr>
    </w:p>
    <w:p w:rsidR="00EF187E" w:rsidRDefault="001E22A9">
      <w:pPr>
        <w:spacing w:after="0" w:line="240" w:lineRule="auto"/>
        <w:rPr>
          <w:rFonts w:ascii="Times New Roman" w:hAnsi="Times New Roman"/>
          <w:sz w:val="28"/>
          <w:szCs w:val="28"/>
        </w:rPr>
      </w:pPr>
      <w:r>
        <w:rPr>
          <w:rFonts w:ascii="Times New Roman" w:hAnsi="Times New Roman"/>
          <w:sz w:val="28"/>
          <w:szCs w:val="28"/>
        </w:rPr>
        <w:t xml:space="preserve">Витрати, які будуть виникати внаслідок дії регуляторного акта </w:t>
      </w:r>
    </w:p>
    <w:tbl>
      <w:tblPr>
        <w:tblStyle w:val="afa"/>
        <w:tblW w:w="0" w:type="auto"/>
        <w:tblLook w:val="04A0" w:firstRow="1" w:lastRow="0" w:firstColumn="1" w:lastColumn="0" w:noHBand="0" w:noVBand="1"/>
      </w:tblPr>
      <w:tblGrid>
        <w:gridCol w:w="4785"/>
        <w:gridCol w:w="4785"/>
      </w:tblGrid>
      <w:tr w:rsidR="00EF187E">
        <w:tc>
          <w:tcPr>
            <w:tcW w:w="4785"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Сумарні витрати за альтернативами</w:t>
            </w:r>
          </w:p>
        </w:tc>
        <w:tc>
          <w:tcPr>
            <w:tcW w:w="4785"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Сума витрат, гривень</w:t>
            </w:r>
          </w:p>
        </w:tc>
      </w:tr>
      <w:tr w:rsidR="00EF187E">
        <w:tc>
          <w:tcPr>
            <w:tcW w:w="4785" w:type="dxa"/>
          </w:tcPr>
          <w:p w:rsidR="00EF187E" w:rsidRDefault="001E22A9">
            <w:pPr>
              <w:spacing w:line="240" w:lineRule="auto"/>
              <w:rPr>
                <w:rFonts w:ascii="Times New Roman" w:hAnsi="Times New Roman"/>
                <w:sz w:val="24"/>
                <w:szCs w:val="28"/>
              </w:rPr>
            </w:pPr>
            <w:r>
              <w:rPr>
                <w:rFonts w:ascii="Times New Roman" w:hAnsi="Times New Roman"/>
                <w:sz w:val="24"/>
                <w:szCs w:val="28"/>
              </w:rPr>
              <w:t>Альтернатива 1.</w:t>
            </w:r>
          </w:p>
        </w:tc>
        <w:tc>
          <w:tcPr>
            <w:tcW w:w="4785"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Відсутні</w:t>
            </w:r>
          </w:p>
        </w:tc>
      </w:tr>
      <w:tr w:rsidR="00EF187E">
        <w:tc>
          <w:tcPr>
            <w:tcW w:w="4785" w:type="dxa"/>
          </w:tcPr>
          <w:p w:rsidR="00EF187E" w:rsidRDefault="001E22A9">
            <w:pPr>
              <w:spacing w:line="240" w:lineRule="auto"/>
              <w:rPr>
                <w:rFonts w:ascii="Times New Roman" w:hAnsi="Times New Roman"/>
                <w:sz w:val="24"/>
                <w:szCs w:val="28"/>
                <w:highlight w:val="yellow"/>
              </w:rPr>
            </w:pPr>
            <w:r>
              <w:rPr>
                <w:rFonts w:ascii="Times New Roman" w:hAnsi="Times New Roman"/>
                <w:sz w:val="24"/>
                <w:szCs w:val="28"/>
              </w:rPr>
              <w:t>Альтернатива 2.</w:t>
            </w:r>
          </w:p>
        </w:tc>
        <w:tc>
          <w:tcPr>
            <w:tcW w:w="4785" w:type="dxa"/>
          </w:tcPr>
          <w:p w:rsidR="00EF187E" w:rsidRDefault="001E22A9">
            <w:pPr>
              <w:spacing w:line="240" w:lineRule="auto"/>
              <w:jc w:val="center"/>
              <w:rPr>
                <w:rFonts w:ascii="Times New Roman" w:hAnsi="Times New Roman"/>
                <w:strike/>
                <w:sz w:val="24"/>
                <w:szCs w:val="24"/>
              </w:rPr>
            </w:pPr>
            <w:r>
              <w:rPr>
                <w:rFonts w:ascii="Times New Roman" w:hAnsi="Times New Roman"/>
                <w:color w:val="000000"/>
                <w:sz w:val="24"/>
                <w:szCs w:val="24"/>
              </w:rPr>
              <w:t>41802356,8 грн</w:t>
            </w:r>
          </w:p>
        </w:tc>
      </w:tr>
    </w:tbl>
    <w:p w:rsidR="00EF187E" w:rsidRDefault="00EF187E">
      <w:pPr>
        <w:spacing w:after="0" w:line="240" w:lineRule="auto"/>
        <w:rPr>
          <w:rFonts w:ascii="Times New Roman" w:hAnsi="Times New Roman"/>
          <w:sz w:val="28"/>
          <w:szCs w:val="28"/>
        </w:rPr>
      </w:pPr>
    </w:p>
    <w:p w:rsidR="00EF187E" w:rsidRDefault="001E22A9">
      <w:pPr>
        <w:pStyle w:val="1"/>
      </w:pPr>
      <w:bookmarkStart w:id="5" w:name="_Toc3536286"/>
      <w:r>
        <w:t>IV. Вибір найбільш оптимального альтернативного способу досягнення цілей</w:t>
      </w:r>
      <w:bookmarkEnd w:id="5"/>
    </w:p>
    <w:p w:rsidR="00EF187E" w:rsidRDefault="001E22A9">
      <w:pPr>
        <w:spacing w:after="0" w:line="264" w:lineRule="auto"/>
        <w:ind w:firstLine="709"/>
        <w:jc w:val="both"/>
        <w:rPr>
          <w:rFonts w:ascii="Times New Roman" w:hAnsi="Times New Roman"/>
          <w:sz w:val="28"/>
          <w:szCs w:val="28"/>
        </w:rPr>
      </w:pPr>
      <w:r>
        <w:rPr>
          <w:rFonts w:ascii="Times New Roman" w:hAnsi="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EF187E" w:rsidRDefault="001E22A9">
      <w:pPr>
        <w:spacing w:after="0" w:line="264" w:lineRule="auto"/>
        <w:ind w:firstLine="709"/>
        <w:jc w:val="both"/>
        <w:rPr>
          <w:rFonts w:ascii="Times New Roman" w:hAnsi="Times New Roman"/>
          <w:sz w:val="28"/>
          <w:szCs w:val="28"/>
        </w:rPr>
      </w:pPr>
      <w:r>
        <w:rPr>
          <w:rFonts w:ascii="Times New Roman" w:hAnsi="Times New Roman"/>
          <w:sz w:val="28"/>
          <w:szCs w:val="28"/>
        </w:rPr>
        <w:t xml:space="preserve">Вартість балів визначається за чотирибальною системою оцінки ступеня </w:t>
      </w:r>
    </w:p>
    <w:p w:rsidR="00EF187E" w:rsidRDefault="001E22A9">
      <w:pPr>
        <w:spacing w:after="0" w:line="264" w:lineRule="auto"/>
        <w:jc w:val="both"/>
        <w:rPr>
          <w:rFonts w:ascii="Times New Roman" w:hAnsi="Times New Roman"/>
          <w:sz w:val="28"/>
          <w:szCs w:val="28"/>
        </w:rPr>
      </w:pPr>
      <w:r>
        <w:rPr>
          <w:rFonts w:ascii="Times New Roman" w:hAnsi="Times New Roman"/>
          <w:sz w:val="28"/>
          <w:szCs w:val="28"/>
        </w:rPr>
        <w:t>досягнення визначених цілей, де:</w:t>
      </w:r>
    </w:p>
    <w:p w:rsidR="00EF187E" w:rsidRDefault="001E22A9">
      <w:pPr>
        <w:spacing w:after="0" w:line="264" w:lineRule="auto"/>
        <w:ind w:firstLine="709"/>
        <w:jc w:val="both"/>
        <w:rPr>
          <w:rFonts w:ascii="Times New Roman" w:hAnsi="Times New Roman"/>
          <w:sz w:val="28"/>
          <w:szCs w:val="28"/>
        </w:rPr>
      </w:pPr>
      <w:r>
        <w:rPr>
          <w:rFonts w:ascii="Times New Roman" w:hAnsi="Times New Roman"/>
          <w:sz w:val="28"/>
          <w:szCs w:val="28"/>
        </w:rPr>
        <w:t>4 – цілі прийняття регуляторного акта, які можуть бути досягнуті повною мірою (проблема більше існувати не буде);</w:t>
      </w:r>
    </w:p>
    <w:p w:rsidR="00EF187E" w:rsidRDefault="001E22A9">
      <w:pPr>
        <w:spacing w:after="0" w:line="264" w:lineRule="auto"/>
        <w:ind w:firstLine="709"/>
        <w:jc w:val="both"/>
        <w:rPr>
          <w:rFonts w:ascii="Times New Roman" w:hAnsi="Times New Roman"/>
          <w:sz w:val="28"/>
          <w:szCs w:val="28"/>
        </w:rPr>
      </w:pPr>
      <w:bookmarkStart w:id="6" w:name="n155"/>
      <w:bookmarkEnd w:id="6"/>
      <w:r>
        <w:rPr>
          <w:rFonts w:ascii="Times New Roman" w:hAnsi="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EF187E" w:rsidRDefault="001E22A9">
      <w:pPr>
        <w:spacing w:after="0" w:line="264" w:lineRule="auto"/>
        <w:ind w:firstLine="709"/>
        <w:jc w:val="both"/>
        <w:rPr>
          <w:rFonts w:ascii="Times New Roman" w:hAnsi="Times New Roman"/>
          <w:sz w:val="28"/>
          <w:szCs w:val="28"/>
        </w:rPr>
      </w:pPr>
      <w:bookmarkStart w:id="7" w:name="n156"/>
      <w:bookmarkEnd w:id="7"/>
      <w:r>
        <w:rPr>
          <w:rFonts w:ascii="Times New Roman" w:hAnsi="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EF187E" w:rsidRDefault="001E22A9">
      <w:pPr>
        <w:spacing w:after="0" w:line="264" w:lineRule="auto"/>
        <w:ind w:firstLine="709"/>
        <w:jc w:val="both"/>
        <w:rPr>
          <w:rFonts w:ascii="Times New Roman" w:hAnsi="Times New Roman"/>
          <w:sz w:val="28"/>
          <w:szCs w:val="28"/>
        </w:rPr>
      </w:pPr>
      <w:bookmarkStart w:id="8" w:name="n157"/>
      <w:bookmarkEnd w:id="8"/>
      <w:r>
        <w:rPr>
          <w:rFonts w:ascii="Times New Roman" w:hAnsi="Times New Roman"/>
          <w:sz w:val="28"/>
          <w:szCs w:val="28"/>
        </w:rPr>
        <w:t>1 – цілі прийняття регуляторного акта, які не можуть бути досягнуті (проблема продовжує існувати).</w:t>
      </w:r>
    </w:p>
    <w:p w:rsidR="00EF187E" w:rsidRDefault="00EF187E">
      <w:pPr>
        <w:spacing w:after="0" w:line="240" w:lineRule="auto"/>
        <w:rPr>
          <w:rFonts w:ascii="Times New Roman" w:hAnsi="Times New Roman"/>
          <w:sz w:val="28"/>
        </w:rPr>
      </w:pPr>
    </w:p>
    <w:tbl>
      <w:tblPr>
        <w:tblStyle w:val="afa"/>
        <w:tblW w:w="9493" w:type="dxa"/>
        <w:tblLook w:val="04A0" w:firstRow="1" w:lastRow="0" w:firstColumn="1" w:lastColumn="0" w:noHBand="0" w:noVBand="1"/>
      </w:tblPr>
      <w:tblGrid>
        <w:gridCol w:w="3114"/>
        <w:gridCol w:w="3115"/>
        <w:gridCol w:w="3264"/>
      </w:tblGrid>
      <w:tr w:rsidR="00EF187E">
        <w:trPr>
          <w:trHeight w:val="707"/>
        </w:trPr>
        <w:tc>
          <w:tcPr>
            <w:tcW w:w="3114" w:type="dxa"/>
            <w:vAlign w:val="center"/>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Рейтинг результативності (досягнення цілей під час вирішення проблеми)</w:t>
            </w:r>
          </w:p>
        </w:tc>
        <w:tc>
          <w:tcPr>
            <w:tcW w:w="3115" w:type="dxa"/>
            <w:vAlign w:val="center"/>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Бал результативності (за чотирибальною системою оцінки)</w:t>
            </w:r>
          </w:p>
        </w:tc>
        <w:tc>
          <w:tcPr>
            <w:tcW w:w="3264" w:type="dxa"/>
            <w:vAlign w:val="center"/>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Коментарі щодо присвоєння відповідного бала</w:t>
            </w:r>
          </w:p>
        </w:tc>
      </w:tr>
      <w:tr w:rsidR="00EF187E">
        <w:tc>
          <w:tcPr>
            <w:tcW w:w="3114" w:type="dxa"/>
          </w:tcPr>
          <w:p w:rsidR="00EF187E" w:rsidRDefault="001E22A9">
            <w:pPr>
              <w:spacing w:line="240" w:lineRule="auto"/>
              <w:rPr>
                <w:rFonts w:ascii="Times New Roman" w:hAnsi="Times New Roman"/>
                <w:sz w:val="24"/>
                <w:szCs w:val="28"/>
              </w:rPr>
            </w:pPr>
            <w:r>
              <w:rPr>
                <w:rFonts w:ascii="Times New Roman" w:hAnsi="Times New Roman"/>
                <w:color w:val="000000"/>
                <w:sz w:val="24"/>
                <w:szCs w:val="28"/>
                <w:shd w:val="clear" w:color="auto" w:fill="FFFFFF"/>
              </w:rPr>
              <w:t>Альтернатива 1</w:t>
            </w:r>
          </w:p>
        </w:tc>
        <w:tc>
          <w:tcPr>
            <w:tcW w:w="3115"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1</w:t>
            </w:r>
          </w:p>
        </w:tc>
        <w:tc>
          <w:tcPr>
            <w:tcW w:w="3264" w:type="dxa"/>
          </w:tcPr>
          <w:p w:rsidR="00EF187E" w:rsidRDefault="001E22A9">
            <w:pPr>
              <w:spacing w:line="240" w:lineRule="auto"/>
              <w:jc w:val="both"/>
              <w:rPr>
                <w:rFonts w:ascii="Times New Roman" w:hAnsi="Times New Roman"/>
                <w:sz w:val="24"/>
                <w:szCs w:val="28"/>
              </w:rPr>
            </w:pPr>
            <w:r>
              <w:rPr>
                <w:rFonts w:ascii="Times New Roman" w:hAnsi="Times New Roman"/>
                <w:sz w:val="24"/>
                <w:szCs w:val="28"/>
              </w:rPr>
              <w:t xml:space="preserve">Зазначена проблема відсутності правового регулювання продовжуватиме існувати </w:t>
            </w:r>
          </w:p>
        </w:tc>
      </w:tr>
      <w:tr w:rsidR="00EF187E">
        <w:tc>
          <w:tcPr>
            <w:tcW w:w="3114" w:type="dxa"/>
          </w:tcPr>
          <w:p w:rsidR="00EF187E" w:rsidRDefault="001E22A9">
            <w:pPr>
              <w:spacing w:line="240" w:lineRule="auto"/>
              <w:rPr>
                <w:rFonts w:ascii="Times New Roman" w:hAnsi="Times New Roman"/>
                <w:sz w:val="24"/>
                <w:szCs w:val="28"/>
              </w:rPr>
            </w:pPr>
            <w:r>
              <w:rPr>
                <w:rFonts w:ascii="Times New Roman" w:hAnsi="Times New Roman"/>
                <w:color w:val="000000"/>
                <w:sz w:val="24"/>
                <w:szCs w:val="28"/>
                <w:shd w:val="clear" w:color="auto" w:fill="FFFFFF"/>
              </w:rPr>
              <w:t>Альтернатива 2</w:t>
            </w:r>
          </w:p>
        </w:tc>
        <w:tc>
          <w:tcPr>
            <w:tcW w:w="3115" w:type="dxa"/>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4</w:t>
            </w:r>
          </w:p>
        </w:tc>
        <w:tc>
          <w:tcPr>
            <w:tcW w:w="3264" w:type="dxa"/>
          </w:tcPr>
          <w:p w:rsidR="00EF187E" w:rsidRDefault="001E22A9">
            <w:pPr>
              <w:spacing w:line="240" w:lineRule="auto"/>
              <w:jc w:val="both"/>
              <w:rPr>
                <w:rFonts w:ascii="Times New Roman" w:hAnsi="Times New Roman"/>
                <w:sz w:val="24"/>
                <w:szCs w:val="28"/>
                <w:highlight w:val="yellow"/>
              </w:rPr>
            </w:pPr>
            <w:r>
              <w:rPr>
                <w:rFonts w:ascii="Times New Roman" w:hAnsi="Times New Roman"/>
                <w:sz w:val="24"/>
                <w:szCs w:val="28"/>
              </w:rPr>
              <w:t>Максимальний бал. Запропонований спосіб вирішення зазначеної проблеми є найбільш доцільним, оскільки прийняття запропонованого проєкту акта дозволить забезпечити введення процедури здійснення громадської акредитації для закладів освіти та юридичних осіб, акредитованих у відповідному порядку.</w:t>
            </w:r>
          </w:p>
        </w:tc>
      </w:tr>
    </w:tbl>
    <w:p w:rsidR="00EF187E" w:rsidRDefault="00EF187E">
      <w:pPr>
        <w:spacing w:after="0" w:line="240" w:lineRule="auto"/>
        <w:rPr>
          <w:rFonts w:ascii="Times New Roman" w:hAnsi="Times New Roman"/>
          <w:sz w:val="28"/>
          <w:szCs w:val="28"/>
        </w:rPr>
      </w:pPr>
    </w:p>
    <w:tbl>
      <w:tblPr>
        <w:tblStyle w:val="afa"/>
        <w:tblW w:w="9493" w:type="dxa"/>
        <w:tblLayout w:type="fixed"/>
        <w:tblLook w:val="04A0" w:firstRow="1" w:lastRow="0" w:firstColumn="1" w:lastColumn="0" w:noHBand="0" w:noVBand="1"/>
      </w:tblPr>
      <w:tblGrid>
        <w:gridCol w:w="1980"/>
        <w:gridCol w:w="2551"/>
        <w:gridCol w:w="2127"/>
        <w:gridCol w:w="2835"/>
      </w:tblGrid>
      <w:tr w:rsidR="00EF187E">
        <w:tc>
          <w:tcPr>
            <w:tcW w:w="1980" w:type="dxa"/>
            <w:vAlign w:val="center"/>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Рейтинг результативності</w:t>
            </w:r>
          </w:p>
        </w:tc>
        <w:tc>
          <w:tcPr>
            <w:tcW w:w="2551" w:type="dxa"/>
            <w:vAlign w:val="center"/>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Вигоди (підсумок)</w:t>
            </w:r>
          </w:p>
        </w:tc>
        <w:tc>
          <w:tcPr>
            <w:tcW w:w="2127" w:type="dxa"/>
            <w:vAlign w:val="center"/>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Витрати (підсумок)</w:t>
            </w:r>
          </w:p>
        </w:tc>
        <w:tc>
          <w:tcPr>
            <w:tcW w:w="2835" w:type="dxa"/>
            <w:vAlign w:val="center"/>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Обґрунтування відповідного місця альтернативи у рейтингу</w:t>
            </w:r>
          </w:p>
        </w:tc>
      </w:tr>
      <w:tr w:rsidR="00EF187E">
        <w:tc>
          <w:tcPr>
            <w:tcW w:w="1980" w:type="dxa"/>
          </w:tcPr>
          <w:p w:rsidR="00EF187E" w:rsidRDefault="001E22A9">
            <w:pPr>
              <w:spacing w:line="240" w:lineRule="auto"/>
              <w:rPr>
                <w:rFonts w:ascii="Times New Roman" w:hAnsi="Times New Roman"/>
                <w:sz w:val="24"/>
                <w:szCs w:val="24"/>
              </w:rPr>
            </w:pPr>
            <w:r>
              <w:rPr>
                <w:rFonts w:ascii="Times New Roman" w:hAnsi="Times New Roman"/>
                <w:color w:val="000000"/>
                <w:sz w:val="24"/>
                <w:szCs w:val="24"/>
                <w:shd w:val="clear" w:color="auto" w:fill="FFFFFF"/>
              </w:rPr>
              <w:lastRenderedPageBreak/>
              <w:t>Альтернатива 1</w:t>
            </w:r>
          </w:p>
        </w:tc>
        <w:tc>
          <w:tcPr>
            <w:tcW w:w="2551" w:type="dxa"/>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Відсутні</w:t>
            </w:r>
          </w:p>
        </w:tc>
        <w:tc>
          <w:tcPr>
            <w:tcW w:w="2127" w:type="dxa"/>
          </w:tcPr>
          <w:p w:rsidR="00EF187E" w:rsidRDefault="001E22A9">
            <w:pPr>
              <w:spacing w:line="240" w:lineRule="auto"/>
              <w:jc w:val="center"/>
              <w:rPr>
                <w:rFonts w:ascii="Times New Roman" w:hAnsi="Times New Roman"/>
                <w:sz w:val="24"/>
                <w:szCs w:val="24"/>
              </w:rPr>
            </w:pPr>
            <w:r>
              <w:rPr>
                <w:rFonts w:ascii="Times New Roman" w:hAnsi="Times New Roman"/>
                <w:sz w:val="24"/>
                <w:szCs w:val="24"/>
              </w:rPr>
              <w:t>Відсутні</w:t>
            </w:r>
          </w:p>
        </w:tc>
        <w:tc>
          <w:tcPr>
            <w:tcW w:w="2835" w:type="dxa"/>
          </w:tcPr>
          <w:p w:rsidR="00EF187E" w:rsidRDefault="001E22A9">
            <w:pPr>
              <w:spacing w:line="240" w:lineRule="auto"/>
              <w:jc w:val="both"/>
              <w:rPr>
                <w:rFonts w:ascii="Times New Roman" w:hAnsi="Times New Roman"/>
                <w:sz w:val="24"/>
                <w:szCs w:val="24"/>
              </w:rPr>
            </w:pPr>
            <w:r>
              <w:rPr>
                <w:rFonts w:ascii="Times New Roman" w:hAnsi="Times New Roman"/>
                <w:sz w:val="24"/>
                <w:szCs w:val="24"/>
              </w:rPr>
              <w:t>Зазначений спосіб не сприяв вирішенню існуючої проблеми</w:t>
            </w:r>
          </w:p>
        </w:tc>
      </w:tr>
      <w:tr w:rsidR="00EF187E">
        <w:tc>
          <w:tcPr>
            <w:tcW w:w="1980" w:type="dxa"/>
          </w:tcPr>
          <w:p w:rsidR="00EF187E" w:rsidRDefault="001E22A9">
            <w:pPr>
              <w:spacing w:line="240" w:lineRule="auto"/>
              <w:rPr>
                <w:rFonts w:ascii="Times New Roman" w:hAnsi="Times New Roman"/>
                <w:sz w:val="24"/>
                <w:szCs w:val="24"/>
              </w:rPr>
            </w:pPr>
            <w:r>
              <w:rPr>
                <w:rFonts w:ascii="Times New Roman" w:hAnsi="Times New Roman"/>
                <w:color w:val="000000"/>
                <w:sz w:val="24"/>
                <w:szCs w:val="24"/>
                <w:shd w:val="clear" w:color="auto" w:fill="FFFFFF"/>
              </w:rPr>
              <w:t>Альтернатива 2</w:t>
            </w:r>
          </w:p>
        </w:tc>
        <w:tc>
          <w:tcPr>
            <w:tcW w:w="2551" w:type="dxa"/>
          </w:tcPr>
          <w:p w:rsidR="00EF187E" w:rsidRDefault="001E22A9">
            <w:pPr>
              <w:spacing w:line="240" w:lineRule="auto"/>
              <w:jc w:val="both"/>
              <w:rPr>
                <w:rFonts w:ascii="Times New Roman" w:hAnsi="Times New Roman"/>
                <w:sz w:val="24"/>
                <w:szCs w:val="24"/>
              </w:rPr>
            </w:pPr>
            <w:r>
              <w:rPr>
                <w:rFonts w:ascii="Times New Roman" w:hAnsi="Times New Roman"/>
                <w:sz w:val="24"/>
                <w:szCs w:val="24"/>
              </w:rPr>
              <w:t>Прийняття проєкту дозволить забезпечити реалізацію положень статті 49 Закону України «Про освіту» та статті 50 Закону України «Про повну загальну середню освіту» та в цілому сприятиме підвищенню якості освіти та освітньої діяльності в країні</w:t>
            </w:r>
          </w:p>
        </w:tc>
        <w:tc>
          <w:tcPr>
            <w:tcW w:w="2127" w:type="dxa"/>
          </w:tcPr>
          <w:p w:rsidR="00EF187E" w:rsidRDefault="001E22A9">
            <w:pPr>
              <w:spacing w:line="240" w:lineRule="auto"/>
              <w:jc w:val="center"/>
              <w:rPr>
                <w:rFonts w:ascii="Times New Roman" w:hAnsi="Times New Roman"/>
                <w:strike/>
                <w:sz w:val="24"/>
                <w:szCs w:val="24"/>
              </w:rPr>
            </w:pPr>
            <w:r>
              <w:rPr>
                <w:rFonts w:ascii="Times New Roman" w:hAnsi="Times New Roman"/>
                <w:color w:val="000000"/>
                <w:sz w:val="24"/>
                <w:szCs w:val="24"/>
              </w:rPr>
              <w:t>41802356,8 грн</w:t>
            </w:r>
          </w:p>
        </w:tc>
        <w:tc>
          <w:tcPr>
            <w:tcW w:w="2835" w:type="dxa"/>
          </w:tcPr>
          <w:p w:rsidR="00EF187E" w:rsidRDefault="001E22A9">
            <w:pPr>
              <w:spacing w:line="240" w:lineRule="auto"/>
              <w:jc w:val="both"/>
              <w:rPr>
                <w:rFonts w:ascii="Times New Roman" w:hAnsi="Times New Roman"/>
                <w:sz w:val="24"/>
                <w:szCs w:val="24"/>
              </w:rPr>
            </w:pPr>
            <w:r>
              <w:rPr>
                <w:rFonts w:ascii="Times New Roman" w:hAnsi="Times New Roman"/>
                <w:sz w:val="24"/>
                <w:szCs w:val="24"/>
              </w:rPr>
              <w:t>Прийняття проєкту регуляторного акта сприятиме: вирішенню проблеми, що існує сьогодні, а саме здійснення громадської акредитації закладів загальної середньої освіти.</w:t>
            </w:r>
          </w:p>
          <w:p w:rsidR="00EF187E" w:rsidRDefault="001E22A9">
            <w:pPr>
              <w:spacing w:line="240" w:lineRule="auto"/>
              <w:jc w:val="both"/>
              <w:rPr>
                <w:rFonts w:ascii="Times New Roman" w:hAnsi="Times New Roman"/>
                <w:sz w:val="24"/>
                <w:szCs w:val="24"/>
              </w:rPr>
            </w:pPr>
            <w:r>
              <w:rPr>
                <w:rFonts w:ascii="Times New Roman" w:hAnsi="Times New Roman"/>
                <w:sz w:val="24"/>
                <w:szCs w:val="24"/>
              </w:rPr>
              <w:t>Наслідком буде покращення якості повної загальної середньої освіти.</w:t>
            </w:r>
          </w:p>
        </w:tc>
      </w:tr>
    </w:tbl>
    <w:p w:rsidR="00EF187E" w:rsidRDefault="00EF187E">
      <w:pPr>
        <w:spacing w:after="0" w:line="240" w:lineRule="auto"/>
        <w:rPr>
          <w:rFonts w:ascii="Times New Roman" w:hAnsi="Times New Roman"/>
          <w:sz w:val="28"/>
          <w:szCs w:val="28"/>
        </w:rPr>
      </w:pPr>
    </w:p>
    <w:tbl>
      <w:tblPr>
        <w:tblStyle w:val="afa"/>
        <w:tblW w:w="9493" w:type="dxa"/>
        <w:tblLook w:val="04A0" w:firstRow="1" w:lastRow="0" w:firstColumn="1" w:lastColumn="0" w:noHBand="0" w:noVBand="1"/>
      </w:tblPr>
      <w:tblGrid>
        <w:gridCol w:w="2263"/>
        <w:gridCol w:w="3972"/>
        <w:gridCol w:w="3258"/>
      </w:tblGrid>
      <w:tr w:rsidR="00EF187E">
        <w:trPr>
          <w:trHeight w:val="707"/>
        </w:trPr>
        <w:tc>
          <w:tcPr>
            <w:tcW w:w="2263" w:type="dxa"/>
            <w:vAlign w:val="center"/>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Рейтинг</w:t>
            </w:r>
          </w:p>
        </w:tc>
        <w:tc>
          <w:tcPr>
            <w:tcW w:w="3972" w:type="dxa"/>
            <w:vAlign w:val="center"/>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Аргументи щодо переваги обраної альтернативи/причини відмови від альтернативи</w:t>
            </w:r>
          </w:p>
        </w:tc>
        <w:tc>
          <w:tcPr>
            <w:tcW w:w="3258" w:type="dxa"/>
            <w:vAlign w:val="center"/>
          </w:tcPr>
          <w:p w:rsidR="00EF187E" w:rsidRDefault="001E22A9">
            <w:pPr>
              <w:spacing w:line="240" w:lineRule="auto"/>
              <w:jc w:val="center"/>
              <w:rPr>
                <w:rFonts w:ascii="Times New Roman" w:hAnsi="Times New Roman"/>
                <w:sz w:val="24"/>
                <w:szCs w:val="28"/>
              </w:rPr>
            </w:pPr>
            <w:r>
              <w:rPr>
                <w:rFonts w:ascii="Times New Roman" w:hAnsi="Times New Roman"/>
                <w:sz w:val="24"/>
                <w:szCs w:val="28"/>
              </w:rPr>
              <w:t>Оцінка ризику зовнішніх чинників на дію запропонованого регуляторного акта</w:t>
            </w:r>
          </w:p>
        </w:tc>
      </w:tr>
      <w:tr w:rsidR="00EF187E">
        <w:tc>
          <w:tcPr>
            <w:tcW w:w="2263" w:type="dxa"/>
          </w:tcPr>
          <w:p w:rsidR="00EF187E" w:rsidRDefault="001E22A9">
            <w:pPr>
              <w:spacing w:line="240" w:lineRule="auto"/>
              <w:rPr>
                <w:rFonts w:ascii="Times New Roman" w:hAnsi="Times New Roman"/>
                <w:sz w:val="24"/>
                <w:szCs w:val="28"/>
              </w:rPr>
            </w:pPr>
            <w:r>
              <w:rPr>
                <w:rFonts w:ascii="Times New Roman" w:hAnsi="Times New Roman"/>
                <w:color w:val="000000"/>
                <w:sz w:val="24"/>
                <w:szCs w:val="28"/>
                <w:shd w:val="clear" w:color="auto" w:fill="FFFFFF"/>
              </w:rPr>
              <w:t>Альтернатива 1</w:t>
            </w:r>
          </w:p>
        </w:tc>
        <w:tc>
          <w:tcPr>
            <w:tcW w:w="3972" w:type="dxa"/>
          </w:tcPr>
          <w:p w:rsidR="00EF187E" w:rsidRDefault="001E22A9">
            <w:pPr>
              <w:pStyle w:val="a8"/>
              <w:spacing w:beforeAutospacing="0" w:after="0" w:afterAutospacing="0"/>
              <w:jc w:val="both"/>
              <w:rPr>
                <w:szCs w:val="28"/>
                <w:lang w:val="uk-UA" w:eastAsia="en-US"/>
              </w:rPr>
            </w:pPr>
            <w:r>
              <w:rPr>
                <w:szCs w:val="28"/>
                <w:lang w:val="uk-UA" w:eastAsia="en-US"/>
              </w:rPr>
              <w:t>Неприйняття проєкту акта унеможливить здійснення процедури громадської акредитації закладу загальної середньої освіти</w:t>
            </w:r>
          </w:p>
        </w:tc>
        <w:tc>
          <w:tcPr>
            <w:tcW w:w="3258" w:type="dxa"/>
          </w:tcPr>
          <w:p w:rsidR="00EF187E" w:rsidRDefault="001E22A9">
            <w:pPr>
              <w:pStyle w:val="a8"/>
              <w:spacing w:before="0" w:beforeAutospacing="0" w:after="0" w:afterAutospacing="0"/>
              <w:jc w:val="both"/>
              <w:rPr>
                <w:szCs w:val="28"/>
                <w:lang w:val="uk-UA" w:eastAsia="en-US"/>
              </w:rPr>
            </w:pPr>
            <w:r>
              <w:rPr>
                <w:szCs w:val="28"/>
                <w:lang w:val="uk-UA" w:eastAsia="en-US"/>
              </w:rPr>
              <w:t xml:space="preserve">Негативні наслідки впливатимуть на заклади освіти, які бажають пройти громадську акредитацію та отримати підсумкові результати про ефективність їхньої внутрішньої системи забезпечення якості освіти, забезпечення досягнення учнями результатів навчання, передбачених освітньою(іми) програмою(ами), державним(и) стандартом(ами) освіти з метою підвищення якості освіти та освітньої діяльності в закладі. </w:t>
            </w:r>
          </w:p>
        </w:tc>
      </w:tr>
      <w:tr w:rsidR="00EF187E">
        <w:tc>
          <w:tcPr>
            <w:tcW w:w="2263" w:type="dxa"/>
          </w:tcPr>
          <w:p w:rsidR="00EF187E" w:rsidRDefault="001E22A9">
            <w:pPr>
              <w:spacing w:line="240" w:lineRule="auto"/>
              <w:rPr>
                <w:rFonts w:ascii="Times New Roman" w:hAnsi="Times New Roman"/>
                <w:sz w:val="24"/>
                <w:szCs w:val="28"/>
              </w:rPr>
            </w:pPr>
            <w:r>
              <w:rPr>
                <w:rFonts w:ascii="Times New Roman" w:hAnsi="Times New Roman"/>
                <w:color w:val="000000"/>
                <w:sz w:val="24"/>
                <w:szCs w:val="28"/>
                <w:shd w:val="clear" w:color="auto" w:fill="FFFFFF"/>
              </w:rPr>
              <w:t>Альтернатива 2</w:t>
            </w:r>
          </w:p>
        </w:tc>
        <w:tc>
          <w:tcPr>
            <w:tcW w:w="3972" w:type="dxa"/>
          </w:tcPr>
          <w:p w:rsidR="00EF187E" w:rsidRDefault="001E22A9">
            <w:pPr>
              <w:spacing w:line="240" w:lineRule="auto"/>
              <w:jc w:val="both"/>
              <w:rPr>
                <w:rFonts w:ascii="Times New Roman" w:hAnsi="Times New Roman"/>
                <w:sz w:val="24"/>
                <w:szCs w:val="28"/>
                <w:highlight w:val="yellow"/>
              </w:rPr>
            </w:pPr>
            <w:r>
              <w:rPr>
                <w:rFonts w:ascii="Times New Roman" w:hAnsi="Times New Roman"/>
                <w:sz w:val="24"/>
                <w:szCs w:val="28"/>
              </w:rPr>
              <w:t>Створення процедури здійснення громадської акредитації закладів загальної середньої освіти сприятиме підвищенню якості освіти та освітньої діяльності в закладах освіти, а також створенню експертного середовища з представників громадськості</w:t>
            </w:r>
          </w:p>
        </w:tc>
        <w:tc>
          <w:tcPr>
            <w:tcW w:w="3258" w:type="dxa"/>
          </w:tcPr>
          <w:p w:rsidR="00EF187E" w:rsidRDefault="001E22A9">
            <w:pPr>
              <w:spacing w:line="240" w:lineRule="auto"/>
              <w:jc w:val="both"/>
              <w:rPr>
                <w:rFonts w:ascii="Times New Roman" w:hAnsi="Times New Roman"/>
                <w:sz w:val="24"/>
                <w:szCs w:val="28"/>
              </w:rPr>
            </w:pPr>
            <w:r>
              <w:rPr>
                <w:rFonts w:ascii="Times New Roman" w:hAnsi="Times New Roman"/>
                <w:sz w:val="24"/>
                <w:szCs w:val="28"/>
              </w:rPr>
              <w:t>Негативних наслідків від прийняття регуляторного акта не очікується</w:t>
            </w:r>
          </w:p>
        </w:tc>
      </w:tr>
    </w:tbl>
    <w:p w:rsidR="00EF187E" w:rsidRDefault="00EF187E">
      <w:pPr>
        <w:spacing w:after="0" w:line="240" w:lineRule="auto"/>
        <w:ind w:firstLine="709"/>
        <w:jc w:val="both"/>
        <w:rPr>
          <w:rFonts w:ascii="Times New Roman" w:hAnsi="Times New Roman"/>
          <w:sz w:val="28"/>
          <w:szCs w:val="28"/>
        </w:rPr>
      </w:pPr>
    </w:p>
    <w:p w:rsidR="00EF187E" w:rsidRDefault="001E22A9">
      <w:pPr>
        <w:spacing w:after="0" w:line="240" w:lineRule="auto"/>
        <w:ind w:firstLine="709"/>
        <w:jc w:val="both"/>
        <w:rPr>
          <w:rFonts w:ascii="Times New Roman" w:hAnsi="Times New Roman"/>
          <w:sz w:val="28"/>
          <w:szCs w:val="28"/>
        </w:rPr>
      </w:pPr>
      <w:r>
        <w:rPr>
          <w:rFonts w:ascii="Times New Roman" w:hAnsi="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регуляторного акта не очікується.</w:t>
      </w:r>
    </w:p>
    <w:p w:rsidR="00EF187E" w:rsidRDefault="00EF187E">
      <w:pPr>
        <w:pStyle w:val="1"/>
      </w:pPr>
      <w:bookmarkStart w:id="9" w:name="_Toc3536287"/>
    </w:p>
    <w:p w:rsidR="00EF187E" w:rsidRDefault="001E22A9">
      <w:pPr>
        <w:pStyle w:val="1"/>
      </w:pPr>
      <w:r>
        <w:t>V. Механізми та заходи, які забезпечать розв’язання визначеної проблеми</w:t>
      </w:r>
      <w:bookmarkEnd w:id="9"/>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Для вирішення проблем, визначених у розділі першому та досягнення цілей, визначених у розділі другому цього аналізу регуляторного впливу, проєктом акта передбачено механізм розв’язання проблеми шляхом його прийняття.</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Досягнення визначених цілей впровадження регуляторного акта забезпечується шляхом запровадження процедури здійснення громадської акредитації та прозорого механізму його проведення. </w:t>
      </w:r>
    </w:p>
    <w:p w:rsidR="008761E6" w:rsidRDefault="00876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Прийняття регуляторного акта забезпечить </w:t>
      </w:r>
      <w:r w:rsidR="00566838">
        <w:rPr>
          <w:rFonts w:ascii="Times New Roman" w:hAnsi="Times New Roman"/>
          <w:sz w:val="28"/>
          <w:szCs w:val="28"/>
        </w:rPr>
        <w:t xml:space="preserve">нормативне </w:t>
      </w:r>
      <w:r w:rsidRPr="00566838">
        <w:rPr>
          <w:rFonts w:ascii="Times New Roman" w:hAnsi="Times New Roman"/>
          <w:sz w:val="28"/>
          <w:szCs w:val="28"/>
        </w:rPr>
        <w:t>визнач</w:t>
      </w:r>
      <w:r w:rsidRPr="00566838">
        <w:rPr>
          <w:rFonts w:ascii="Times New Roman" w:hAnsi="Times New Roman"/>
          <w:sz w:val="28"/>
          <w:szCs w:val="28"/>
        </w:rPr>
        <w:t>ення</w:t>
      </w:r>
      <w:r w:rsidRPr="00566838">
        <w:rPr>
          <w:rFonts w:ascii="Times New Roman" w:hAnsi="Times New Roman"/>
          <w:sz w:val="28"/>
          <w:szCs w:val="28"/>
        </w:rPr>
        <w:t xml:space="preserve"> механізм</w:t>
      </w:r>
      <w:r w:rsidRPr="00566838">
        <w:rPr>
          <w:rFonts w:ascii="Times New Roman" w:hAnsi="Times New Roman"/>
          <w:sz w:val="28"/>
          <w:szCs w:val="28"/>
        </w:rPr>
        <w:t>у</w:t>
      </w:r>
      <w:r w:rsidRPr="00566838">
        <w:rPr>
          <w:rFonts w:ascii="Times New Roman" w:hAnsi="Times New Roman"/>
          <w:sz w:val="28"/>
          <w:szCs w:val="28"/>
        </w:rPr>
        <w:t xml:space="preserve"> здійснення громадської акредитації закладів, які забезпечують здобуття певного рівня повної загальної середньої освіти, незалежно від їх типу, підпорядкування та форми власності</w:t>
      </w:r>
      <w:r w:rsidR="00566838">
        <w:rPr>
          <w:szCs w:val="28"/>
        </w:rPr>
        <w:t xml:space="preserve">. </w:t>
      </w:r>
      <w:r w:rsidR="00566838" w:rsidRPr="00566838">
        <w:rPr>
          <w:rFonts w:ascii="Times New Roman" w:hAnsi="Times New Roman"/>
          <w:sz w:val="28"/>
          <w:szCs w:val="28"/>
        </w:rPr>
        <w:t xml:space="preserve">Урегулюваня </w:t>
      </w:r>
      <w:r w:rsidR="00566838" w:rsidRPr="00566838">
        <w:rPr>
          <w:rFonts w:ascii="Times New Roman" w:hAnsi="Times New Roman"/>
          <w:sz w:val="28"/>
          <w:szCs w:val="28"/>
        </w:rPr>
        <w:t>процедури здійснення громадської акредитації закладів загальної середньої освіти сприятиме підвищенню якості освіти та освітньої діяльності в закладах освіти, а також створенню експертного середовища з представників громадськості</w:t>
      </w:r>
      <w:r w:rsidR="00566838">
        <w:rPr>
          <w:rFonts w:ascii="Times New Roman" w:hAnsi="Times New Roman"/>
          <w:sz w:val="28"/>
          <w:szCs w:val="28"/>
        </w:rPr>
        <w:t>.</w:t>
      </w:r>
      <w:bookmarkStart w:id="10" w:name="_GoBack"/>
      <w:bookmarkEnd w:id="10"/>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Прийняття акта не потребує здійснення центральними органами виконавчої влади додаткових заходів для впровадження регуляторного акта.</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Міністерство освіти і науки України та Державна служба якості освіти України шляхом оприлюднення на офіційних сайтах інформації, а також шляхом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EF187E" w:rsidRDefault="00EF187E">
      <w:pPr>
        <w:spacing w:after="0" w:line="240" w:lineRule="auto"/>
        <w:rPr>
          <w:rFonts w:ascii="Times New Roman" w:hAnsi="Times New Roman"/>
          <w:sz w:val="28"/>
          <w:szCs w:val="28"/>
        </w:rPr>
      </w:pPr>
    </w:p>
    <w:p w:rsidR="00EF187E" w:rsidRDefault="001E22A9">
      <w:pPr>
        <w:pStyle w:val="1"/>
      </w:pPr>
      <w:bookmarkStart w:id="11" w:name="_Toc3536288"/>
      <w: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1"/>
    </w:p>
    <w:p w:rsidR="00EF187E" w:rsidRDefault="00EF187E">
      <w:pPr>
        <w:spacing w:after="0" w:line="240" w:lineRule="auto"/>
        <w:jc w:val="both"/>
        <w:rPr>
          <w:rFonts w:ascii="Times New Roman" w:hAnsi="Times New Roman"/>
          <w:sz w:val="28"/>
          <w:szCs w:val="28"/>
        </w:rPr>
      </w:pP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Від впровадження проєкту регуляторного акта негативних наслідків не очікується.</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EF187E" w:rsidRDefault="001E22A9">
      <w:pPr>
        <w:spacing w:after="0" w:line="240" w:lineRule="auto"/>
        <w:ind w:firstLine="567"/>
        <w:jc w:val="both"/>
        <w:rPr>
          <w:rFonts w:ascii="Times New Roman" w:hAnsi="Times New Roman"/>
          <w:bCs/>
          <w:sz w:val="28"/>
          <w:szCs w:val="28"/>
        </w:rPr>
      </w:pPr>
      <w:r>
        <w:rPr>
          <w:rFonts w:ascii="Times New Roman" w:hAnsi="Times New Roman"/>
          <w:sz w:val="28"/>
          <w:szCs w:val="28"/>
        </w:rPr>
        <w:t>Враховуючи,</w:t>
      </w:r>
      <w:r>
        <w:rPr>
          <w:rFonts w:ascii="Times New Roman" w:hAnsi="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EF187E" w:rsidRDefault="00EF187E">
      <w:pPr>
        <w:spacing w:after="0" w:line="240" w:lineRule="auto"/>
        <w:rPr>
          <w:rFonts w:ascii="Times New Roman" w:hAnsi="Times New Roman"/>
          <w:sz w:val="28"/>
          <w:szCs w:val="28"/>
        </w:rPr>
      </w:pPr>
    </w:p>
    <w:p w:rsidR="00EF187E" w:rsidRDefault="001E22A9">
      <w:pPr>
        <w:pStyle w:val="1"/>
      </w:pPr>
      <w:bookmarkStart w:id="12" w:name="_Toc3536289"/>
      <w:r>
        <w:t>VII. Обґрунтування запропонованого строку дії регуляторного акта</w:t>
      </w:r>
      <w:bookmarkEnd w:id="12"/>
    </w:p>
    <w:p w:rsidR="00EF187E" w:rsidRDefault="00EF187E">
      <w:pPr>
        <w:spacing w:after="0" w:line="240" w:lineRule="auto"/>
        <w:rPr>
          <w:rFonts w:ascii="Times New Roman" w:hAnsi="Times New Roman"/>
          <w:sz w:val="28"/>
          <w:szCs w:val="28"/>
        </w:rPr>
      </w:pP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w:t>
      </w:r>
      <w:r>
        <w:rPr>
          <w:rFonts w:ascii="Times New Roman" w:hAnsi="Times New Roman"/>
          <w:sz w:val="28"/>
          <w:szCs w:val="28"/>
        </w:rPr>
        <w:lastRenderedPageBreak/>
        <w:t xml:space="preserve">правових актів, на вимогах яких базується проєкт регуляторного акта. Проєкт регуляторного акта набирає чинності з дня його офіційного опублікування.  </w:t>
      </w:r>
    </w:p>
    <w:p w:rsidR="00EF187E" w:rsidRDefault="00EF187E">
      <w:pPr>
        <w:pStyle w:val="1"/>
      </w:pPr>
      <w:bookmarkStart w:id="13" w:name="_Toc3536290"/>
    </w:p>
    <w:p w:rsidR="00EF187E" w:rsidRDefault="001E22A9">
      <w:pPr>
        <w:pStyle w:val="1"/>
      </w:pPr>
      <w:r>
        <w:t>VIII. Визначення показників результативності дії регуляторного акта</w:t>
      </w:r>
      <w:bookmarkEnd w:id="13"/>
    </w:p>
    <w:p w:rsidR="00EF187E" w:rsidRDefault="00EF187E">
      <w:pPr>
        <w:spacing w:after="0" w:line="240" w:lineRule="auto"/>
        <w:rPr>
          <w:rFonts w:ascii="Times New Roman" w:hAnsi="Times New Roman"/>
          <w:sz w:val="28"/>
          <w:szCs w:val="28"/>
        </w:rPr>
      </w:pP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кількість суб’єктів господарювання (юридичних осіб) на яких поширюватиметься дія акта;</w:t>
      </w:r>
    </w:p>
    <w:p w:rsidR="00EF187E" w:rsidRDefault="001E22A9">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w:t>
      </w:r>
      <w:r>
        <w:rPr>
          <w:rFonts w:ascii="Times New Roman" w:hAnsi="Times New Roman"/>
          <w:sz w:val="28"/>
          <w:szCs w:val="28"/>
          <w:lang w:eastAsia="ru-RU"/>
        </w:rPr>
        <w:t>рівень поінформованості суб’єктів господарювання з основних положень акта;</w:t>
      </w:r>
    </w:p>
    <w:p w:rsidR="00EF187E" w:rsidRDefault="001E22A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кількість закладів освіти, керівники яких ініціювали здійснення громадської акредитації в очолюваних ними закладах освіти;</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кількість </w:t>
      </w:r>
      <w:r>
        <w:rPr>
          <w:rFonts w:ascii="Times New Roman" w:hAnsi="Times New Roman"/>
          <w:sz w:val="28"/>
          <w:szCs w:val="28"/>
          <w:lang w:eastAsia="ru-RU"/>
        </w:rPr>
        <w:t>закладів освіти</w:t>
      </w:r>
      <w:r>
        <w:rPr>
          <w:rFonts w:ascii="Times New Roman" w:hAnsi="Times New Roman"/>
          <w:sz w:val="28"/>
          <w:szCs w:val="28"/>
        </w:rPr>
        <w:t>, які отримали висновок за результатами здійсненої юридичною особою, акредитованою в установленому порядку, громадської акредитації;</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кількість закладів освіти, що отримали сертифікат про громадську акредитацію за результатами успішного проходження процедури;</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кількість </w:t>
      </w:r>
      <w:r>
        <w:rPr>
          <w:rFonts w:ascii="Times New Roman" w:hAnsi="Times New Roman"/>
          <w:sz w:val="28"/>
          <w:szCs w:val="28"/>
          <w:lang w:eastAsia="ru-RU"/>
        </w:rPr>
        <w:t>закладів освіти</w:t>
      </w:r>
      <w:r>
        <w:rPr>
          <w:rFonts w:ascii="Times New Roman" w:hAnsi="Times New Roman"/>
          <w:sz w:val="28"/>
          <w:szCs w:val="28"/>
        </w:rPr>
        <w:t xml:space="preserve">, яким було анульовано сертифікат про громадську акредитацію. </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Проєкт регуляторного акта розміщено на офіційних вебсайтах Державної служби якості освіти України та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наказу заходів.</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Рівень поінформованості з основними положеннями акта – вище середнього за рахунок:</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а) заклади освіти та юридичні особи, акердитовані в установленому порядку можуть ознайомитися з проєктом наказу МОН, який розміщено на офіційному вебсайті МОН;</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б) у разі прийняття, наказ буде розміщено на офіційному вебсайті Міністерства освіти і науки (mon.gov.ua) та Державної служби якості освіти (sqe.gov.ua).</w:t>
      </w:r>
    </w:p>
    <w:p w:rsidR="00EF187E" w:rsidRDefault="00EF187E">
      <w:pPr>
        <w:spacing w:after="0" w:line="240" w:lineRule="auto"/>
        <w:jc w:val="both"/>
        <w:rPr>
          <w:rFonts w:ascii="Times New Roman" w:hAnsi="Times New Roman"/>
          <w:sz w:val="28"/>
          <w:szCs w:val="28"/>
        </w:rPr>
      </w:pPr>
    </w:p>
    <w:p w:rsidR="00EF187E" w:rsidRDefault="001E22A9">
      <w:pPr>
        <w:pStyle w:val="1"/>
      </w:pPr>
      <w:bookmarkStart w:id="14" w:name="_Toc3536291"/>
      <w:r>
        <w:t>IX. Визначення заходів, за допомогою яких здійснюватиметься відстеження результативності дії регуляторного акта</w:t>
      </w:r>
      <w:bookmarkEnd w:id="14"/>
    </w:p>
    <w:p w:rsidR="00EF187E" w:rsidRDefault="00EF187E">
      <w:pPr>
        <w:spacing w:after="0" w:line="240" w:lineRule="auto"/>
        <w:rPr>
          <w:rFonts w:ascii="Times New Roman" w:hAnsi="Times New Roman"/>
          <w:sz w:val="28"/>
          <w:szCs w:val="28"/>
        </w:rPr>
      </w:pPr>
    </w:p>
    <w:p w:rsidR="00EF187E" w:rsidRDefault="001E22A9">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w:t>
      </w:r>
      <w:r>
        <w:rPr>
          <w:rFonts w:ascii="Times New Roman" w:hAnsi="Times New Roman"/>
          <w:color w:val="000000" w:themeColor="text1"/>
          <w:sz w:val="28"/>
          <w:szCs w:val="28"/>
        </w:rPr>
        <w:t xml:space="preserve">Для визначення значень показників результативності регуляторного акта використовуватимуться статистичні дані, тому базове відстеження </w:t>
      </w:r>
      <w:r>
        <w:rPr>
          <w:rFonts w:ascii="Times New Roman" w:hAnsi="Times New Roman"/>
          <w:color w:val="000000" w:themeColor="text1"/>
          <w:sz w:val="28"/>
          <w:szCs w:val="28"/>
        </w:rPr>
        <w:lastRenderedPageBreak/>
        <w:t>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EF187E" w:rsidRDefault="001E22A9">
      <w:pPr>
        <w:shd w:val="clear" w:color="auto" w:fill="FFFFFF"/>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EF187E" w:rsidRDefault="001E22A9">
      <w:pPr>
        <w:spacing w:after="0" w:line="240" w:lineRule="auto"/>
        <w:ind w:firstLine="708"/>
        <w:jc w:val="both"/>
        <w:rPr>
          <w:rFonts w:ascii="Times New Roman" w:hAnsi="Times New Roman"/>
          <w:sz w:val="28"/>
          <w:szCs w:val="28"/>
        </w:rPr>
      </w:pPr>
      <w:r>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EF187E" w:rsidRDefault="001E22A9">
      <w:pPr>
        <w:spacing w:after="0" w:line="240" w:lineRule="auto"/>
        <w:ind w:firstLine="567"/>
        <w:jc w:val="both"/>
        <w:rPr>
          <w:rFonts w:ascii="Times New Roman" w:hAnsi="Times New Roman"/>
          <w:sz w:val="28"/>
          <w:szCs w:val="28"/>
        </w:rPr>
      </w:pPr>
      <w:r>
        <w:rPr>
          <w:rFonts w:ascii="Times New Roman" w:hAnsi="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EF187E" w:rsidRDefault="00EF187E">
      <w:pPr>
        <w:spacing w:after="0" w:line="240" w:lineRule="auto"/>
        <w:rPr>
          <w:rFonts w:ascii="Times New Roman" w:hAnsi="Times New Roman"/>
          <w:sz w:val="28"/>
          <w:szCs w:val="28"/>
        </w:rPr>
      </w:pPr>
    </w:p>
    <w:p w:rsidR="00EF187E" w:rsidRDefault="00EF187E">
      <w:pPr>
        <w:spacing w:after="0" w:line="240" w:lineRule="auto"/>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F187E">
        <w:tc>
          <w:tcPr>
            <w:tcW w:w="4785" w:type="dxa"/>
          </w:tcPr>
          <w:p w:rsidR="00EF187E" w:rsidRDefault="001E22A9">
            <w:pPr>
              <w:spacing w:line="240" w:lineRule="auto"/>
              <w:rPr>
                <w:rFonts w:ascii="Times New Roman" w:hAnsi="Times New Roman"/>
                <w:sz w:val="28"/>
                <w:szCs w:val="28"/>
              </w:rPr>
            </w:pPr>
            <w:r>
              <w:rPr>
                <w:rFonts w:ascii="Times New Roman" w:hAnsi="Times New Roman"/>
                <w:sz w:val="28"/>
                <w:szCs w:val="28"/>
              </w:rPr>
              <w:t>Міністр освіти і науки України</w:t>
            </w:r>
          </w:p>
        </w:tc>
        <w:tc>
          <w:tcPr>
            <w:tcW w:w="4785" w:type="dxa"/>
          </w:tcPr>
          <w:p w:rsidR="00EF187E" w:rsidRDefault="001E22A9">
            <w:pPr>
              <w:jc w:val="right"/>
              <w:rPr>
                <w:rFonts w:ascii="Times New Roman" w:hAnsi="Times New Roman"/>
                <w:sz w:val="28"/>
                <w:szCs w:val="28"/>
              </w:rPr>
            </w:pPr>
            <w:r>
              <w:rPr>
                <w:rFonts w:ascii="Times New Roman" w:hAnsi="Times New Roman"/>
                <w:sz w:val="28"/>
                <w:szCs w:val="28"/>
              </w:rPr>
              <w:t>Сергій ШКАРЛЕТ</w:t>
            </w:r>
          </w:p>
        </w:tc>
      </w:tr>
      <w:tr w:rsidR="00EF187E">
        <w:tc>
          <w:tcPr>
            <w:tcW w:w="4785" w:type="dxa"/>
          </w:tcPr>
          <w:p w:rsidR="00EF187E" w:rsidRDefault="00EF187E">
            <w:pPr>
              <w:spacing w:line="240" w:lineRule="auto"/>
              <w:rPr>
                <w:rFonts w:ascii="Times New Roman" w:hAnsi="Times New Roman"/>
                <w:sz w:val="28"/>
                <w:szCs w:val="28"/>
              </w:rPr>
            </w:pPr>
          </w:p>
        </w:tc>
        <w:tc>
          <w:tcPr>
            <w:tcW w:w="4785" w:type="dxa"/>
          </w:tcPr>
          <w:p w:rsidR="00EF187E" w:rsidRDefault="00EF187E">
            <w:pPr>
              <w:spacing w:line="240" w:lineRule="auto"/>
              <w:rPr>
                <w:rFonts w:ascii="Times New Roman" w:hAnsi="Times New Roman"/>
                <w:sz w:val="28"/>
                <w:szCs w:val="28"/>
              </w:rPr>
            </w:pPr>
          </w:p>
        </w:tc>
      </w:tr>
      <w:tr w:rsidR="00EF187E">
        <w:tc>
          <w:tcPr>
            <w:tcW w:w="4785" w:type="dxa"/>
          </w:tcPr>
          <w:p w:rsidR="00EF187E" w:rsidRDefault="001E22A9">
            <w:pPr>
              <w:spacing w:line="240" w:lineRule="auto"/>
              <w:rPr>
                <w:rFonts w:ascii="Times New Roman" w:hAnsi="Times New Roman"/>
                <w:sz w:val="28"/>
                <w:szCs w:val="28"/>
              </w:rPr>
            </w:pPr>
            <w:r>
              <w:rPr>
                <w:rFonts w:ascii="Times New Roman" w:hAnsi="Times New Roman"/>
                <w:sz w:val="28"/>
                <w:szCs w:val="28"/>
              </w:rPr>
              <w:t>«___» _____________ 20___ р.</w:t>
            </w:r>
          </w:p>
        </w:tc>
        <w:tc>
          <w:tcPr>
            <w:tcW w:w="4785" w:type="dxa"/>
          </w:tcPr>
          <w:p w:rsidR="00EF187E" w:rsidRDefault="00EF187E">
            <w:pPr>
              <w:spacing w:line="240" w:lineRule="auto"/>
              <w:rPr>
                <w:rFonts w:ascii="Times New Roman" w:hAnsi="Times New Roman"/>
                <w:sz w:val="28"/>
                <w:szCs w:val="28"/>
              </w:rPr>
            </w:pPr>
          </w:p>
        </w:tc>
      </w:tr>
    </w:tbl>
    <w:p w:rsidR="00EF187E" w:rsidRDefault="00EF187E">
      <w:pPr>
        <w:spacing w:after="0" w:line="240" w:lineRule="auto"/>
        <w:rPr>
          <w:rFonts w:ascii="Times New Roman" w:hAnsi="Times New Roman"/>
          <w:sz w:val="28"/>
          <w:szCs w:val="28"/>
        </w:rPr>
      </w:pPr>
    </w:p>
    <w:p w:rsidR="00EF187E" w:rsidRDefault="001E22A9">
      <w:pPr>
        <w:spacing w:line="240" w:lineRule="auto"/>
        <w:rPr>
          <w:rFonts w:ascii="Times New Roman" w:hAnsi="Times New Roman"/>
          <w:b/>
          <w:bCs/>
          <w:sz w:val="28"/>
          <w:szCs w:val="28"/>
          <w:lang w:eastAsia="uk-UA"/>
        </w:rPr>
      </w:pPr>
      <w:r>
        <w:rPr>
          <w:rFonts w:ascii="Times New Roman" w:hAnsi="Times New Roman"/>
          <w:b/>
          <w:bCs/>
          <w:sz w:val="28"/>
          <w:szCs w:val="28"/>
          <w:lang w:eastAsia="uk-UA"/>
        </w:rPr>
        <w:br w:type="page"/>
      </w:r>
    </w:p>
    <w:p w:rsidR="00EF187E" w:rsidRDefault="001E22A9">
      <w:pPr>
        <w:spacing w:before="150" w:after="150" w:line="240" w:lineRule="auto"/>
        <w:jc w:val="center"/>
        <w:rPr>
          <w:rFonts w:ascii="Times New Roman" w:hAnsi="Times New Roman"/>
          <w:sz w:val="24"/>
          <w:szCs w:val="24"/>
          <w:lang w:eastAsia="uk-UA"/>
        </w:rPr>
      </w:pPr>
      <w:r>
        <w:rPr>
          <w:rFonts w:ascii="Times New Roman" w:hAnsi="Times New Roman"/>
          <w:b/>
          <w:bCs/>
          <w:sz w:val="28"/>
          <w:szCs w:val="28"/>
          <w:lang w:eastAsia="uk-UA"/>
        </w:rPr>
        <w:lastRenderedPageBreak/>
        <w:t>ВИТРАТИ</w:t>
      </w:r>
      <w:r>
        <w:rPr>
          <w:rFonts w:ascii="Times New Roman" w:hAnsi="Times New Roman"/>
          <w:sz w:val="24"/>
          <w:szCs w:val="24"/>
          <w:lang w:eastAsia="uk-UA"/>
        </w:rPr>
        <w:br/>
      </w:r>
      <w:r>
        <w:rPr>
          <w:rFonts w:ascii="Times New Roman" w:hAnsi="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82"/>
        <w:gridCol w:w="6317"/>
        <w:gridCol w:w="1465"/>
        <w:gridCol w:w="1465"/>
      </w:tblGrid>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bookmarkStart w:id="15" w:name="n178"/>
            <w:bookmarkEnd w:id="15"/>
            <w:r>
              <w:rPr>
                <w:rFonts w:ascii="Times New Roman" w:hAnsi="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За п’ять років</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Інше (уточнити),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w:t>
            </w: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1578</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EF187E">
            <w:pPr>
              <w:pStyle w:val="a9"/>
              <w:numPr>
                <w:ilvl w:val="0"/>
                <w:numId w:val="14"/>
              </w:numPr>
              <w:spacing w:before="150" w:after="150" w:line="240" w:lineRule="auto"/>
              <w:jc w:val="center"/>
              <w:rPr>
                <w:rFonts w:ascii="Times New Roman" w:hAnsi="Times New Roman"/>
                <w:sz w:val="28"/>
                <w:szCs w:val="28"/>
                <w:lang w:eastAsia="uk-UA"/>
              </w:rPr>
            </w:pPr>
          </w:p>
        </w:tc>
      </w:tr>
      <w:tr w:rsidR="00EF187E">
        <w:trPr>
          <w:jc w:val="center"/>
        </w:trPr>
        <w:tc>
          <w:tcPr>
            <w:tcW w:w="296"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EF187E" w:rsidRDefault="001E22A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bl>
    <w:p w:rsidR="00EF187E" w:rsidRDefault="001E22A9">
      <w:pPr>
        <w:spacing w:after="150" w:line="240" w:lineRule="auto"/>
        <w:ind w:left="450" w:right="450"/>
        <w:jc w:val="center"/>
        <w:rPr>
          <w:rFonts w:ascii="Times New Roman" w:hAnsi="Times New Roman"/>
          <w:b/>
          <w:sz w:val="28"/>
          <w:szCs w:val="28"/>
          <w:lang w:eastAsia="uk-UA"/>
        </w:rPr>
      </w:pPr>
      <w:bookmarkStart w:id="16" w:name="n179"/>
      <w:bookmarkEnd w:id="16"/>
      <w:r>
        <w:rPr>
          <w:rFonts w:ascii="Times New Roman" w:hAnsi="Times New Roman"/>
          <w:b/>
          <w:sz w:val="28"/>
          <w:szCs w:val="28"/>
          <w:lang w:eastAsia="uk-UA"/>
        </w:rPr>
        <w:lastRenderedPageBreak/>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61"/>
        <w:gridCol w:w="1967"/>
        <w:gridCol w:w="1058"/>
        <w:gridCol w:w="678"/>
        <w:gridCol w:w="1465"/>
      </w:tblGrid>
      <w:tr w:rsidR="00EF187E">
        <w:tc>
          <w:tcPr>
            <w:tcW w:w="2399" w:type="pct"/>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bookmarkStart w:id="17" w:name="n180"/>
            <w:bookmarkEnd w:id="17"/>
            <w:r>
              <w:rPr>
                <w:rFonts w:ascii="Times New Roman" w:hAnsi="Times New Roman"/>
                <w:sz w:val="28"/>
                <w:szCs w:val="28"/>
                <w:lang w:eastAsia="uk-UA"/>
              </w:rPr>
              <w:t>Вид витрат</w:t>
            </w:r>
          </w:p>
        </w:tc>
        <w:tc>
          <w:tcPr>
            <w:tcW w:w="867" w:type="pct"/>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У перший рік</w:t>
            </w:r>
          </w:p>
        </w:tc>
        <w:tc>
          <w:tcPr>
            <w:tcW w:w="867" w:type="pct"/>
            <w:gridSpan w:val="2"/>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Періодичні (за рік)</w:t>
            </w:r>
          </w:p>
        </w:tc>
        <w:tc>
          <w:tcPr>
            <w:tcW w:w="867" w:type="pct"/>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 п’ять років</w:t>
            </w:r>
          </w:p>
        </w:tc>
      </w:tr>
      <w:tr w:rsidR="00EF187E">
        <w:tc>
          <w:tcPr>
            <w:tcW w:w="2399" w:type="pct"/>
            <w:tcBorders>
              <w:bottom w:val="single" w:sz="4" w:space="0" w:color="auto"/>
            </w:tcBorders>
            <w:hideMark/>
          </w:tcPr>
          <w:p w:rsidR="00EF187E" w:rsidRDefault="001E22A9">
            <w:pPr>
              <w:spacing w:before="150" w:after="150" w:line="240" w:lineRule="auto"/>
              <w:rPr>
                <w:rFonts w:ascii="Times New Roman" w:hAnsi="Times New Roman"/>
                <w:sz w:val="28"/>
                <w:szCs w:val="28"/>
                <w:lang w:eastAsia="uk-UA"/>
              </w:rPr>
            </w:pPr>
            <w:r>
              <w:rPr>
                <w:rFonts w:ascii="Times New Roman" w:hAnsi="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867" w:type="pct"/>
            <w:gridSpan w:val="2"/>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867" w:type="pct"/>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c>
          <w:tcPr>
            <w:tcW w:w="2399" w:type="pct"/>
            <w:tcBorders>
              <w:top w:val="single" w:sz="4" w:space="0" w:color="auto"/>
              <w:left w:val="nil"/>
              <w:bottom w:val="single" w:sz="4" w:space="0" w:color="auto"/>
              <w:right w:val="nil"/>
            </w:tcBorders>
          </w:tcPr>
          <w:p w:rsidR="00EF187E" w:rsidRDefault="00EF187E">
            <w:pPr>
              <w:spacing w:before="150" w:after="150" w:line="240" w:lineRule="auto"/>
              <w:rPr>
                <w:rFonts w:ascii="Times New Roman" w:hAnsi="Times New Roman"/>
                <w:sz w:val="28"/>
                <w:szCs w:val="28"/>
                <w:lang w:eastAsia="uk-UA"/>
              </w:rPr>
            </w:pPr>
          </w:p>
        </w:tc>
        <w:tc>
          <w:tcPr>
            <w:tcW w:w="867" w:type="pct"/>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c>
          <w:tcPr>
            <w:tcW w:w="867" w:type="pct"/>
            <w:gridSpan w:val="2"/>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c>
          <w:tcPr>
            <w:tcW w:w="867" w:type="pct"/>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r>
      <w:tr w:rsidR="00EF187E">
        <w:tc>
          <w:tcPr>
            <w:tcW w:w="2399" w:type="pct"/>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bookmarkStart w:id="18" w:name="n181"/>
            <w:bookmarkEnd w:id="18"/>
            <w:r>
              <w:rPr>
                <w:rFonts w:ascii="Times New Roman" w:hAnsi="Times New Roman"/>
                <w:sz w:val="28"/>
                <w:szCs w:val="28"/>
                <w:lang w:eastAsia="uk-UA"/>
              </w:rPr>
              <w:t>Вид витрат</w:t>
            </w:r>
          </w:p>
        </w:tc>
        <w:tc>
          <w:tcPr>
            <w:tcW w:w="1333" w:type="pct"/>
            <w:gridSpan w:val="2"/>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 п’ять років</w:t>
            </w:r>
          </w:p>
        </w:tc>
      </w:tr>
      <w:tr w:rsidR="00EF187E">
        <w:tc>
          <w:tcPr>
            <w:tcW w:w="2399" w:type="pct"/>
            <w:hideMark/>
          </w:tcPr>
          <w:p w:rsidR="00EF187E" w:rsidRDefault="001E22A9">
            <w:pPr>
              <w:spacing w:after="0" w:line="240" w:lineRule="auto"/>
              <w:rPr>
                <w:rFonts w:ascii="Times New Roman" w:hAnsi="Times New Roman"/>
                <w:sz w:val="28"/>
                <w:szCs w:val="28"/>
                <w:lang w:eastAsia="uk-UA"/>
              </w:rPr>
            </w:pPr>
            <w:r>
              <w:rPr>
                <w:rFonts w:ascii="Times New Roman" w:hAnsi="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1267" w:type="pct"/>
            <w:gridSpan w:val="2"/>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bl>
    <w:p w:rsidR="00EF187E" w:rsidRDefault="00EF187E">
      <w:pPr>
        <w:spacing w:after="150" w:line="240" w:lineRule="auto"/>
        <w:rPr>
          <w:rFonts w:ascii="Times New Roman" w:hAnsi="Times New Roman"/>
          <w:vanish/>
          <w:sz w:val="24"/>
          <w:szCs w:val="24"/>
          <w:lang w:eastAsia="uk-UA"/>
        </w:rPr>
      </w:pPr>
      <w:bookmarkStart w:id="19" w:name="n182"/>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48"/>
        <w:gridCol w:w="1770"/>
        <w:gridCol w:w="1768"/>
        <w:gridCol w:w="1670"/>
        <w:gridCol w:w="1473"/>
      </w:tblGrid>
      <w:tr w:rsidR="00EF187E">
        <w:tc>
          <w:tcPr>
            <w:tcW w:w="1531"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Вид витрат</w:t>
            </w:r>
          </w:p>
        </w:tc>
        <w:tc>
          <w:tcPr>
            <w:tcW w:w="919"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Витрати* на ведення обліку, підготовку та подання звітності (за рік)</w:t>
            </w:r>
          </w:p>
        </w:tc>
        <w:tc>
          <w:tcPr>
            <w:tcW w:w="918"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Витрати на оплату штрафних санкцій за рік</w:t>
            </w:r>
          </w:p>
        </w:tc>
        <w:tc>
          <w:tcPr>
            <w:tcW w:w="867"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Разом за рік</w:t>
            </w:r>
          </w:p>
        </w:tc>
        <w:tc>
          <w:tcPr>
            <w:tcW w:w="765"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 п’ять років</w:t>
            </w:r>
          </w:p>
        </w:tc>
      </w:tr>
      <w:tr w:rsidR="00EF187E">
        <w:tc>
          <w:tcPr>
            <w:tcW w:w="1531" w:type="pct"/>
            <w:hideMark/>
          </w:tcPr>
          <w:p w:rsidR="00EF187E" w:rsidRDefault="001E22A9">
            <w:pPr>
              <w:spacing w:after="0" w:line="240" w:lineRule="auto"/>
              <w:rPr>
                <w:rFonts w:ascii="Times New Roman" w:hAnsi="Times New Roman"/>
                <w:sz w:val="28"/>
                <w:szCs w:val="28"/>
                <w:lang w:eastAsia="uk-UA"/>
              </w:rPr>
            </w:pPr>
            <w:r>
              <w:rPr>
                <w:rFonts w:ascii="Times New Roman" w:hAnsi="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w:t>
            </w:r>
            <w:r>
              <w:rPr>
                <w:rFonts w:ascii="Times New Roman" w:hAnsi="Times New Roman"/>
                <w:sz w:val="28"/>
                <w:szCs w:val="28"/>
                <w:lang w:eastAsia="ru-RU" w:bidi="uk-UA"/>
              </w:rPr>
              <w:br/>
              <w:t xml:space="preserve"> передбачені</w:t>
            </w:r>
          </w:p>
        </w:tc>
        <w:tc>
          <w:tcPr>
            <w:tcW w:w="918"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 xml:space="preserve">не </w:t>
            </w:r>
            <w:r>
              <w:rPr>
                <w:rFonts w:ascii="Times New Roman" w:hAnsi="Times New Roman"/>
                <w:sz w:val="28"/>
                <w:szCs w:val="28"/>
                <w:lang w:eastAsia="ru-RU" w:bidi="uk-UA"/>
              </w:rPr>
              <w:br/>
              <w:t>передбачені</w:t>
            </w:r>
          </w:p>
        </w:tc>
        <w:tc>
          <w:tcPr>
            <w:tcW w:w="867"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 xml:space="preserve">не </w:t>
            </w:r>
            <w:r>
              <w:rPr>
                <w:rFonts w:ascii="Times New Roman" w:hAnsi="Times New Roman"/>
                <w:sz w:val="28"/>
                <w:szCs w:val="28"/>
                <w:lang w:eastAsia="ru-RU" w:bidi="uk-UA"/>
              </w:rPr>
              <w:br/>
              <w:t>передбачені</w:t>
            </w:r>
          </w:p>
        </w:tc>
        <w:tc>
          <w:tcPr>
            <w:tcW w:w="765"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bl>
    <w:p w:rsidR="00EF187E" w:rsidRDefault="001E22A9">
      <w:pPr>
        <w:spacing w:after="150" w:line="240" w:lineRule="auto"/>
        <w:jc w:val="both"/>
        <w:rPr>
          <w:rFonts w:ascii="Times New Roman" w:hAnsi="Times New Roman"/>
          <w:sz w:val="24"/>
          <w:szCs w:val="24"/>
          <w:lang w:eastAsia="uk-UA"/>
        </w:rPr>
      </w:pPr>
      <w:bookmarkStart w:id="20" w:name="n183"/>
      <w:bookmarkEnd w:id="20"/>
      <w:r>
        <w:rPr>
          <w:rFonts w:ascii="Times New Roman" w:hAnsi="Times New Roman"/>
          <w:sz w:val="20"/>
          <w:szCs w:val="20"/>
          <w:lang w:eastAsia="uk-UA"/>
        </w:rPr>
        <w:t>_________</w:t>
      </w:r>
      <w:r>
        <w:rPr>
          <w:rFonts w:ascii="Times New Roman" w:hAnsi="Times New Roman"/>
          <w:sz w:val="24"/>
          <w:szCs w:val="24"/>
          <w:lang w:eastAsia="uk-UA"/>
        </w:rPr>
        <w:br/>
      </w:r>
      <w:r>
        <w:rPr>
          <w:rFonts w:ascii="Times New Roman" w:hAnsi="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22"/>
        <w:gridCol w:w="2233"/>
        <w:gridCol w:w="1544"/>
        <w:gridCol w:w="1465"/>
        <w:gridCol w:w="1465"/>
      </w:tblGrid>
      <w:tr w:rsidR="00EF187E">
        <w:tc>
          <w:tcPr>
            <w:tcW w:w="1583" w:type="pct"/>
            <w:hideMark/>
          </w:tcPr>
          <w:p w:rsidR="00EF187E" w:rsidRDefault="001E22A9">
            <w:pPr>
              <w:spacing w:after="0" w:line="240" w:lineRule="auto"/>
              <w:jc w:val="center"/>
              <w:rPr>
                <w:rFonts w:ascii="Times New Roman" w:hAnsi="Times New Roman"/>
                <w:sz w:val="28"/>
                <w:szCs w:val="28"/>
                <w:lang w:eastAsia="uk-UA"/>
              </w:rPr>
            </w:pPr>
            <w:bookmarkStart w:id="21" w:name="n184"/>
            <w:bookmarkEnd w:id="21"/>
            <w:r>
              <w:rPr>
                <w:rFonts w:ascii="Times New Roman" w:hAnsi="Times New Roman"/>
                <w:sz w:val="28"/>
                <w:szCs w:val="28"/>
                <w:lang w:eastAsia="uk-UA"/>
              </w:rPr>
              <w:t>Вид витрат</w:t>
            </w:r>
          </w:p>
        </w:tc>
        <w:tc>
          <w:tcPr>
            <w:tcW w:w="1225"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Витрати* на адміністрування заходів державного нагляду </w:t>
            </w:r>
            <w:r>
              <w:rPr>
                <w:rFonts w:ascii="Times New Roman" w:hAnsi="Times New Roman"/>
                <w:sz w:val="28"/>
                <w:szCs w:val="28"/>
                <w:lang w:eastAsia="uk-UA"/>
              </w:rPr>
              <w:lastRenderedPageBreak/>
              <w:t>(контролю) (за рік)</w:t>
            </w:r>
          </w:p>
        </w:tc>
        <w:tc>
          <w:tcPr>
            <w:tcW w:w="867"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lastRenderedPageBreak/>
              <w:t xml:space="preserve">Витрати на оплату штрафних санкцій та усунення виявлених </w:t>
            </w:r>
            <w:r>
              <w:rPr>
                <w:rFonts w:ascii="Times New Roman" w:hAnsi="Times New Roman"/>
                <w:sz w:val="28"/>
                <w:szCs w:val="28"/>
                <w:lang w:eastAsia="uk-UA"/>
              </w:rPr>
              <w:lastRenderedPageBreak/>
              <w:t>порушень (за рік)</w:t>
            </w:r>
          </w:p>
        </w:tc>
        <w:tc>
          <w:tcPr>
            <w:tcW w:w="663"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lastRenderedPageBreak/>
              <w:t>Разом за рік</w:t>
            </w:r>
          </w:p>
        </w:tc>
        <w:tc>
          <w:tcPr>
            <w:tcW w:w="663"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 п’ять років</w:t>
            </w:r>
          </w:p>
        </w:tc>
      </w:tr>
      <w:tr w:rsidR="00EF187E">
        <w:tc>
          <w:tcPr>
            <w:tcW w:w="1583" w:type="pct"/>
            <w:hideMark/>
          </w:tcPr>
          <w:p w:rsidR="00EF187E" w:rsidRDefault="001E22A9">
            <w:pPr>
              <w:spacing w:after="0" w:line="240" w:lineRule="auto"/>
              <w:rPr>
                <w:rFonts w:ascii="Times New Roman" w:hAnsi="Times New Roman"/>
                <w:sz w:val="28"/>
                <w:szCs w:val="28"/>
                <w:lang w:eastAsia="uk-UA"/>
              </w:rPr>
            </w:pPr>
            <w:r>
              <w:rPr>
                <w:rFonts w:ascii="Times New Roman" w:hAnsi="Times New Roman"/>
                <w:sz w:val="28"/>
                <w:szCs w:val="28"/>
                <w:lang w:eastAsia="uk-UA"/>
              </w:rPr>
              <w:lastRenderedPageBreak/>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 xml:space="preserve">не </w:t>
            </w:r>
            <w:r>
              <w:rPr>
                <w:rFonts w:ascii="Times New Roman" w:hAnsi="Times New Roman"/>
                <w:sz w:val="28"/>
                <w:szCs w:val="28"/>
                <w:lang w:eastAsia="ru-RU" w:bidi="uk-UA"/>
              </w:rPr>
              <w:br/>
              <w:t>передбачені</w:t>
            </w:r>
          </w:p>
        </w:tc>
        <w:tc>
          <w:tcPr>
            <w:tcW w:w="867"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 xml:space="preserve">не </w:t>
            </w:r>
            <w:r>
              <w:rPr>
                <w:rFonts w:ascii="Times New Roman" w:hAnsi="Times New Roman"/>
                <w:sz w:val="28"/>
                <w:szCs w:val="28"/>
                <w:lang w:eastAsia="ru-RU" w:bidi="uk-UA"/>
              </w:rPr>
              <w:br/>
              <w:t>передбачені</w:t>
            </w:r>
          </w:p>
        </w:tc>
        <w:tc>
          <w:tcPr>
            <w:tcW w:w="663"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63"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bl>
    <w:p w:rsidR="00EF187E" w:rsidRDefault="001E22A9">
      <w:pPr>
        <w:spacing w:after="150" w:line="240" w:lineRule="auto"/>
        <w:jc w:val="both"/>
        <w:rPr>
          <w:rFonts w:ascii="Times New Roman" w:hAnsi="Times New Roman"/>
          <w:sz w:val="24"/>
          <w:szCs w:val="24"/>
          <w:lang w:eastAsia="uk-UA"/>
        </w:rPr>
      </w:pPr>
      <w:bookmarkStart w:id="22" w:name="n185"/>
      <w:bookmarkEnd w:id="22"/>
      <w:r>
        <w:rPr>
          <w:rFonts w:ascii="Times New Roman" w:hAnsi="Times New Roman"/>
          <w:sz w:val="20"/>
          <w:szCs w:val="20"/>
          <w:lang w:eastAsia="uk-UA"/>
        </w:rPr>
        <w:t>__________</w:t>
      </w:r>
      <w:r>
        <w:rPr>
          <w:rFonts w:ascii="Times New Roman" w:hAnsi="Times New Roman"/>
          <w:sz w:val="24"/>
          <w:szCs w:val="24"/>
          <w:lang w:eastAsia="uk-UA"/>
        </w:rPr>
        <w:br/>
      </w:r>
      <w:r>
        <w:rPr>
          <w:rFonts w:ascii="Times New Roman" w:hAnsi="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08"/>
        <w:gridCol w:w="646"/>
        <w:gridCol w:w="1041"/>
        <w:gridCol w:w="841"/>
        <w:gridCol w:w="1041"/>
        <w:gridCol w:w="939"/>
        <w:gridCol w:w="648"/>
        <w:gridCol w:w="1465"/>
      </w:tblGrid>
      <w:tr w:rsidR="00EF187E">
        <w:tc>
          <w:tcPr>
            <w:tcW w:w="1584" w:type="pct"/>
            <w:hideMark/>
          </w:tcPr>
          <w:p w:rsidR="00EF187E" w:rsidRDefault="001E22A9">
            <w:pPr>
              <w:spacing w:before="150" w:after="150" w:line="240" w:lineRule="auto"/>
              <w:jc w:val="center"/>
              <w:rPr>
                <w:rFonts w:ascii="Times New Roman" w:hAnsi="Times New Roman"/>
                <w:sz w:val="28"/>
                <w:szCs w:val="28"/>
                <w:lang w:eastAsia="uk-UA"/>
              </w:rPr>
            </w:pPr>
            <w:bookmarkStart w:id="23" w:name="n186"/>
            <w:bookmarkEnd w:id="23"/>
            <w:r>
              <w:rPr>
                <w:rFonts w:ascii="Times New Roman" w:hAnsi="Times New Roman"/>
                <w:sz w:val="28"/>
                <w:szCs w:val="28"/>
                <w:lang w:eastAsia="uk-UA"/>
              </w:rPr>
              <w:t>Вид витрат</w:t>
            </w:r>
          </w:p>
        </w:tc>
        <w:tc>
          <w:tcPr>
            <w:tcW w:w="919" w:type="pct"/>
            <w:gridSpan w:val="2"/>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на проходження відповідних процедур (витрати часу, витрати на експертизи, тощо)</w:t>
            </w:r>
          </w:p>
        </w:tc>
        <w:tc>
          <w:tcPr>
            <w:tcW w:w="1020" w:type="pct"/>
            <w:gridSpan w:val="2"/>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безпосередньо на дозволи, ліцензії, сертифікати, страхові поліси (за рік - стартовий)</w:t>
            </w:r>
          </w:p>
        </w:tc>
        <w:tc>
          <w:tcPr>
            <w:tcW w:w="867" w:type="pct"/>
            <w:gridSpan w:val="2"/>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Разом за рік (стартовий)</w:t>
            </w:r>
          </w:p>
        </w:tc>
        <w:tc>
          <w:tcPr>
            <w:tcW w:w="611" w:type="pct"/>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 п’ять років</w:t>
            </w:r>
          </w:p>
        </w:tc>
      </w:tr>
      <w:tr w:rsidR="00EF187E">
        <w:tc>
          <w:tcPr>
            <w:tcW w:w="1584" w:type="pct"/>
            <w:tcBorders>
              <w:bottom w:val="single" w:sz="4" w:space="0" w:color="auto"/>
            </w:tcBorders>
            <w:hideMark/>
          </w:tcPr>
          <w:p w:rsidR="00EF187E" w:rsidRDefault="001E22A9">
            <w:pPr>
              <w:spacing w:before="150" w:after="150" w:line="240" w:lineRule="auto"/>
              <w:rPr>
                <w:rFonts w:ascii="Times New Roman" w:hAnsi="Times New Roman"/>
                <w:sz w:val="28"/>
                <w:szCs w:val="28"/>
                <w:lang w:eastAsia="uk-UA"/>
              </w:rPr>
            </w:pPr>
            <w:r>
              <w:rPr>
                <w:rFonts w:ascii="Times New Roman" w:hAnsi="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1020" w:type="pct"/>
            <w:gridSpan w:val="2"/>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w:t>
            </w:r>
            <w:r>
              <w:rPr>
                <w:rFonts w:ascii="Times New Roman" w:hAnsi="Times New Roman"/>
                <w:sz w:val="28"/>
                <w:szCs w:val="28"/>
                <w:lang w:eastAsia="ru-RU" w:bidi="uk-UA"/>
              </w:rPr>
              <w:br/>
              <w:t>передбачені</w:t>
            </w:r>
          </w:p>
        </w:tc>
        <w:tc>
          <w:tcPr>
            <w:tcW w:w="867" w:type="pct"/>
            <w:gridSpan w:val="2"/>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611" w:type="pct"/>
            <w:tcBorders>
              <w:bottom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r w:rsidR="00EF187E">
        <w:tc>
          <w:tcPr>
            <w:tcW w:w="1584" w:type="pct"/>
            <w:tcBorders>
              <w:top w:val="single" w:sz="4" w:space="0" w:color="auto"/>
              <w:left w:val="nil"/>
              <w:bottom w:val="single" w:sz="4" w:space="0" w:color="auto"/>
              <w:right w:val="nil"/>
            </w:tcBorders>
          </w:tcPr>
          <w:p w:rsidR="00EF187E" w:rsidRDefault="00EF187E">
            <w:pPr>
              <w:spacing w:before="150" w:after="150" w:line="240" w:lineRule="auto"/>
              <w:rPr>
                <w:rFonts w:ascii="Times New Roman" w:hAnsi="Times New Roman"/>
                <w:sz w:val="28"/>
                <w:szCs w:val="28"/>
                <w:lang w:eastAsia="uk-UA"/>
              </w:rPr>
            </w:pPr>
          </w:p>
        </w:tc>
        <w:tc>
          <w:tcPr>
            <w:tcW w:w="919" w:type="pct"/>
            <w:gridSpan w:val="2"/>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c>
          <w:tcPr>
            <w:tcW w:w="1020" w:type="pct"/>
            <w:gridSpan w:val="2"/>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c>
          <w:tcPr>
            <w:tcW w:w="867" w:type="pct"/>
            <w:gridSpan w:val="2"/>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c>
          <w:tcPr>
            <w:tcW w:w="611" w:type="pct"/>
            <w:tcBorders>
              <w:top w:val="single" w:sz="4" w:space="0" w:color="auto"/>
              <w:left w:val="nil"/>
              <w:bottom w:val="single" w:sz="4" w:space="0" w:color="auto"/>
              <w:right w:val="nil"/>
            </w:tcBorders>
          </w:tcPr>
          <w:p w:rsidR="00EF187E" w:rsidRDefault="00EF187E">
            <w:pPr>
              <w:spacing w:before="150" w:after="150" w:line="240" w:lineRule="auto"/>
              <w:jc w:val="center"/>
              <w:rPr>
                <w:rFonts w:ascii="Times New Roman" w:hAnsi="Times New Roman"/>
                <w:sz w:val="28"/>
                <w:szCs w:val="28"/>
                <w:lang w:eastAsia="ru-RU" w:bidi="uk-UA"/>
              </w:rPr>
            </w:pPr>
          </w:p>
        </w:tc>
      </w:tr>
      <w:tr w:rsidR="00EF187E">
        <w:tc>
          <w:tcPr>
            <w:tcW w:w="1941" w:type="pct"/>
            <w:gridSpan w:val="2"/>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bookmarkStart w:id="24" w:name="n187"/>
            <w:bookmarkEnd w:id="24"/>
            <w:r>
              <w:rPr>
                <w:rFonts w:ascii="Times New Roman" w:hAnsi="Times New Roman"/>
                <w:sz w:val="28"/>
                <w:szCs w:val="28"/>
                <w:lang w:eastAsia="uk-UA"/>
              </w:rPr>
              <w:t>Вид витрат</w:t>
            </w:r>
          </w:p>
        </w:tc>
        <w:tc>
          <w:tcPr>
            <w:tcW w:w="1020" w:type="pct"/>
            <w:gridSpan w:val="2"/>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За рік (стартовий)</w:t>
            </w:r>
          </w:p>
        </w:tc>
        <w:tc>
          <w:tcPr>
            <w:tcW w:w="1071" w:type="pct"/>
            <w:gridSpan w:val="2"/>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Періодичні</w:t>
            </w:r>
            <w:r>
              <w:rPr>
                <w:rFonts w:ascii="Times New Roman" w:hAnsi="Times New Roman"/>
                <w:sz w:val="28"/>
                <w:szCs w:val="28"/>
                <w:lang w:eastAsia="uk-UA"/>
              </w:rPr>
              <w:br/>
              <w:t>(за наступний рік)</w:t>
            </w:r>
          </w:p>
        </w:tc>
        <w:tc>
          <w:tcPr>
            <w:tcW w:w="969" w:type="pct"/>
            <w:gridSpan w:val="2"/>
            <w:tcBorders>
              <w:top w:val="single" w:sz="4" w:space="0" w:color="auto"/>
            </w:tcBorders>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 п’ять років</w:t>
            </w:r>
          </w:p>
        </w:tc>
      </w:tr>
      <w:tr w:rsidR="00EF187E">
        <w:tc>
          <w:tcPr>
            <w:tcW w:w="1941" w:type="pct"/>
            <w:gridSpan w:val="2"/>
            <w:hideMark/>
          </w:tcPr>
          <w:p w:rsidR="00EF187E" w:rsidRDefault="001E22A9">
            <w:pPr>
              <w:spacing w:before="150" w:after="150" w:line="240" w:lineRule="auto"/>
              <w:rPr>
                <w:rFonts w:ascii="Times New Roman" w:hAnsi="Times New Roman"/>
                <w:sz w:val="28"/>
                <w:szCs w:val="28"/>
                <w:lang w:eastAsia="uk-UA"/>
              </w:rPr>
            </w:pPr>
            <w:r>
              <w:rPr>
                <w:rFonts w:ascii="Times New Roman" w:hAnsi="Times New Roman"/>
                <w:sz w:val="28"/>
                <w:szCs w:val="28"/>
                <w:lang w:eastAsia="uk-UA"/>
              </w:rPr>
              <w:t>Витрати на оборотні активи (матеріали, канцелярські товари тощо)</w:t>
            </w:r>
          </w:p>
        </w:tc>
        <w:tc>
          <w:tcPr>
            <w:tcW w:w="1020" w:type="pct"/>
            <w:gridSpan w:val="2"/>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1071" w:type="pct"/>
            <w:gridSpan w:val="2"/>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969" w:type="pct"/>
            <w:gridSpan w:val="2"/>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bl>
    <w:p w:rsidR="00EF187E" w:rsidRDefault="00EF187E">
      <w:pPr>
        <w:spacing w:after="150" w:line="240" w:lineRule="auto"/>
        <w:rPr>
          <w:rFonts w:ascii="Times New Roman" w:hAnsi="Times New Roman"/>
          <w:vanish/>
          <w:sz w:val="24"/>
          <w:szCs w:val="24"/>
          <w:lang w:eastAsia="uk-UA"/>
        </w:rPr>
      </w:pPr>
      <w:bookmarkStart w:id="25" w:name="n188"/>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33"/>
        <w:gridCol w:w="3212"/>
        <w:gridCol w:w="2584"/>
      </w:tblGrid>
      <w:tr w:rsidR="00EF187E">
        <w:tc>
          <w:tcPr>
            <w:tcW w:w="1990"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Вид витрат</w:t>
            </w:r>
          </w:p>
        </w:tc>
        <w:tc>
          <w:tcPr>
            <w:tcW w:w="1668"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Витрати на оплату праці додатково найманого персоналу (за рік)</w:t>
            </w:r>
          </w:p>
        </w:tc>
        <w:tc>
          <w:tcPr>
            <w:tcW w:w="1342"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Витрати за</w:t>
            </w:r>
            <w:r>
              <w:rPr>
                <w:rFonts w:ascii="Times New Roman" w:hAnsi="Times New Roman"/>
                <w:sz w:val="28"/>
                <w:szCs w:val="28"/>
                <w:lang w:eastAsia="uk-UA"/>
              </w:rPr>
              <w:br/>
              <w:t>п’ять років</w:t>
            </w:r>
          </w:p>
        </w:tc>
      </w:tr>
      <w:tr w:rsidR="00EF187E">
        <w:tc>
          <w:tcPr>
            <w:tcW w:w="1990" w:type="pct"/>
            <w:hideMark/>
          </w:tcPr>
          <w:p w:rsidR="00EF187E" w:rsidRDefault="001E22A9">
            <w:pPr>
              <w:spacing w:after="0" w:line="240" w:lineRule="auto"/>
              <w:rPr>
                <w:rFonts w:ascii="Times New Roman" w:hAnsi="Times New Roman"/>
                <w:sz w:val="28"/>
                <w:szCs w:val="28"/>
                <w:lang w:eastAsia="uk-UA"/>
              </w:rPr>
            </w:pPr>
            <w:r>
              <w:rPr>
                <w:rFonts w:ascii="Times New Roman" w:hAnsi="Times New Roman"/>
                <w:sz w:val="28"/>
                <w:szCs w:val="28"/>
                <w:lang w:eastAsia="uk-UA"/>
              </w:rPr>
              <w:t>Витрати, пов’язані із наймом додаткового персоналу</w:t>
            </w:r>
          </w:p>
        </w:tc>
        <w:tc>
          <w:tcPr>
            <w:tcW w:w="1668"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c>
          <w:tcPr>
            <w:tcW w:w="1342" w:type="pct"/>
            <w:hideMark/>
          </w:tcPr>
          <w:p w:rsidR="00EF187E" w:rsidRDefault="001E22A9">
            <w:pPr>
              <w:spacing w:after="0" w:line="240" w:lineRule="auto"/>
              <w:jc w:val="center"/>
              <w:rPr>
                <w:rFonts w:ascii="Times New Roman" w:hAnsi="Times New Roman"/>
                <w:sz w:val="28"/>
                <w:szCs w:val="28"/>
                <w:lang w:eastAsia="uk-UA"/>
              </w:rPr>
            </w:pPr>
            <w:r>
              <w:rPr>
                <w:rFonts w:ascii="Times New Roman" w:hAnsi="Times New Roman"/>
                <w:sz w:val="28"/>
                <w:szCs w:val="28"/>
                <w:lang w:eastAsia="ru-RU" w:bidi="uk-UA"/>
              </w:rPr>
              <w:t>не передбачені</w:t>
            </w:r>
          </w:p>
        </w:tc>
      </w:tr>
    </w:tbl>
    <w:p w:rsidR="00EF187E" w:rsidRDefault="00EF187E">
      <w:pPr>
        <w:spacing w:line="240" w:lineRule="auto"/>
        <w:rPr>
          <w:rFonts w:ascii="Times New Roman" w:hAnsi="Times New Roman"/>
          <w:b/>
          <w:bCs/>
          <w:sz w:val="28"/>
          <w:szCs w:val="28"/>
          <w:lang w:eastAsia="uk-UA"/>
        </w:rPr>
      </w:pPr>
    </w:p>
    <w:p w:rsidR="00EF187E" w:rsidRDefault="001E22A9">
      <w:pPr>
        <w:spacing w:before="150" w:after="150" w:line="240" w:lineRule="auto"/>
        <w:jc w:val="center"/>
        <w:rPr>
          <w:rFonts w:ascii="Times New Roman" w:hAnsi="Times New Roman"/>
          <w:sz w:val="24"/>
          <w:szCs w:val="24"/>
          <w:lang w:eastAsia="uk-UA"/>
        </w:rPr>
      </w:pPr>
      <w:bookmarkStart w:id="26" w:name="n190"/>
      <w:bookmarkEnd w:id="26"/>
      <w:r>
        <w:rPr>
          <w:rFonts w:ascii="Times New Roman" w:hAnsi="Times New Roman"/>
          <w:b/>
          <w:bCs/>
          <w:sz w:val="28"/>
          <w:szCs w:val="28"/>
          <w:lang w:eastAsia="uk-UA"/>
        </w:rPr>
        <w:t>БЮДЖЕТНІ ВИТРАТИ</w:t>
      </w:r>
      <w:r>
        <w:rPr>
          <w:rFonts w:ascii="Times New Roman" w:hAnsi="Times New Roman"/>
          <w:sz w:val="24"/>
          <w:szCs w:val="24"/>
          <w:lang w:eastAsia="uk-UA"/>
        </w:rPr>
        <w:br/>
      </w:r>
      <w:r>
        <w:rPr>
          <w:rFonts w:ascii="Times New Roman" w:hAnsi="Times New Roman"/>
          <w:b/>
          <w:bCs/>
          <w:sz w:val="28"/>
          <w:szCs w:val="28"/>
          <w:lang w:eastAsia="uk-UA"/>
        </w:rPr>
        <w:t>на адміністрування регулювання для суб’єктів великого і середнього підприємництва</w:t>
      </w:r>
    </w:p>
    <w:p w:rsidR="00EF187E" w:rsidRDefault="001E22A9">
      <w:pPr>
        <w:spacing w:after="150" w:line="240" w:lineRule="auto"/>
        <w:ind w:firstLine="450"/>
        <w:jc w:val="both"/>
        <w:rPr>
          <w:rFonts w:ascii="Times New Roman" w:hAnsi="Times New Roman"/>
          <w:sz w:val="28"/>
          <w:szCs w:val="28"/>
          <w:lang w:eastAsia="uk-UA"/>
        </w:rPr>
      </w:pPr>
      <w:bookmarkStart w:id="27" w:name="n191"/>
      <w:bookmarkEnd w:id="27"/>
      <w:r>
        <w:rPr>
          <w:rFonts w:ascii="Times New Roman" w:hAnsi="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F187E" w:rsidRDefault="001E22A9">
      <w:pPr>
        <w:spacing w:after="150" w:line="240" w:lineRule="auto"/>
        <w:ind w:firstLine="450"/>
        <w:jc w:val="center"/>
        <w:rPr>
          <w:rFonts w:ascii="Times New Roman" w:hAnsi="Times New Roman"/>
          <w:sz w:val="28"/>
          <w:szCs w:val="28"/>
          <w:lang w:eastAsia="uk-UA"/>
        </w:rPr>
      </w:pPr>
      <w:bookmarkStart w:id="28" w:name="n192"/>
      <w:bookmarkEnd w:id="28"/>
      <w:r>
        <w:rPr>
          <w:rFonts w:ascii="Times New Roman" w:hAnsi="Times New Roman"/>
          <w:sz w:val="28"/>
          <w:szCs w:val="28"/>
          <w:lang w:eastAsia="uk-UA"/>
        </w:rPr>
        <w:t xml:space="preserve">Державна служба якості освіти України </w:t>
      </w:r>
      <w:bookmarkStart w:id="29" w:name="n193"/>
      <w:bookmarkEnd w:id="29"/>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2" w:type="dxa"/>
          <w:bottom w:w="12" w:type="dxa"/>
          <w:right w:w="12" w:type="dxa"/>
        </w:tblCellMar>
        <w:tblLook w:val="04A0" w:firstRow="1" w:lastRow="0" w:firstColumn="1" w:lastColumn="0" w:noHBand="0" w:noVBand="1"/>
      </w:tblPr>
      <w:tblGrid>
        <w:gridCol w:w="1943"/>
        <w:gridCol w:w="1134"/>
        <w:gridCol w:w="1537"/>
        <w:gridCol w:w="1310"/>
        <w:gridCol w:w="1842"/>
        <w:gridCol w:w="2013"/>
      </w:tblGrid>
      <w:tr w:rsidR="00EF187E">
        <w:trPr>
          <w:trHeight w:val="2733"/>
          <w:jc w:val="center"/>
        </w:trPr>
        <w:tc>
          <w:tcPr>
            <w:tcW w:w="993" w:type="pct"/>
            <w:hideMark/>
          </w:tcPr>
          <w:p w:rsidR="00EF187E" w:rsidRDefault="001E22A9">
            <w:pPr>
              <w:spacing w:after="0" w:line="240" w:lineRule="auto"/>
              <w:jc w:val="center"/>
              <w:rPr>
                <w:rFonts w:ascii="Times New Roman" w:hAnsi="Times New Roman"/>
                <w:sz w:val="24"/>
                <w:szCs w:val="24"/>
                <w:lang w:eastAsia="uk-UA"/>
              </w:rPr>
            </w:pPr>
            <w:bookmarkStart w:id="30" w:name="n194"/>
            <w:bookmarkEnd w:id="30"/>
            <w:r>
              <w:rPr>
                <w:rFonts w:ascii="Times New Roman" w:hAnsi="Times New Roman"/>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580" w:type="pct"/>
            <w:hideMark/>
          </w:tcPr>
          <w:p w:rsidR="00EF187E" w:rsidRDefault="001E22A9">
            <w:pPr>
              <w:spacing w:after="0" w:line="240" w:lineRule="auto"/>
              <w:ind w:right="-11"/>
              <w:jc w:val="center"/>
              <w:rPr>
                <w:rFonts w:ascii="Times New Roman" w:hAnsi="Times New Roman"/>
                <w:sz w:val="24"/>
                <w:szCs w:val="24"/>
                <w:lang w:eastAsia="uk-UA"/>
              </w:rPr>
            </w:pPr>
            <w:r>
              <w:rPr>
                <w:rFonts w:ascii="Times New Roman" w:hAnsi="Times New Roman"/>
                <w:sz w:val="24"/>
                <w:szCs w:val="24"/>
                <w:lang w:eastAsia="uk-UA"/>
              </w:rPr>
              <w:t>Планові витрати часу на процедуру</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Вартість часу співробітника органу державної влади відповідної категорії (заробітна плата)</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Оцінка кількості процедур за рік, що припадають на одного суб’єкта</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Оцінка кількості суб’єктів, що підпадають під дію процедури регулювання</w:t>
            </w:r>
          </w:p>
        </w:tc>
        <w:tc>
          <w:tcPr>
            <w:tcW w:w="1030" w:type="pct"/>
            <w:hideMark/>
          </w:tcPr>
          <w:p w:rsidR="00EF187E" w:rsidRDefault="001E22A9">
            <w:pPr>
              <w:tabs>
                <w:tab w:val="left" w:pos="747"/>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Витрати на адміністрування регулювання* (за рік), гривень</w:t>
            </w:r>
          </w:p>
        </w:tc>
      </w:tr>
      <w:tr w:rsidR="00EF187E">
        <w:trPr>
          <w:trHeight w:val="1231"/>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1. Облік суб’єкта господарювання, що перебуває у сфері регулювання</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0,5 год</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39,65грн</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1578</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62567,7 грн</w:t>
            </w:r>
          </w:p>
        </w:tc>
      </w:tr>
      <w:tr w:rsidR="00EF187E">
        <w:trPr>
          <w:trHeight w:val="1976"/>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2. Поточний контроль за суб’єктом господарювання, що перебуває у сфері регулювання, у тому числі:</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239"/>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камеральні</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248"/>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виїзні</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983"/>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3. Підготовка, затвердження та опрацювання одного окремого акта про порушення вимог регулювання</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1480"/>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lastRenderedPageBreak/>
              <w:t>4. Реалізація одного окремого рішення щодо порушення вимог регулювання</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1231"/>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5. Оскарження одного окремого рішення суб’єктами господарювання</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983"/>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6. Підготовка звітності за результатами регулювання</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r w:rsidR="00EF187E">
        <w:trPr>
          <w:trHeight w:val="545"/>
          <w:jc w:val="center"/>
        </w:trPr>
        <w:tc>
          <w:tcPr>
            <w:tcW w:w="993" w:type="pct"/>
            <w:hideMark/>
          </w:tcPr>
          <w:p w:rsidR="00EF187E" w:rsidRDefault="001E22A9">
            <w:pPr>
              <w:tabs>
                <w:tab w:val="left" w:pos="851"/>
              </w:tabs>
              <w:spacing w:after="0" w:line="240" w:lineRule="auto"/>
              <w:rPr>
                <w:rFonts w:ascii="Times New Roman" w:hAnsi="Times New Roman"/>
                <w:sz w:val="24"/>
                <w:szCs w:val="24"/>
                <w:lang w:eastAsia="uk-UA"/>
              </w:rPr>
            </w:pPr>
            <w:r>
              <w:rPr>
                <w:rFonts w:ascii="Times New Roman" w:hAnsi="Times New Roman"/>
                <w:sz w:val="24"/>
                <w:szCs w:val="24"/>
                <w:lang w:eastAsia="uk-UA"/>
              </w:rPr>
              <w:t>7. Інші адміністративні процедури (уточнити):</w:t>
            </w:r>
            <w:r>
              <w:rPr>
                <w:rFonts w:ascii="Times New Roman" w:hAnsi="Times New Roman"/>
                <w:sz w:val="24"/>
                <w:szCs w:val="24"/>
                <w:lang w:eastAsia="uk-UA"/>
              </w:rPr>
              <w:br/>
            </w:r>
            <w:r>
              <w:rPr>
                <w:rFonts w:ascii="Times New Roman" w:hAnsi="Times New Roman"/>
                <w:sz w:val="24"/>
                <w:szCs w:val="24"/>
                <w:lang w:eastAsia="ru-RU"/>
              </w:rPr>
              <w:t xml:space="preserve">витрати на перевірку фактів порушень закладом освіти, який має сертифікат про успішну акредитації, вимог законодавства, виявлених територіальними органами Державної служби якості освіти України </w:t>
            </w:r>
            <w:r>
              <w:rPr>
                <w:rFonts w:ascii="Times New Roman" w:hAnsi="Times New Roman"/>
                <w:sz w:val="24"/>
                <w:szCs w:val="24"/>
              </w:rPr>
              <w:t>під час інституційного аудиту в позаплановому порядку або позапланової перевірки закладу освіти</w:t>
            </w:r>
          </w:p>
        </w:tc>
        <w:tc>
          <w:tcPr>
            <w:tcW w:w="58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ru-RU"/>
              </w:rPr>
              <w:t>3 год</w:t>
            </w:r>
          </w:p>
        </w:tc>
        <w:tc>
          <w:tcPr>
            <w:tcW w:w="786"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ru-RU"/>
              </w:rPr>
              <w:t>237,9 грн</w:t>
            </w:r>
          </w:p>
        </w:tc>
        <w:tc>
          <w:tcPr>
            <w:tcW w:w="67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ru-RU"/>
              </w:rPr>
              <w:t>1</w:t>
            </w:r>
          </w:p>
        </w:tc>
        <w:tc>
          <w:tcPr>
            <w:tcW w:w="942"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rPr>
              <w:t>10482</w:t>
            </w:r>
          </w:p>
        </w:tc>
        <w:tc>
          <w:tcPr>
            <w:tcW w:w="103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375406,2 грн</w:t>
            </w:r>
          </w:p>
        </w:tc>
      </w:tr>
      <w:tr w:rsidR="00EF187E">
        <w:trPr>
          <w:trHeight w:val="248"/>
          <w:jc w:val="center"/>
        </w:trPr>
        <w:tc>
          <w:tcPr>
            <w:tcW w:w="993" w:type="pct"/>
          </w:tcPr>
          <w:p w:rsidR="00EF187E" w:rsidRDefault="001E22A9">
            <w:pPr>
              <w:tabs>
                <w:tab w:val="left" w:pos="851"/>
              </w:tabs>
              <w:spacing w:after="0" w:line="240" w:lineRule="auto"/>
              <w:rPr>
                <w:rFonts w:ascii="Times New Roman" w:hAnsi="Times New Roman"/>
                <w:sz w:val="24"/>
                <w:szCs w:val="24"/>
                <w:lang w:eastAsia="uk-UA"/>
              </w:rPr>
            </w:pPr>
            <w:r>
              <w:rPr>
                <w:rFonts w:ascii="Times New Roman" w:hAnsi="Times New Roman"/>
                <w:sz w:val="24"/>
                <w:szCs w:val="24"/>
              </w:rPr>
              <w:t xml:space="preserve">ознайомлення суб’єкта господарювання з вимогами регулювання, надання усних консультацій та письмових роз’яснень суб’єктам господарювання, </w:t>
            </w:r>
            <w:r>
              <w:rPr>
                <w:rFonts w:ascii="Times New Roman" w:hAnsi="Times New Roman"/>
                <w:sz w:val="24"/>
                <w:szCs w:val="24"/>
                <w:lang w:eastAsia="ru-RU"/>
              </w:rPr>
              <w:t xml:space="preserve">фактичні витрати часу персоналу на </w:t>
            </w:r>
            <w:r>
              <w:rPr>
                <w:rFonts w:ascii="Times New Roman" w:hAnsi="Times New Roman"/>
                <w:sz w:val="24"/>
                <w:szCs w:val="24"/>
                <w:lang w:eastAsia="ru-RU"/>
              </w:rPr>
              <w:lastRenderedPageBreak/>
              <w:t xml:space="preserve">заробітну плату на 1 суб’єкта </w:t>
            </w:r>
            <w:r>
              <w:rPr>
                <w:rFonts w:ascii="Times New Roman" w:hAnsi="Times New Roman"/>
                <w:sz w:val="24"/>
                <w:szCs w:val="24"/>
              </w:rPr>
              <w:t xml:space="preserve">господарювання </w:t>
            </w:r>
          </w:p>
        </w:tc>
        <w:tc>
          <w:tcPr>
            <w:tcW w:w="580" w:type="pct"/>
          </w:tcPr>
          <w:p w:rsidR="00EF187E" w:rsidRDefault="001E2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20 хв</w:t>
            </w:r>
          </w:p>
        </w:tc>
        <w:tc>
          <w:tcPr>
            <w:tcW w:w="786" w:type="pct"/>
          </w:tcPr>
          <w:p w:rsidR="00EF187E" w:rsidRDefault="001E2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 грн</w:t>
            </w:r>
          </w:p>
        </w:tc>
        <w:tc>
          <w:tcPr>
            <w:tcW w:w="670" w:type="pct"/>
          </w:tcPr>
          <w:p w:rsidR="00EF187E" w:rsidRDefault="001E2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42" w:type="pct"/>
          </w:tcPr>
          <w:p w:rsidR="00EF187E" w:rsidRDefault="001E22A9">
            <w:pPr>
              <w:spacing w:after="0" w:line="240" w:lineRule="auto"/>
              <w:jc w:val="center"/>
              <w:rPr>
                <w:rFonts w:ascii="Times New Roman" w:hAnsi="Times New Roman"/>
                <w:sz w:val="24"/>
                <w:szCs w:val="24"/>
              </w:rPr>
            </w:pPr>
            <w:r>
              <w:rPr>
                <w:rFonts w:ascii="Times New Roman" w:hAnsi="Times New Roman"/>
                <w:sz w:val="24"/>
                <w:szCs w:val="24"/>
              </w:rPr>
              <w:t>1578</w:t>
            </w:r>
          </w:p>
        </w:tc>
        <w:tc>
          <w:tcPr>
            <w:tcW w:w="103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ru-RU"/>
              </w:rPr>
              <w:t>41659,2 грн</w:t>
            </w:r>
          </w:p>
        </w:tc>
      </w:tr>
      <w:tr w:rsidR="00EF187E">
        <w:trPr>
          <w:trHeight w:val="496"/>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lastRenderedPageBreak/>
              <w:t>Разом за рік</w:t>
            </w:r>
          </w:p>
        </w:tc>
        <w:tc>
          <w:tcPr>
            <w:tcW w:w="58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3 год</w:t>
            </w:r>
            <w:r>
              <w:rPr>
                <w:rFonts w:ascii="Times New Roman" w:hAnsi="Times New Roman"/>
                <w:sz w:val="24"/>
                <w:szCs w:val="24"/>
                <w:lang w:eastAsia="uk-UA"/>
              </w:rPr>
              <w:br/>
              <w:t>50 хв</w:t>
            </w:r>
          </w:p>
        </w:tc>
        <w:tc>
          <w:tcPr>
            <w:tcW w:w="786"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277,55 грн</w:t>
            </w:r>
          </w:p>
        </w:tc>
        <w:tc>
          <w:tcPr>
            <w:tcW w:w="67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w:t>
            </w:r>
          </w:p>
        </w:tc>
        <w:tc>
          <w:tcPr>
            <w:tcW w:w="942"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1578</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437973,9 грн</w:t>
            </w:r>
          </w:p>
        </w:tc>
      </w:tr>
      <w:tr w:rsidR="00EF187E">
        <w:trPr>
          <w:trHeight w:val="487"/>
          <w:jc w:val="center"/>
        </w:trPr>
        <w:tc>
          <w:tcPr>
            <w:tcW w:w="993" w:type="pct"/>
            <w:hideMark/>
          </w:tcPr>
          <w:p w:rsidR="00EF187E" w:rsidRDefault="001E22A9">
            <w:pPr>
              <w:spacing w:after="0" w:line="240" w:lineRule="auto"/>
              <w:rPr>
                <w:rFonts w:ascii="Times New Roman" w:hAnsi="Times New Roman"/>
                <w:sz w:val="24"/>
                <w:szCs w:val="24"/>
                <w:lang w:eastAsia="uk-UA"/>
              </w:rPr>
            </w:pPr>
            <w:r>
              <w:rPr>
                <w:rFonts w:ascii="Times New Roman" w:hAnsi="Times New Roman"/>
                <w:sz w:val="24"/>
                <w:szCs w:val="24"/>
                <w:lang w:eastAsia="uk-UA"/>
              </w:rPr>
              <w:t>Сумарно за п’ять років</w:t>
            </w:r>
          </w:p>
        </w:tc>
        <w:tc>
          <w:tcPr>
            <w:tcW w:w="58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86"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70"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942" w:type="pct"/>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1030" w:type="pct"/>
            <w:hideMark/>
          </w:tcPr>
          <w:p w:rsidR="00EF187E" w:rsidRDefault="001E22A9">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r>
    </w:tbl>
    <w:p w:rsidR="00EF187E" w:rsidRDefault="001E22A9">
      <w:pPr>
        <w:spacing w:after="150" w:line="240" w:lineRule="auto"/>
        <w:jc w:val="both"/>
        <w:rPr>
          <w:rFonts w:ascii="Times New Roman" w:hAnsi="Times New Roman"/>
          <w:sz w:val="20"/>
          <w:szCs w:val="20"/>
          <w:lang w:eastAsia="uk-UA"/>
        </w:rPr>
      </w:pPr>
      <w:bookmarkStart w:id="31" w:name="n195"/>
      <w:bookmarkEnd w:id="31"/>
      <w:r>
        <w:rPr>
          <w:rFonts w:ascii="Times New Roman" w:hAnsi="Times New Roman"/>
          <w:sz w:val="28"/>
          <w:szCs w:val="28"/>
          <w:lang w:eastAsia="uk-UA"/>
        </w:rPr>
        <w:t>_________</w:t>
      </w:r>
      <w:r>
        <w:rPr>
          <w:rFonts w:ascii="Times New Roman" w:hAnsi="Times New Roman"/>
          <w:sz w:val="28"/>
          <w:szCs w:val="28"/>
          <w:lang w:eastAsia="uk-UA"/>
        </w:rPr>
        <w:br/>
        <w:t xml:space="preserve">* </w:t>
      </w:r>
      <w:r>
        <w:rPr>
          <w:rFonts w:ascii="Times New Roman" w:hAnsi="Times New Roman"/>
          <w:sz w:val="20"/>
          <w:szCs w:val="20"/>
          <w:lang w:eastAsia="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F187E" w:rsidRDefault="001E22A9">
      <w:pPr>
        <w:spacing w:after="150" w:line="240" w:lineRule="auto"/>
        <w:ind w:firstLine="450"/>
        <w:jc w:val="both"/>
        <w:rPr>
          <w:rFonts w:ascii="Times New Roman" w:hAnsi="Times New Roman"/>
          <w:sz w:val="20"/>
          <w:szCs w:val="20"/>
          <w:lang w:eastAsia="uk-UA"/>
        </w:rPr>
      </w:pPr>
      <w:bookmarkStart w:id="32" w:name="n196"/>
      <w:bookmarkEnd w:id="32"/>
      <w:r>
        <w:rPr>
          <w:rFonts w:ascii="Times New Roman" w:hAnsi="Times New Roman"/>
          <w:sz w:val="20"/>
          <w:szCs w:val="20"/>
          <w:lang w:eastAsia="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487"/>
        <w:gridCol w:w="2278"/>
        <w:gridCol w:w="2432"/>
        <w:gridCol w:w="2432"/>
      </w:tblGrid>
      <w:tr w:rsidR="00EF187E">
        <w:tc>
          <w:tcPr>
            <w:tcW w:w="2451" w:type="dxa"/>
            <w:hideMark/>
          </w:tcPr>
          <w:p w:rsidR="00EF187E" w:rsidRDefault="001E22A9">
            <w:pPr>
              <w:spacing w:before="150" w:after="150" w:line="240" w:lineRule="auto"/>
              <w:jc w:val="center"/>
              <w:rPr>
                <w:rFonts w:ascii="Times New Roman" w:hAnsi="Times New Roman"/>
                <w:sz w:val="28"/>
                <w:szCs w:val="28"/>
                <w:lang w:eastAsia="uk-UA"/>
              </w:rPr>
            </w:pPr>
            <w:bookmarkStart w:id="33" w:name="n197"/>
            <w:bookmarkEnd w:id="33"/>
            <w:r>
              <w:rPr>
                <w:rFonts w:ascii="Times New Roman" w:hAnsi="Times New Roman"/>
                <w:sz w:val="28"/>
                <w:szCs w:val="28"/>
                <w:lang w:eastAsia="uk-UA"/>
              </w:rPr>
              <w:t>Порядковий номер</w:t>
            </w:r>
          </w:p>
        </w:tc>
        <w:tc>
          <w:tcPr>
            <w:tcW w:w="2245"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Назва державного органу</w:t>
            </w:r>
          </w:p>
        </w:tc>
        <w:tc>
          <w:tcPr>
            <w:tcW w:w="2396"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Витрати на адміністрування регулювання за рік, гривень</w:t>
            </w:r>
          </w:p>
        </w:tc>
        <w:tc>
          <w:tcPr>
            <w:tcW w:w="2396"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Сумарні витрати на адміністрування регулювання за</w:t>
            </w:r>
            <w:r>
              <w:rPr>
                <w:rFonts w:ascii="Times New Roman" w:hAnsi="Times New Roman"/>
                <w:sz w:val="28"/>
                <w:szCs w:val="28"/>
                <w:lang w:eastAsia="uk-UA"/>
              </w:rPr>
              <w:br/>
              <w:t>п’ять років, гривень</w:t>
            </w:r>
          </w:p>
        </w:tc>
      </w:tr>
      <w:tr w:rsidR="00EF187E">
        <w:tc>
          <w:tcPr>
            <w:tcW w:w="2451"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bCs/>
                <w:sz w:val="28"/>
                <w:szCs w:val="28"/>
                <w:lang w:eastAsia="uk-UA"/>
              </w:rPr>
              <w:t>Бюджетні витрати</w:t>
            </w:r>
            <w:r>
              <w:rPr>
                <w:rFonts w:ascii="Times New Roman" w:hAnsi="Times New Roman"/>
                <w:sz w:val="24"/>
                <w:szCs w:val="24"/>
                <w:lang w:eastAsia="uk-UA"/>
              </w:rPr>
              <w:br/>
            </w:r>
            <w:r>
              <w:rPr>
                <w:rFonts w:ascii="Times New Roman" w:hAnsi="Times New Roman"/>
                <w:bCs/>
                <w:sz w:val="28"/>
                <w:szCs w:val="28"/>
                <w:lang w:eastAsia="uk-UA"/>
              </w:rPr>
              <w:t>на адміністрування регулювання для суб’єктів великого і середнього підприємництва</w:t>
            </w:r>
          </w:p>
        </w:tc>
        <w:tc>
          <w:tcPr>
            <w:tcW w:w="2245"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Державна служба якості освіти України</w:t>
            </w:r>
          </w:p>
        </w:tc>
        <w:tc>
          <w:tcPr>
            <w:tcW w:w="2396"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437973,9 грн</w:t>
            </w:r>
          </w:p>
        </w:tc>
        <w:tc>
          <w:tcPr>
            <w:tcW w:w="2396"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w:t>
            </w:r>
          </w:p>
        </w:tc>
      </w:tr>
      <w:tr w:rsidR="00EF187E">
        <w:tc>
          <w:tcPr>
            <w:tcW w:w="2451" w:type="dxa"/>
            <w:hideMark/>
          </w:tcPr>
          <w:p w:rsidR="00EF187E" w:rsidRDefault="001E22A9">
            <w:pPr>
              <w:spacing w:before="150" w:after="150" w:line="240" w:lineRule="auto"/>
              <w:rPr>
                <w:rFonts w:ascii="Times New Roman" w:hAnsi="Times New Roman"/>
                <w:sz w:val="28"/>
                <w:szCs w:val="28"/>
                <w:lang w:eastAsia="uk-UA"/>
              </w:rPr>
            </w:pPr>
            <w:r>
              <w:rPr>
                <w:rFonts w:ascii="Times New Roman" w:hAnsi="Times New Roman"/>
                <w:sz w:val="28"/>
                <w:szCs w:val="28"/>
                <w:lang w:eastAsia="uk-UA"/>
              </w:rPr>
              <w:t>Сумарно бюджетні витрати на адміністрування регулювання суб’єктів великого і середнього підприємництва</w:t>
            </w:r>
          </w:p>
        </w:tc>
        <w:tc>
          <w:tcPr>
            <w:tcW w:w="2245"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Державна служба якості освіти України</w:t>
            </w:r>
          </w:p>
        </w:tc>
        <w:tc>
          <w:tcPr>
            <w:tcW w:w="2396" w:type="dxa"/>
            <w:hideMark/>
          </w:tcPr>
          <w:p w:rsidR="00EF187E" w:rsidRDefault="001E22A9">
            <w:pPr>
              <w:spacing w:before="150" w:after="150" w:line="240" w:lineRule="auto"/>
              <w:jc w:val="center"/>
              <w:rPr>
                <w:rFonts w:ascii="Times New Roman" w:hAnsi="Times New Roman"/>
                <w:sz w:val="28"/>
                <w:szCs w:val="28"/>
                <w:lang w:eastAsia="uk-UA"/>
              </w:rPr>
            </w:pPr>
            <w:r>
              <w:rPr>
                <w:rFonts w:ascii="Times New Roman" w:hAnsi="Times New Roman"/>
                <w:sz w:val="28"/>
                <w:szCs w:val="28"/>
                <w:lang w:eastAsia="uk-UA"/>
              </w:rPr>
              <w:t>43793,9 грн</w:t>
            </w:r>
          </w:p>
        </w:tc>
        <w:tc>
          <w:tcPr>
            <w:tcW w:w="2396" w:type="dxa"/>
            <w:hideMark/>
          </w:tcPr>
          <w:p w:rsidR="00EF187E" w:rsidRDefault="00EF187E">
            <w:pPr>
              <w:spacing w:before="150" w:after="150" w:line="240" w:lineRule="auto"/>
              <w:jc w:val="center"/>
              <w:rPr>
                <w:rFonts w:ascii="Times New Roman" w:hAnsi="Times New Roman"/>
                <w:sz w:val="28"/>
                <w:szCs w:val="28"/>
                <w:lang w:eastAsia="uk-UA"/>
              </w:rPr>
            </w:pPr>
          </w:p>
        </w:tc>
      </w:tr>
    </w:tbl>
    <w:p w:rsidR="00EF187E" w:rsidRDefault="00EF187E">
      <w:pPr>
        <w:spacing w:line="240" w:lineRule="auto"/>
        <w:rPr>
          <w:rFonts w:ascii="Times New Roman" w:hAnsi="Times New Roman"/>
          <w:b/>
          <w:bCs/>
          <w:sz w:val="28"/>
          <w:szCs w:val="28"/>
          <w:lang w:eastAsia="uk-UA"/>
        </w:rPr>
      </w:pPr>
    </w:p>
    <w:p w:rsidR="00EF187E" w:rsidRDefault="001E22A9">
      <w:pPr>
        <w:spacing w:line="240" w:lineRule="auto"/>
        <w:rPr>
          <w:rFonts w:ascii="Times New Roman" w:hAnsi="Times New Roman"/>
          <w:b/>
          <w:bCs/>
          <w:sz w:val="28"/>
          <w:szCs w:val="28"/>
          <w:lang w:eastAsia="uk-UA"/>
        </w:rPr>
      </w:pPr>
      <w:r>
        <w:rPr>
          <w:rFonts w:ascii="Times New Roman" w:hAnsi="Times New Roman"/>
          <w:b/>
          <w:bCs/>
          <w:sz w:val="28"/>
          <w:szCs w:val="28"/>
          <w:lang w:eastAsia="uk-UA"/>
        </w:rPr>
        <w:br w:type="page"/>
      </w:r>
    </w:p>
    <w:p w:rsidR="00EF187E" w:rsidRDefault="00EF187E">
      <w:pPr>
        <w:keepNext/>
        <w:tabs>
          <w:tab w:val="left" w:pos="851"/>
        </w:tabs>
        <w:spacing w:after="0" w:line="240" w:lineRule="auto"/>
        <w:jc w:val="center"/>
        <w:outlineLvl w:val="2"/>
        <w:rPr>
          <w:rFonts w:ascii="Times New Roman" w:hAnsi="Times New Roman"/>
          <w:b/>
          <w:bCs/>
          <w:sz w:val="28"/>
          <w:szCs w:val="28"/>
          <w:lang w:eastAsia="uk-UA"/>
        </w:rPr>
      </w:pPr>
    </w:p>
    <w:p w:rsidR="00EF187E" w:rsidRDefault="001E22A9">
      <w:pPr>
        <w:keepNext/>
        <w:tabs>
          <w:tab w:val="left" w:pos="851"/>
        </w:tabs>
        <w:spacing w:after="0" w:line="240" w:lineRule="auto"/>
        <w:jc w:val="center"/>
        <w:outlineLvl w:val="2"/>
        <w:rPr>
          <w:rFonts w:ascii="Times New Roman" w:hAnsi="Times New Roman"/>
          <w:b/>
          <w:bCs/>
          <w:sz w:val="28"/>
          <w:szCs w:val="28"/>
          <w:lang w:eastAsia="uk-UA"/>
        </w:rPr>
      </w:pPr>
      <w:r>
        <w:rPr>
          <w:rFonts w:ascii="Times New Roman" w:hAnsi="Times New Roman"/>
          <w:b/>
          <w:bCs/>
          <w:sz w:val="28"/>
          <w:szCs w:val="28"/>
          <w:lang w:eastAsia="uk-UA"/>
        </w:rPr>
        <w:t>ТЕСТ</w:t>
      </w:r>
      <w:r>
        <w:rPr>
          <w:rFonts w:ascii="Times New Roman" w:hAnsi="Times New Roman"/>
          <w:b/>
          <w:bCs/>
          <w:sz w:val="28"/>
          <w:szCs w:val="28"/>
          <w:lang w:eastAsia="uk-UA"/>
        </w:rPr>
        <w:br/>
        <w:t>малого підприємництва (М-Тест)</w:t>
      </w:r>
    </w:p>
    <w:p w:rsidR="00EF187E" w:rsidRDefault="00EF187E">
      <w:pPr>
        <w:keepNext/>
        <w:tabs>
          <w:tab w:val="left" w:pos="851"/>
        </w:tabs>
        <w:spacing w:after="0" w:line="240" w:lineRule="auto"/>
        <w:jc w:val="center"/>
        <w:outlineLvl w:val="2"/>
        <w:rPr>
          <w:rFonts w:ascii="Times New Roman" w:hAnsi="Times New Roman"/>
          <w:b/>
          <w:bCs/>
          <w:sz w:val="28"/>
          <w:szCs w:val="28"/>
          <w:lang w:eastAsia="uk-UA"/>
        </w:rPr>
      </w:pP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Консультації з представниками мікро- та малого підприємництва щодо оцінки впливу регулювання.</w:t>
      </w: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червня 2022 року по жовтень 2022 року.</w:t>
      </w:r>
    </w:p>
    <w:p w:rsidR="00EF187E" w:rsidRDefault="00EF187E">
      <w:pPr>
        <w:tabs>
          <w:tab w:val="left" w:pos="851"/>
        </w:tabs>
        <w:spacing w:after="0" w:line="240" w:lineRule="auto"/>
        <w:ind w:firstLine="709"/>
        <w:jc w:val="both"/>
        <w:rPr>
          <w:rFonts w:ascii="Times New Roman" w:hAnsi="Times New Roman"/>
          <w:sz w:val="28"/>
          <w:szCs w:val="28"/>
          <w:lang w:eastAsia="ru-RU"/>
        </w:rPr>
      </w:pPr>
    </w:p>
    <w:tbl>
      <w:tblPr>
        <w:tblStyle w:val="afa"/>
        <w:tblW w:w="0" w:type="auto"/>
        <w:tblLook w:val="04A0" w:firstRow="1" w:lastRow="0" w:firstColumn="1" w:lastColumn="0" w:noHBand="0" w:noVBand="1"/>
      </w:tblPr>
      <w:tblGrid>
        <w:gridCol w:w="704"/>
        <w:gridCol w:w="4040"/>
        <w:gridCol w:w="2372"/>
        <w:gridCol w:w="2372"/>
      </w:tblGrid>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w:t>
            </w:r>
          </w:p>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з/п</w:t>
            </w:r>
          </w:p>
        </w:tc>
        <w:tc>
          <w:tcPr>
            <w:tcW w:w="4040"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Кількість учасників консультацій, осіб</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Основні результати консультацій (опис)</w:t>
            </w:r>
          </w:p>
        </w:tc>
      </w:tr>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4040"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uk-UA" w:bidi="uk-UA"/>
              </w:rPr>
              <w:t xml:space="preserve">Проведено обговорення  підходів до процедури здійснення громадської акредитації закладів загальної середньої освіти з представниками територіальних органів Державної служби якості освіти України  </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87</w:t>
            </w:r>
          </w:p>
        </w:tc>
        <w:tc>
          <w:tcPr>
            <w:tcW w:w="2372"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За результатами обговорення всі пропозиції та зауваження щодо проєкту було проаналізовано, узагальнено та частково враховано</w:t>
            </w:r>
          </w:p>
        </w:tc>
      </w:tr>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4040"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uk-UA" w:bidi="uk-UA"/>
              </w:rPr>
              <w:t>Проєкт акта обговорено на засідання робочої групи з підготовки пропозицій до здійснення процедури громадської акредитації закладів загальної середньої освіти за участі представників громадськості, МОН та державної служби якості освіти України</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2372"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Обговорено та  враховано всі пропозиції та зауваження до проєкту акта</w:t>
            </w:r>
          </w:p>
        </w:tc>
      </w:tr>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4040"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uk-UA" w:bidi="uk-UA"/>
              </w:rPr>
              <w:t>Проєкт акта обговорено з представниками громадських  фахових об’єднань, інших юридичних осіб</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32</w:t>
            </w:r>
          </w:p>
        </w:tc>
        <w:tc>
          <w:tcPr>
            <w:tcW w:w="2372"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Обговорено основні  аспекти та механізм  процедури здійснення громадської акредитації закладів загальної </w:t>
            </w:r>
            <w:r>
              <w:rPr>
                <w:rFonts w:ascii="Times New Roman" w:hAnsi="Times New Roman"/>
                <w:sz w:val="28"/>
                <w:szCs w:val="28"/>
                <w:lang w:eastAsia="ru-RU"/>
              </w:rPr>
              <w:lastRenderedPageBreak/>
              <w:t>середньої освіти. За результатами обговорень пропозиції громадськості узагальнено та частково враховано в проєкті акта</w:t>
            </w:r>
          </w:p>
        </w:tc>
      </w:tr>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4</w:t>
            </w:r>
          </w:p>
        </w:tc>
        <w:tc>
          <w:tcPr>
            <w:tcW w:w="4040"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uk-UA" w:bidi="uk-UA"/>
              </w:rPr>
              <w:t>Обговорено з працівниками територіальних органів Державної служби якості освіти</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90</w:t>
            </w:r>
          </w:p>
        </w:tc>
        <w:tc>
          <w:tcPr>
            <w:tcW w:w="2372"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За результатами обговорення всі пропозиції та зауваження щодо проєкту було проаналізовано, частково враховано</w:t>
            </w:r>
          </w:p>
        </w:tc>
      </w:tr>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4040"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uk-UA" w:bidi="uk-UA"/>
              </w:rPr>
              <w:t xml:space="preserve">Обговорення з керівниками закладів освіти, педагогічними працівниками </w:t>
            </w:r>
          </w:p>
        </w:tc>
        <w:tc>
          <w:tcPr>
            <w:tcW w:w="2372"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12</w:t>
            </w:r>
          </w:p>
        </w:tc>
        <w:tc>
          <w:tcPr>
            <w:tcW w:w="2372"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За результатами обговорення всі пропозиції та зауваження щодо проєкту було проаналізовано, частково враховано</w:t>
            </w:r>
          </w:p>
        </w:tc>
      </w:tr>
      <w:tr w:rsidR="00EF187E">
        <w:tc>
          <w:tcPr>
            <w:tcW w:w="704" w:type="dxa"/>
          </w:tcPr>
          <w:p w:rsidR="00EF187E" w:rsidRDefault="001E22A9">
            <w:pPr>
              <w:tabs>
                <w:tab w:val="left" w:pos="851"/>
              </w:tabs>
              <w:spacing w:line="240" w:lineRule="auto"/>
              <w:jc w:val="both"/>
              <w:rPr>
                <w:rFonts w:ascii="Times New Roman" w:hAnsi="Times New Roman"/>
                <w:sz w:val="28"/>
                <w:szCs w:val="28"/>
                <w:lang w:eastAsia="ru-RU"/>
              </w:rPr>
            </w:pPr>
            <w:r>
              <w:rPr>
                <w:rFonts w:ascii="Times New Roman" w:hAnsi="Times New Roman"/>
                <w:sz w:val="28"/>
                <w:szCs w:val="28"/>
                <w:lang w:eastAsia="ru-RU"/>
              </w:rPr>
              <w:t>6</w:t>
            </w:r>
          </w:p>
        </w:tc>
        <w:tc>
          <w:tcPr>
            <w:tcW w:w="4040" w:type="dxa"/>
          </w:tcPr>
          <w:p w:rsidR="00EF187E" w:rsidRDefault="001E22A9">
            <w:pPr>
              <w:spacing w:line="240" w:lineRule="auto"/>
              <w:jc w:val="both"/>
              <w:rPr>
                <w:rFonts w:ascii="Times New Roman" w:hAnsi="Times New Roman"/>
                <w:sz w:val="28"/>
                <w:szCs w:val="28"/>
                <w:lang w:eastAsia="ru-RU"/>
              </w:rPr>
            </w:pPr>
            <w:r>
              <w:rPr>
                <w:rFonts w:ascii="Times New Roman" w:hAnsi="Times New Roman"/>
                <w:sz w:val="28"/>
                <w:szCs w:val="28"/>
                <w:lang w:eastAsia="uk-UA" w:bidi="uk-UA"/>
              </w:rPr>
              <w:t>Проєкт регуляторного акту оприлюднено на  ромадське обговорення.  Проєкт розміщено на сайті</w:t>
            </w:r>
            <w:r>
              <w:rPr>
                <w:rFonts w:ascii="Times New Roman" w:hAnsi="Times New Roman"/>
                <w:sz w:val="28"/>
                <w:szCs w:val="28"/>
              </w:rPr>
              <w:t xml:space="preserve"> Міністерства освіти та науки України (mon.gov.ua) Державної служби якості освіти (sqe.gov.ua)</w:t>
            </w:r>
          </w:p>
        </w:tc>
        <w:tc>
          <w:tcPr>
            <w:tcW w:w="2372" w:type="dxa"/>
          </w:tcPr>
          <w:p w:rsidR="00EF187E" w:rsidRDefault="00EF187E">
            <w:pPr>
              <w:tabs>
                <w:tab w:val="left" w:pos="851"/>
              </w:tabs>
              <w:spacing w:line="240" w:lineRule="auto"/>
              <w:jc w:val="center"/>
              <w:rPr>
                <w:rFonts w:ascii="Times New Roman" w:hAnsi="Times New Roman"/>
                <w:sz w:val="28"/>
                <w:szCs w:val="28"/>
                <w:lang w:eastAsia="ru-RU"/>
              </w:rPr>
            </w:pPr>
          </w:p>
        </w:tc>
        <w:tc>
          <w:tcPr>
            <w:tcW w:w="2372" w:type="dxa"/>
          </w:tcPr>
          <w:p w:rsidR="00EF187E" w:rsidRDefault="00EF187E">
            <w:pPr>
              <w:tabs>
                <w:tab w:val="left" w:pos="851"/>
              </w:tabs>
              <w:spacing w:line="240" w:lineRule="auto"/>
              <w:jc w:val="both"/>
              <w:rPr>
                <w:rFonts w:ascii="Times New Roman" w:hAnsi="Times New Roman"/>
                <w:sz w:val="28"/>
                <w:szCs w:val="28"/>
                <w:lang w:eastAsia="ru-RU"/>
              </w:rPr>
            </w:pPr>
          </w:p>
        </w:tc>
      </w:tr>
    </w:tbl>
    <w:p w:rsidR="00EF187E" w:rsidRDefault="00EF187E">
      <w:pPr>
        <w:tabs>
          <w:tab w:val="left" w:pos="851"/>
        </w:tabs>
        <w:spacing w:after="0" w:line="240" w:lineRule="auto"/>
        <w:ind w:firstLine="709"/>
        <w:jc w:val="both"/>
        <w:rPr>
          <w:rFonts w:ascii="Times New Roman" w:hAnsi="Times New Roman"/>
          <w:sz w:val="28"/>
          <w:szCs w:val="28"/>
          <w:lang w:eastAsia="ru-RU"/>
        </w:rPr>
      </w:pP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Вимірювання впливу регулювання на суб’єктів малого підприємництва (мікро- та малі):</w:t>
      </w: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максимальна кількість суб’єктів господарювання, на яких поширюється регулювання </w:t>
      </w:r>
      <w:r>
        <w:rPr>
          <w:rStyle w:val="rvts0"/>
          <w:rFonts w:ascii="Times New Roman" w:hAnsi="Times New Roman"/>
          <w:sz w:val="28"/>
          <w:szCs w:val="28"/>
        </w:rPr>
        <w:t>13556</w:t>
      </w:r>
      <w:r>
        <w:rPr>
          <w:rFonts w:ascii="Times New Roman" w:hAnsi="Times New Roman"/>
          <w:sz w:val="28"/>
          <w:szCs w:val="28"/>
          <w:lang w:eastAsia="ru-RU"/>
        </w:rPr>
        <w:t xml:space="preserve"> (одиниць), у тому числі малого підприємництва 1</w:t>
      </w:r>
      <w:r>
        <w:rPr>
          <w:rFonts w:ascii="Times New Roman" w:hAnsi="Times New Roman"/>
          <w:sz w:val="28"/>
          <w:szCs w:val="28"/>
          <w:lang w:eastAsia="uk-UA"/>
        </w:rPr>
        <w:t xml:space="preserve">0482 </w:t>
      </w:r>
      <w:r>
        <w:rPr>
          <w:rFonts w:ascii="Times New Roman" w:hAnsi="Times New Roman"/>
          <w:sz w:val="28"/>
          <w:szCs w:val="28"/>
          <w:lang w:eastAsia="ru-RU"/>
        </w:rPr>
        <w:t>(одиниць) та мікропідприємництва 0 (одиниць);</w:t>
      </w: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w:t>
      </w:r>
    </w:p>
    <w:p w:rsidR="00EF187E" w:rsidRDefault="00EF187E">
      <w:pPr>
        <w:tabs>
          <w:tab w:val="left" w:pos="851"/>
        </w:tabs>
        <w:spacing w:after="0" w:line="240" w:lineRule="auto"/>
        <w:ind w:firstLine="709"/>
        <w:jc w:val="both"/>
        <w:rPr>
          <w:rFonts w:ascii="Times New Roman" w:hAnsi="Times New Roman"/>
          <w:sz w:val="28"/>
          <w:szCs w:val="28"/>
          <w:lang w:eastAsia="ru-RU"/>
        </w:rPr>
      </w:pP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Розрахунок витрат суб’єктів малого підприємництва на виконання вимог регулювання (під час здійснення розрахунку за основу взято витрати одного </w:t>
      </w:r>
      <w:r>
        <w:rPr>
          <w:rFonts w:ascii="Times New Roman" w:hAnsi="Times New Roman"/>
          <w:sz w:val="28"/>
          <w:szCs w:val="28"/>
          <w:lang w:eastAsia="ru-RU"/>
        </w:rPr>
        <w:lastRenderedPageBreak/>
        <w:t>суб’єкта малого підприємництва для здійснення громадської акредитації закладу освіти).</w:t>
      </w:r>
    </w:p>
    <w:p w:rsidR="00EF187E" w:rsidRDefault="001E22A9">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EF187E">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Витрати за</w:t>
            </w:r>
          </w:p>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три роки</w:t>
            </w:r>
          </w:p>
        </w:tc>
      </w:tr>
      <w:tr w:rsidR="00EF187E">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Оцінка «прямих» витрат суб’єктів малого підприємництва на виконання регулювання</w:t>
            </w:r>
          </w:p>
        </w:tc>
      </w:tr>
      <w:tr w:rsidR="00EF187E">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 xml:space="preserve">Інші процедури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EF187E" w:rsidRDefault="001E22A9">
            <w:pPr>
              <w:tabs>
                <w:tab w:val="left" w:pos="851"/>
              </w:tabs>
              <w:spacing w:after="0" w:line="240" w:lineRule="auto"/>
              <w:jc w:val="center"/>
              <w:rPr>
                <w:rFonts w:ascii="Times New Roman" w:hAnsi="Times New Roman"/>
                <w:sz w:val="28"/>
                <w:szCs w:val="28"/>
                <w:lang w:eastAsia="ru-RU"/>
              </w:rPr>
            </w:pPr>
            <w:r>
              <w:rPr>
                <w:rFonts w:ascii="Times New Roman" w:hAnsi="Times New Roman"/>
                <w:sz w:val="28"/>
                <w:szCs w:val="28"/>
                <w:lang w:eastAsia="ru-RU" w:bidi="uk-UA"/>
              </w:rPr>
              <w:t>не передбачені</w:t>
            </w:r>
            <w:r>
              <w:rPr>
                <w:rFonts w:ascii="Times New Roman" w:hAnsi="Times New Roman"/>
                <w:sz w:val="28"/>
                <w:szCs w:val="28"/>
                <w:lang w:bidi="uk-UA"/>
              </w:rPr>
              <w:t xml:space="preserve">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 xml:space="preserve"> не передбачені</w:t>
            </w:r>
            <w:r>
              <w:rPr>
                <w:rFonts w:ascii="Times New Roman" w:hAnsi="Times New Roman"/>
                <w:kern w:val="3"/>
                <w:sz w:val="28"/>
                <w:szCs w:val="28"/>
                <w:lang w:eastAsia="zh-CN" w:bidi="hi-IN"/>
              </w:rPr>
              <w:t xml:space="preserve"> </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 xml:space="preserve">не передбачені  </w:t>
            </w:r>
            <w:r>
              <w:rPr>
                <w:rFonts w:ascii="Times New Roman" w:hAnsi="Times New Roman"/>
                <w:kern w:val="3"/>
                <w:sz w:val="28"/>
                <w:szCs w:val="28"/>
                <w:lang w:eastAsia="zh-CN" w:bidi="hi-IN"/>
              </w:rPr>
              <w:t xml:space="preserve"> </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 xml:space="preserve">Разом, гривень </w:t>
            </w:r>
            <w:r>
              <w:rPr>
                <w:rFonts w:ascii="Times New Roman" w:hAnsi="Times New Roman"/>
                <w:kern w:val="3"/>
                <w:sz w:val="28"/>
                <w:szCs w:val="28"/>
                <w:lang w:eastAsia="zh-CN" w:bidi="hi-IN"/>
              </w:rPr>
              <w:br/>
              <w:t>Формула:</w:t>
            </w:r>
          </w:p>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2" w:space="0" w:color="000000"/>
              <w:right w:val="single" w:sz="4" w:space="0" w:color="auto"/>
            </w:tcBorders>
            <w:tcMar>
              <w:top w:w="57" w:type="dxa"/>
              <w:left w:w="57" w:type="dxa"/>
              <w:bottom w:w="57" w:type="dxa"/>
              <w:right w:w="57" w:type="dxa"/>
            </w:tcMar>
          </w:tcPr>
          <w:p w:rsidR="00EF187E" w:rsidRDefault="001E22A9">
            <w:pPr>
              <w:tabs>
                <w:tab w:val="left" w:pos="851"/>
              </w:tabs>
              <w:spacing w:after="0" w:line="240" w:lineRule="auto"/>
              <w:jc w:val="center"/>
              <w:rPr>
                <w:rFonts w:ascii="Times New Roman" w:hAnsi="Times New Roman"/>
                <w:sz w:val="28"/>
                <w:szCs w:val="28"/>
                <w:lang w:eastAsia="ru-RU"/>
              </w:rPr>
            </w:pPr>
            <w:r>
              <w:rPr>
                <w:rFonts w:ascii="Times New Roman" w:hAnsi="Times New Roman"/>
                <w:sz w:val="28"/>
                <w:szCs w:val="28"/>
                <w:lang w:eastAsia="ru-RU" w:bidi="uk-UA"/>
              </w:rPr>
              <w:t>не передбачені</w:t>
            </w:r>
            <w:r>
              <w:rPr>
                <w:rFonts w:ascii="Times New Roman" w:hAnsi="Times New Roman"/>
                <w:sz w:val="28"/>
                <w:szCs w:val="28"/>
                <w:lang w:bidi="uk-UA"/>
              </w:rPr>
              <w:t xml:space="preserve"> </w:t>
            </w:r>
          </w:p>
        </w:tc>
        <w:tc>
          <w:tcPr>
            <w:tcW w:w="1703" w:type="dxa"/>
            <w:tcBorders>
              <w:top w:val="single" w:sz="8" w:space="0" w:color="000000"/>
              <w:left w:val="single" w:sz="4" w:space="0" w:color="auto"/>
              <w:bottom w:val="single" w:sz="2" w:space="0" w:color="000000"/>
              <w:right w:val="single" w:sz="4" w:space="0" w:color="auto"/>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 xml:space="preserve"> не передбачені</w:t>
            </w:r>
            <w:r>
              <w:rPr>
                <w:rFonts w:ascii="Times New Roman" w:hAnsi="Times New Roman"/>
                <w:kern w:val="3"/>
                <w:sz w:val="28"/>
                <w:szCs w:val="28"/>
                <w:lang w:eastAsia="zh-CN" w:bidi="hi-IN"/>
              </w:rPr>
              <w:t xml:space="preserve"> </w:t>
            </w:r>
          </w:p>
        </w:tc>
        <w:tc>
          <w:tcPr>
            <w:tcW w:w="1701" w:type="dxa"/>
            <w:tcBorders>
              <w:top w:val="single" w:sz="8" w:space="0" w:color="000000"/>
              <w:left w:val="single" w:sz="4" w:space="0" w:color="auto"/>
              <w:bottom w:val="single" w:sz="2" w:space="0" w:color="000000"/>
              <w:right w:val="single" w:sz="2" w:space="0" w:color="000000"/>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 xml:space="preserve">не передбачені  </w:t>
            </w:r>
            <w:r>
              <w:rPr>
                <w:rFonts w:ascii="Times New Roman" w:hAnsi="Times New Roman"/>
                <w:kern w:val="3"/>
                <w:sz w:val="28"/>
                <w:szCs w:val="28"/>
                <w:lang w:eastAsia="zh-CN" w:bidi="hi-IN"/>
              </w:rPr>
              <w:t xml:space="preserve"> </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7.</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не</w:t>
            </w:r>
            <w:r>
              <w:rPr>
                <w:rFonts w:ascii="Times New Roman" w:hAnsi="Times New Roman"/>
                <w:kern w:val="3"/>
                <w:sz w:val="28"/>
                <w:szCs w:val="28"/>
                <w:lang w:eastAsia="zh-CN" w:bidi="hi-IN"/>
              </w:rPr>
              <w:br/>
              <w:t>передбачені</w:t>
            </w:r>
          </w:p>
        </w:tc>
        <w:tc>
          <w:tcPr>
            <w:tcW w:w="1709" w:type="dxa"/>
            <w:gridSpan w:val="2"/>
            <w:tcBorders>
              <w:top w:val="nil"/>
              <w:left w:val="single" w:sz="4" w:space="0" w:color="auto"/>
              <w:bottom w:val="single" w:sz="2" w:space="0" w:color="000000"/>
              <w:right w:val="single" w:sz="2" w:space="0" w:color="000000"/>
            </w:tcBorders>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не передбачені</w:t>
            </w:r>
          </w:p>
        </w:tc>
        <w:tc>
          <w:tcPr>
            <w:tcW w:w="1701" w:type="dxa"/>
            <w:tcBorders>
              <w:top w:val="nil"/>
              <w:left w:val="single" w:sz="4" w:space="0" w:color="auto"/>
              <w:bottom w:val="single" w:sz="2" w:space="0" w:color="000000"/>
              <w:right w:val="single" w:sz="2" w:space="0" w:color="000000"/>
            </w:tcBorders>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не передбачені</w:t>
            </w:r>
          </w:p>
        </w:tc>
      </w:tr>
      <w:tr w:rsidR="00EF187E">
        <w:trPr>
          <w:trHeight w:val="289"/>
        </w:trPr>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8.</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b/>
                <w:kern w:val="3"/>
                <w:sz w:val="28"/>
                <w:szCs w:val="28"/>
                <w:lang w:eastAsia="zh-CN" w:bidi="hi-IN"/>
              </w:rPr>
            </w:pPr>
            <w:r>
              <w:rPr>
                <w:rFonts w:ascii="Times New Roman" w:hAnsi="Times New Roman"/>
                <w:b/>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tabs>
                <w:tab w:val="left" w:pos="851"/>
              </w:tabs>
              <w:spacing w:after="0" w:line="240" w:lineRule="auto"/>
              <w:jc w:val="center"/>
              <w:rPr>
                <w:rFonts w:ascii="Times New Roman" w:hAnsi="Times New Roman"/>
                <w:sz w:val="28"/>
                <w:szCs w:val="28"/>
                <w:lang w:eastAsia="ru-RU"/>
              </w:rPr>
            </w:pPr>
            <w:r>
              <w:rPr>
                <w:rFonts w:ascii="Times New Roman" w:hAnsi="Times New Roman"/>
                <w:sz w:val="28"/>
                <w:szCs w:val="28"/>
                <w:lang w:eastAsia="ru-RU" w:bidi="uk-UA"/>
              </w:rPr>
              <w:t>не передбачені</w:t>
            </w:r>
            <w:r>
              <w:rPr>
                <w:rFonts w:ascii="Times New Roman" w:hAnsi="Times New Roman"/>
                <w:sz w:val="28"/>
                <w:szCs w:val="28"/>
                <w:lang w:bidi="uk-UA"/>
              </w:rPr>
              <w:t xml:space="preserve"> </w:t>
            </w:r>
          </w:p>
        </w:tc>
        <w:tc>
          <w:tcPr>
            <w:tcW w:w="1703"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 xml:space="preserve"> не передбачені</w:t>
            </w:r>
            <w:r>
              <w:rPr>
                <w:rFonts w:ascii="Times New Roman" w:hAnsi="Times New Roman"/>
                <w:kern w:val="3"/>
                <w:sz w:val="28"/>
                <w:szCs w:val="28"/>
                <w:lang w:eastAsia="zh-CN" w:bidi="hi-IN"/>
              </w:rPr>
              <w:t xml:space="preserve"> </w:t>
            </w:r>
          </w:p>
        </w:tc>
        <w:tc>
          <w:tcPr>
            <w:tcW w:w="1701" w:type="dxa"/>
            <w:tcBorders>
              <w:top w:val="nil"/>
              <w:left w:val="single" w:sz="4" w:space="0" w:color="auto"/>
              <w:bottom w:val="single" w:sz="2" w:space="0" w:color="000000"/>
              <w:right w:val="single" w:sz="2" w:space="0" w:color="000000"/>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 xml:space="preserve">не передбачені  </w:t>
            </w:r>
            <w:r>
              <w:rPr>
                <w:rFonts w:ascii="Times New Roman" w:hAnsi="Times New Roman"/>
                <w:kern w:val="3"/>
                <w:sz w:val="28"/>
                <w:szCs w:val="28"/>
                <w:lang w:eastAsia="zh-CN" w:bidi="hi-IN"/>
              </w:rPr>
              <w:t xml:space="preserve"> </w:t>
            </w:r>
          </w:p>
        </w:tc>
      </w:tr>
      <w:tr w:rsidR="00EF187E">
        <w:tc>
          <w:tcPr>
            <w:tcW w:w="9492" w:type="dxa"/>
            <w:gridSpan w:val="6"/>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b/>
                <w:bCs/>
                <w:kern w:val="3"/>
                <w:sz w:val="28"/>
                <w:szCs w:val="28"/>
                <w:lang w:eastAsia="zh-CN" w:bidi="hi-IN"/>
              </w:rPr>
            </w:pPr>
            <w:r>
              <w:rPr>
                <w:rFonts w:ascii="Times New Roman" w:hAnsi="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9.</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 xml:space="preserve">Процедури отримання первинної інформації про </w:t>
            </w:r>
            <w:r>
              <w:rPr>
                <w:rFonts w:ascii="Times New Roman" w:hAnsi="Times New Roman"/>
                <w:kern w:val="3"/>
                <w:sz w:val="28"/>
                <w:szCs w:val="28"/>
                <w:lang w:eastAsia="zh-CN" w:bidi="hi-IN"/>
              </w:rPr>
              <w:lastRenderedPageBreak/>
              <w:t>вимоги регулювання (отримання консультацій керівництвом закладу освіти в юридичних осіб, акредитованих в установленому порядку)</w:t>
            </w:r>
          </w:p>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ru-RU" w:bidi="hi-IN"/>
              </w:rPr>
              <w:t xml:space="preserve">Формула: витрати часу  на отримання необхідних форм та заявок </w:t>
            </w:r>
            <w:r>
              <w:rPr>
                <w:rFonts w:ascii="Times New Roman" w:hAnsi="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lastRenderedPageBreak/>
              <w:t>44,28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lastRenderedPageBreak/>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tabs>
                <w:tab w:val="left" w:pos="851"/>
              </w:tabs>
              <w:spacing w:after="0" w:line="240" w:lineRule="auto"/>
              <w:rPr>
                <w:rFonts w:ascii="Times New Roman" w:hAnsi="Times New Roman"/>
                <w:sz w:val="28"/>
                <w:szCs w:val="28"/>
                <w:lang w:eastAsia="uk-UA" w:bidi="uk-UA"/>
              </w:rPr>
            </w:pPr>
            <w:r>
              <w:rPr>
                <w:rFonts w:ascii="Times New Roman" w:hAnsi="Times New Roman"/>
                <w:sz w:val="28"/>
                <w:szCs w:val="28"/>
                <w:lang w:eastAsia="uk-UA" w:bidi="uk-UA"/>
              </w:rPr>
              <w:t>Процедури організації виконання вимог регулювання, а саме (присутність керівника закладу під час здійснення громадської акредитації, надання документів, необхідних для здійснення незалежного оцінювання)</w:t>
            </w:r>
          </w:p>
          <w:p w:rsidR="00EF187E" w:rsidRDefault="001E22A9">
            <w:pPr>
              <w:tabs>
                <w:tab w:val="left" w:pos="851"/>
              </w:tabs>
              <w:spacing w:after="0" w:line="240" w:lineRule="auto"/>
              <w:rPr>
                <w:rFonts w:ascii="Times New Roman" w:hAnsi="Times New Roman"/>
                <w:sz w:val="28"/>
                <w:szCs w:val="28"/>
                <w:lang w:eastAsia="uk-UA" w:bidi="uk-UA"/>
              </w:rPr>
            </w:pPr>
            <w:r>
              <w:rPr>
                <w:rFonts w:ascii="Times New Roman" w:hAnsi="Times New Roman"/>
                <w:sz w:val="28"/>
                <w:szCs w:val="28"/>
                <w:lang w:eastAsia="uk-UA" w:bidi="uk-UA"/>
              </w:rPr>
              <w:t>Формула:</w:t>
            </w:r>
          </w:p>
          <w:p w:rsidR="00EF187E" w:rsidRDefault="001E22A9">
            <w:pPr>
              <w:tabs>
                <w:tab w:val="left" w:pos="851"/>
              </w:tabs>
              <w:spacing w:after="0" w:line="240" w:lineRule="auto"/>
              <w:rPr>
                <w:rFonts w:ascii="Times New Roman" w:hAnsi="Times New Roman"/>
                <w:sz w:val="28"/>
                <w:szCs w:val="28"/>
                <w:lang w:eastAsia="uk-UA" w:bidi="uk-UA"/>
              </w:rPr>
            </w:pPr>
            <w:r>
              <w:rPr>
                <w:rFonts w:ascii="Times New Roman" w:hAnsi="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3642,4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Інші процедури</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lastRenderedPageBreak/>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10482</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Разом, гривень</w:t>
            </w:r>
          </w:p>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Формула:</w:t>
            </w:r>
          </w:p>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3668,68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EF187E" w:rsidRDefault="001E22A9">
            <w:pPr>
              <w:widowControl w:val="0"/>
              <w:spacing w:after="0" w:line="240" w:lineRule="auto"/>
              <w:jc w:val="center"/>
              <w:rPr>
                <w:rFonts w:ascii="Times New Roman" w:hAnsi="Times New Roman"/>
                <w:sz w:val="28"/>
                <w:szCs w:val="28"/>
                <w:lang w:eastAsia="ru-RU" w:bidi="uk-UA"/>
              </w:rPr>
            </w:pPr>
            <w:r>
              <w:rPr>
                <w:rFonts w:ascii="Times New Roman" w:hAnsi="Times New Roman"/>
                <w:sz w:val="28"/>
                <w:szCs w:val="28"/>
                <w:lang w:eastAsia="ru-RU" w:bidi="uk-UA"/>
              </w:rPr>
              <w:t>не передбачені</w:t>
            </w:r>
          </w:p>
        </w:tc>
      </w:tr>
      <w:tr w:rsidR="00EF187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EF187E" w:rsidRDefault="001E22A9">
            <w:pPr>
              <w:suppressAutoHyphens/>
              <w:spacing w:after="0" w:line="240" w:lineRule="auto"/>
              <w:rPr>
                <w:rFonts w:ascii="Times New Roman" w:hAnsi="Times New Roman"/>
                <w:kern w:val="3"/>
                <w:sz w:val="28"/>
                <w:szCs w:val="28"/>
                <w:lang w:eastAsia="zh-CN" w:bidi="hi-IN"/>
              </w:rPr>
            </w:pPr>
            <w:r>
              <w:rPr>
                <w:rFonts w:ascii="Times New Roman" w:hAnsi="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uk-UA" w:bidi="uk-UA"/>
              </w:rPr>
              <w:t>38455103,8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EF187E" w:rsidRDefault="001E22A9">
            <w:pPr>
              <w:suppressAutoHyphens/>
              <w:spacing w:after="0" w:line="240" w:lineRule="auto"/>
              <w:jc w:val="center"/>
              <w:rPr>
                <w:rFonts w:ascii="Times New Roman" w:hAnsi="Times New Roman"/>
                <w:kern w:val="3"/>
                <w:sz w:val="28"/>
                <w:szCs w:val="28"/>
                <w:lang w:eastAsia="zh-CN" w:bidi="hi-IN"/>
              </w:rPr>
            </w:pPr>
            <w:r>
              <w:rPr>
                <w:rFonts w:ascii="Times New Roman" w:hAnsi="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EF187E" w:rsidRDefault="001E22A9">
            <w:pPr>
              <w:widowControl w:val="0"/>
              <w:spacing w:after="0" w:line="240" w:lineRule="auto"/>
              <w:ind w:left="-54"/>
              <w:jc w:val="center"/>
              <w:rPr>
                <w:rFonts w:ascii="Times New Roman" w:hAnsi="Times New Roman"/>
                <w:sz w:val="28"/>
                <w:szCs w:val="28"/>
                <w:lang w:eastAsia="uk-UA" w:bidi="uk-UA"/>
              </w:rPr>
            </w:pPr>
            <w:r>
              <w:rPr>
                <w:rFonts w:ascii="Times New Roman" w:hAnsi="Times New Roman"/>
                <w:sz w:val="28"/>
                <w:szCs w:val="28"/>
                <w:lang w:eastAsia="uk-UA" w:bidi="uk-UA"/>
              </w:rPr>
              <w:t>38455103,8 грн</w:t>
            </w:r>
          </w:p>
        </w:tc>
      </w:tr>
    </w:tbl>
    <w:p w:rsidR="00EF187E" w:rsidRDefault="00EF187E">
      <w:pPr>
        <w:tabs>
          <w:tab w:val="left" w:pos="851"/>
        </w:tabs>
        <w:spacing w:after="0" w:line="240" w:lineRule="auto"/>
        <w:jc w:val="both"/>
        <w:rPr>
          <w:rFonts w:ascii="Times New Roman" w:hAnsi="Times New Roman"/>
          <w:sz w:val="28"/>
          <w:szCs w:val="28"/>
          <w:lang w:eastAsia="ru-RU"/>
        </w:rPr>
      </w:pPr>
    </w:p>
    <w:p w:rsidR="00EF187E" w:rsidRDefault="001E22A9">
      <w:pPr>
        <w:tabs>
          <w:tab w:val="left" w:pos="851"/>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Бюджетні витрати на адміністрування регулювання суб’єктів малого підприємництва</w:t>
      </w:r>
    </w:p>
    <w:p w:rsidR="00EF187E" w:rsidRDefault="00EF187E">
      <w:pPr>
        <w:tabs>
          <w:tab w:val="left" w:pos="851"/>
        </w:tabs>
        <w:spacing w:after="0" w:line="240" w:lineRule="auto"/>
        <w:jc w:val="both"/>
        <w:rPr>
          <w:rFonts w:ascii="Times New Roman" w:hAnsi="Times New Roman"/>
          <w:sz w:val="28"/>
          <w:szCs w:val="28"/>
          <w:lang w:eastAsia="ru-RU"/>
        </w:rPr>
      </w:pPr>
    </w:p>
    <w:p w:rsidR="00EF187E" w:rsidRDefault="001E22A9">
      <w:pPr>
        <w:tabs>
          <w:tab w:val="left" w:pos="851"/>
        </w:tabs>
        <w:spacing w:after="0" w:line="240" w:lineRule="auto"/>
        <w:jc w:val="both"/>
        <w:rPr>
          <w:rFonts w:ascii="Times New Roman" w:hAnsi="Times New Roman"/>
          <w:b/>
          <w:sz w:val="28"/>
          <w:szCs w:val="28"/>
          <w:lang w:eastAsia="ru-RU"/>
        </w:rPr>
      </w:pPr>
      <w:r>
        <w:rPr>
          <w:rFonts w:ascii="Times New Roman" w:hAnsi="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F187E" w:rsidRDefault="001E22A9">
      <w:pPr>
        <w:tabs>
          <w:tab w:val="left" w:pos="851"/>
        </w:tabs>
        <w:spacing w:after="0" w:line="240" w:lineRule="auto"/>
        <w:ind w:firstLine="851"/>
        <w:jc w:val="both"/>
        <w:rPr>
          <w:rFonts w:ascii="Times New Roman" w:hAnsi="Times New Roman"/>
          <w:b/>
          <w:sz w:val="28"/>
          <w:szCs w:val="28"/>
          <w:lang w:eastAsia="ru-RU"/>
        </w:rPr>
      </w:pPr>
      <w:r>
        <w:rPr>
          <w:rFonts w:ascii="Times New Roman" w:hAnsi="Times New Roman"/>
          <w:sz w:val="28"/>
          <w:szCs w:val="28"/>
          <w:lang w:eastAsia="ru-RU"/>
        </w:rPr>
        <w:t>Державний орган, для якого здійснюється розрахунок вартості адміністрування регулювання:</w:t>
      </w:r>
    </w:p>
    <w:p w:rsidR="00EF187E" w:rsidRDefault="00EF187E">
      <w:pPr>
        <w:tabs>
          <w:tab w:val="left" w:pos="851"/>
        </w:tabs>
        <w:spacing w:after="0" w:line="240" w:lineRule="auto"/>
        <w:jc w:val="both"/>
        <w:rPr>
          <w:rFonts w:ascii="Times New Roman" w:hAnsi="Times New Roman"/>
          <w:sz w:val="28"/>
          <w:szCs w:val="28"/>
          <w:lang w:eastAsia="ru-RU"/>
        </w:rPr>
      </w:pPr>
    </w:p>
    <w:p w:rsidR="00EF187E" w:rsidRDefault="001E22A9">
      <w:pPr>
        <w:tabs>
          <w:tab w:val="left" w:pos="851"/>
        </w:tabs>
        <w:spacing w:after="0" w:line="240" w:lineRule="auto"/>
        <w:jc w:val="center"/>
        <w:rPr>
          <w:rFonts w:ascii="Times New Roman" w:hAnsi="Times New Roman"/>
          <w:sz w:val="28"/>
          <w:szCs w:val="28"/>
          <w:lang w:eastAsia="uk-UA" w:bidi="uk-UA"/>
        </w:rPr>
      </w:pPr>
      <w:r>
        <w:rPr>
          <w:rFonts w:ascii="Times New Roman" w:hAnsi="Times New Roman"/>
          <w:sz w:val="28"/>
          <w:szCs w:val="28"/>
          <w:lang w:eastAsia="uk-UA" w:bidi="uk-UA"/>
        </w:rPr>
        <w:t>Державна служба якості освіти</w:t>
      </w:r>
    </w:p>
    <w:p w:rsidR="00EF187E" w:rsidRDefault="00EF187E">
      <w:pPr>
        <w:tabs>
          <w:tab w:val="left" w:pos="851"/>
        </w:tabs>
        <w:spacing w:after="0" w:line="240" w:lineRule="auto"/>
        <w:jc w:val="center"/>
        <w:rPr>
          <w:rFonts w:ascii="Times New Roman" w:hAnsi="Times New Roman"/>
          <w:sz w:val="28"/>
          <w:szCs w:val="28"/>
          <w:lang w:eastAsia="ru-RU"/>
        </w:rPr>
      </w:pPr>
    </w:p>
    <w:tbl>
      <w:tblPr>
        <w:tblW w:w="5228"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96"/>
        <w:gridCol w:w="1310"/>
        <w:gridCol w:w="1682"/>
        <w:gridCol w:w="1471"/>
        <w:gridCol w:w="1577"/>
        <w:gridCol w:w="1977"/>
      </w:tblGrid>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Планові витрати часу на процедуру</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jc w:val="center"/>
              <w:rPr>
                <w:rFonts w:ascii="Times New Roman" w:hAnsi="Times New Roman"/>
                <w:sz w:val="26"/>
                <w:szCs w:val="26"/>
                <w:lang w:eastAsia="ru-RU"/>
              </w:rPr>
            </w:pPr>
            <w:r>
              <w:rPr>
                <w:rFonts w:ascii="Times New Roman" w:hAnsi="Times New Roman"/>
                <w:sz w:val="26"/>
                <w:szCs w:val="26"/>
                <w:lang w:eastAsia="ru-RU"/>
              </w:rPr>
              <w:t>Вартість часу співробітника  (заробітна плата)</w:t>
            </w:r>
            <w:r>
              <w:rPr>
                <w:rStyle w:val="af7"/>
                <w:rFonts w:ascii="Times New Roman" w:hAnsi="Times New Roman"/>
                <w:sz w:val="26"/>
                <w:szCs w:val="26"/>
                <w:lang w:eastAsia="ru-RU"/>
              </w:rPr>
              <w:footnoteReference w:id="1"/>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jc w:val="center"/>
              <w:rPr>
                <w:rFonts w:ascii="Times New Roman" w:hAnsi="Times New Roman"/>
                <w:sz w:val="26"/>
                <w:szCs w:val="26"/>
                <w:lang w:eastAsia="ru-RU"/>
              </w:rPr>
            </w:pPr>
            <w:r>
              <w:rPr>
                <w:rFonts w:ascii="Times New Roman" w:hAnsi="Times New Roman"/>
                <w:sz w:val="26"/>
                <w:szCs w:val="26"/>
                <w:lang w:eastAsia="ru-RU"/>
              </w:rPr>
              <w:t>Оцінка кількості процедур за рік, що припадають на одного суб’єкта</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jc w:val="center"/>
              <w:rPr>
                <w:rFonts w:ascii="Times New Roman" w:hAnsi="Times New Roman"/>
                <w:sz w:val="26"/>
                <w:szCs w:val="26"/>
                <w:lang w:eastAsia="ru-RU"/>
              </w:rPr>
            </w:pPr>
            <w:r>
              <w:rPr>
                <w:rFonts w:ascii="Times New Roman" w:hAnsi="Times New Roman"/>
                <w:sz w:val="26"/>
                <w:szCs w:val="26"/>
                <w:lang w:eastAsia="ru-RU"/>
              </w:rPr>
              <w:t>Оцінка кількості суб’єктів, що підпадають під дію процедури регулювання</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ind w:right="-78"/>
              <w:jc w:val="center"/>
              <w:rPr>
                <w:rFonts w:ascii="Times New Roman" w:hAnsi="Times New Roman"/>
                <w:sz w:val="26"/>
                <w:szCs w:val="26"/>
                <w:lang w:eastAsia="ru-RU"/>
              </w:rPr>
            </w:pPr>
            <w:r>
              <w:rPr>
                <w:rFonts w:ascii="Times New Roman" w:hAnsi="Times New Roman"/>
                <w:sz w:val="26"/>
                <w:szCs w:val="26"/>
                <w:lang w:eastAsia="ru-RU"/>
              </w:rPr>
              <w:t>Витрати на адміністрування регулювання* (за рік), гривень</w:t>
            </w:r>
          </w:p>
        </w:tc>
      </w:tr>
      <w:tr w:rsidR="00EF187E">
        <w:trPr>
          <w:trHeight w:val="813"/>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lastRenderedPageBreak/>
              <w:t>1. Облік суб’єкта господарювання, що перебуває у сфері регулювання (надання усних консультацій та письмових роз’яснень суб’єктам господарювання)</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lang w:eastAsia="ru-RU"/>
              </w:rPr>
            </w:pPr>
            <w:r>
              <w:rPr>
                <w:rFonts w:ascii="Times New Roman" w:hAnsi="Times New Roman"/>
                <w:sz w:val="28"/>
                <w:szCs w:val="28"/>
                <w:lang w:eastAsia="ru-RU"/>
              </w:rPr>
              <w:t>0,5 год</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lang w:eastAsia="ru-RU"/>
              </w:rPr>
            </w:pPr>
            <w:r>
              <w:rPr>
                <w:rFonts w:ascii="Times New Roman" w:hAnsi="Times New Roman"/>
                <w:sz w:val="28"/>
                <w:szCs w:val="28"/>
                <w:lang w:eastAsia="ru-RU"/>
              </w:rPr>
              <w:t>39,65 грн</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1</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 xml:space="preserve">10482 </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415611,3 грн</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2. Поточний контроль за суб’єктом господарювання, що перебуває у сфері регулювання, у тому числі:</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uk-UA" w:bidi="uk-UA"/>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uk-UA" w:bidi="uk-UA"/>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uk-UA" w:bidi="uk-U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uk-UA" w:bidi="uk-UA"/>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uk-UA" w:bidi="uk-UA"/>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Камеральні</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Виїзні</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3. Підготовка, затвердження та опрацювання одного окремого акта про порушення вимог регулювання</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4. Реалізація одного окремого рішення щодо порушення вимог регулювання</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5. Оскарження одного окремого рішення суб’єктами господарювання</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sz w:val="26"/>
                <w:szCs w:val="26"/>
                <w:lang w:eastAsia="ru-RU"/>
              </w:rPr>
              <w:t>6. Підготовка звітності за результатами регулювання</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uk-UA" w:bidi="uk-UA"/>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uk-UA" w:bidi="uk-UA"/>
              </w:rPr>
            </w:pPr>
            <w:r>
              <w:rPr>
                <w:rFonts w:ascii="Times New Roman" w:hAnsi="Times New Roman"/>
                <w:sz w:val="28"/>
                <w:szCs w:val="28"/>
                <w:lang w:eastAsia="ru-RU"/>
              </w:rPr>
              <w:t>-</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6"/>
                <w:szCs w:val="26"/>
                <w:lang w:eastAsia="ru-RU"/>
              </w:rPr>
            </w:pPr>
            <w:r>
              <w:rPr>
                <w:rFonts w:ascii="Times New Roman" w:hAnsi="Times New Roman"/>
                <w:color w:val="000000"/>
                <w:sz w:val="28"/>
                <w:szCs w:val="28"/>
                <w:lang w:eastAsia="uk-UA"/>
              </w:rPr>
              <w:t>7. Інші адміністративні процедури:</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EF187E">
            <w:pPr>
              <w:widowControl w:val="0"/>
              <w:spacing w:after="0" w:line="240" w:lineRule="auto"/>
              <w:jc w:val="center"/>
              <w:rPr>
                <w:rFonts w:ascii="Times New Roman" w:hAnsi="Times New Roman"/>
                <w:sz w:val="26"/>
                <w:szCs w:val="26"/>
                <w:lang w:eastAsia="ru-RU"/>
              </w:rPr>
            </w:pP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EF187E">
            <w:pPr>
              <w:widowControl w:val="0"/>
              <w:spacing w:after="0" w:line="240" w:lineRule="auto"/>
              <w:jc w:val="center"/>
              <w:rPr>
                <w:rFonts w:ascii="Times New Roman" w:hAnsi="Times New Roman"/>
                <w:sz w:val="28"/>
                <w:szCs w:val="28"/>
                <w:lang w:eastAsia="ru-RU"/>
              </w:rPr>
            </w:pP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EF187E">
            <w:pPr>
              <w:widowControl w:val="0"/>
              <w:spacing w:after="0" w:line="240" w:lineRule="auto"/>
              <w:jc w:val="center"/>
              <w:rPr>
                <w:rFonts w:ascii="Times New Roman" w:hAnsi="Times New Roman"/>
                <w:sz w:val="28"/>
                <w:szCs w:val="28"/>
                <w:lang w:eastAsia="ru-RU"/>
              </w:rPr>
            </w:pP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EF187E">
            <w:pPr>
              <w:widowControl w:val="0"/>
              <w:spacing w:after="0" w:line="240" w:lineRule="auto"/>
              <w:jc w:val="center"/>
              <w:rPr>
                <w:rFonts w:ascii="Times New Roman" w:hAnsi="Times New Roman"/>
                <w:sz w:val="28"/>
                <w:szCs w:val="28"/>
                <w:lang w:eastAsia="ru-RU"/>
              </w:rPr>
            </w:pP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EF187E">
            <w:pPr>
              <w:widowControl w:val="0"/>
              <w:spacing w:after="0" w:line="240" w:lineRule="auto"/>
              <w:jc w:val="center"/>
              <w:rPr>
                <w:rFonts w:ascii="Times New Roman" w:hAnsi="Times New Roman"/>
                <w:sz w:val="28"/>
                <w:szCs w:val="28"/>
                <w:lang w:eastAsia="ru-RU"/>
              </w:rPr>
            </w:pP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витрати на перевірку фактів порушень закладом освіти, який має сертифікат про успішну акредитації, вимог законодавства, виявлених територіальними органами Державної служби якості освіти України </w:t>
            </w:r>
          </w:p>
          <w:p w:rsidR="00EF187E" w:rsidRDefault="001E22A9">
            <w:r>
              <w:rPr>
                <w:rFonts w:ascii="Times New Roman" w:hAnsi="Times New Roman"/>
                <w:sz w:val="28"/>
                <w:szCs w:val="28"/>
              </w:rPr>
              <w:t>під час інституційного аудиту в позаплановому порядку або позапланової перевірки закладу освіти</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 год</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lang w:eastAsia="ru-RU"/>
              </w:rPr>
            </w:pPr>
            <w:r>
              <w:rPr>
                <w:rFonts w:ascii="Times New Roman" w:hAnsi="Times New Roman"/>
                <w:sz w:val="28"/>
                <w:szCs w:val="28"/>
                <w:lang w:eastAsia="ru-RU"/>
              </w:rPr>
              <w:t>237,9 грн</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1</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rPr>
              <w:t>10482</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2493667,8 грн</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sz w:val="28"/>
                <w:szCs w:val="28"/>
                <w:lang w:eastAsia="ru-RU"/>
              </w:rPr>
            </w:pPr>
            <w:r>
              <w:rPr>
                <w:rFonts w:ascii="Times New Roman" w:hAnsi="Times New Roman"/>
                <w:sz w:val="28"/>
                <w:szCs w:val="28"/>
              </w:rPr>
              <w:t xml:space="preserve">ознайомлення суб’єкта господарювання з вимогами регулювання, надання усних консультацій та письмових роз’яснень суб’єктам господарювання, </w:t>
            </w:r>
            <w:r>
              <w:rPr>
                <w:rFonts w:ascii="Times New Roman" w:hAnsi="Times New Roman"/>
                <w:sz w:val="28"/>
                <w:szCs w:val="28"/>
                <w:lang w:eastAsia="ru-RU"/>
              </w:rPr>
              <w:t xml:space="preserve">фактичні витрати часу персоналу на заробітну плату на 1 суб’єкта </w:t>
            </w:r>
            <w:r>
              <w:rPr>
                <w:rFonts w:ascii="Times New Roman" w:hAnsi="Times New Roman"/>
                <w:sz w:val="28"/>
                <w:szCs w:val="28"/>
              </w:rPr>
              <w:t xml:space="preserve">господарювання </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 хв</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lang w:eastAsia="ru-RU"/>
              </w:rPr>
            </w:pPr>
            <w:r>
              <w:rPr>
                <w:rFonts w:ascii="Times New Roman" w:hAnsi="Times New Roman"/>
                <w:sz w:val="28"/>
                <w:szCs w:val="28"/>
                <w:lang w:eastAsia="ru-RU"/>
              </w:rPr>
              <w:t>26,4 грн</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1</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rPr>
              <w:t>10482</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276724,8 грн</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color w:val="000000"/>
                <w:sz w:val="28"/>
                <w:szCs w:val="28"/>
                <w:lang w:eastAsia="uk-UA"/>
              </w:rPr>
            </w:pPr>
            <w:r>
              <w:rPr>
                <w:rFonts w:ascii="Times New Roman" w:hAnsi="Times New Roman"/>
                <w:color w:val="000000"/>
                <w:sz w:val="28"/>
                <w:szCs w:val="28"/>
                <w:lang w:eastAsia="uk-UA"/>
              </w:rPr>
              <w:t>Разом за рік</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3 год 50 хв</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lang w:eastAsia="ru-RU"/>
              </w:rPr>
            </w:pPr>
            <w:r>
              <w:rPr>
                <w:rFonts w:ascii="Times New Roman" w:hAnsi="Times New Roman"/>
                <w:sz w:val="28"/>
                <w:szCs w:val="28"/>
                <w:lang w:eastAsia="ru-RU"/>
              </w:rPr>
              <w:t>277,55 грн</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1</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10482</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lang w:eastAsia="ru-RU"/>
              </w:rPr>
              <w:t>2909279,1 грн</w:t>
            </w:r>
          </w:p>
        </w:tc>
      </w:tr>
      <w:tr w:rsidR="00EF187E">
        <w:trPr>
          <w:tblCellSpacing w:w="22" w:type="dxa"/>
          <w:jc w:val="center"/>
        </w:trPr>
        <w:tc>
          <w:tcPr>
            <w:tcW w:w="1074"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tabs>
                <w:tab w:val="left" w:pos="851"/>
              </w:tabs>
              <w:spacing w:after="0" w:line="240" w:lineRule="auto"/>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Сумарно за п’ять років</w:t>
            </w:r>
          </w:p>
        </w:tc>
        <w:tc>
          <w:tcPr>
            <w:tcW w:w="638"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lang w:eastAsia="ru-RU"/>
              </w:rPr>
            </w:pPr>
            <w:r>
              <w:rPr>
                <w:rFonts w:ascii="Times New Roman" w:hAnsi="Times New Roman"/>
                <w:sz w:val="28"/>
                <w:szCs w:val="28"/>
                <w:lang w:eastAsia="ru-RU"/>
              </w:rPr>
              <w:t>-</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jc w:val="center"/>
              <w:rPr>
                <w:rFonts w:ascii="Times New Roman" w:hAnsi="Times New Roman"/>
                <w:sz w:val="28"/>
                <w:szCs w:val="28"/>
              </w:rPr>
            </w:pPr>
            <w:r>
              <w:rPr>
                <w:rFonts w:ascii="Times New Roman" w:hAnsi="Times New Roman"/>
                <w:sz w:val="28"/>
                <w:szCs w:val="28"/>
              </w:rPr>
              <w:t>-</w:t>
            </w:r>
          </w:p>
        </w:tc>
        <w:tc>
          <w:tcPr>
            <w:tcW w:w="813" w:type="pct"/>
            <w:tcBorders>
              <w:top w:val="outset" w:sz="6" w:space="0" w:color="auto"/>
              <w:left w:val="outset" w:sz="6" w:space="0" w:color="auto"/>
              <w:bottom w:val="outset" w:sz="6" w:space="0" w:color="auto"/>
              <w:right w:val="outset" w:sz="6" w:space="0" w:color="auto"/>
            </w:tcBorders>
            <w:shd w:val="clear" w:color="auto" w:fill="auto"/>
          </w:tcPr>
          <w:p w:rsidR="00EF187E" w:rsidRDefault="001E22A9">
            <w:pPr>
              <w:widowControl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bl>
    <w:p w:rsidR="00EF187E" w:rsidRDefault="00EF187E">
      <w:pPr>
        <w:spacing w:after="0" w:line="240" w:lineRule="auto"/>
        <w:ind w:firstLine="709"/>
        <w:jc w:val="both"/>
        <w:rPr>
          <w:rFonts w:ascii="Times New Roman" w:hAnsi="Times New Roman"/>
          <w:color w:val="000000"/>
          <w:sz w:val="28"/>
          <w:szCs w:val="28"/>
          <w:lang w:eastAsia="uk-UA"/>
        </w:rPr>
      </w:pPr>
      <w:bookmarkStart w:id="34" w:name="n213"/>
      <w:bookmarkEnd w:id="34"/>
    </w:p>
    <w:p w:rsidR="00EF187E" w:rsidRDefault="001E22A9">
      <w:pPr>
        <w:tabs>
          <w:tab w:val="left" w:pos="851"/>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4. Розрахунок сумарних витрат суб’єктів малого підприємництва, що виникають на виконання вимог регулювання</w:t>
      </w:r>
    </w:p>
    <w:p w:rsidR="00EF187E" w:rsidRDefault="00EF187E">
      <w:pPr>
        <w:widowControl w:val="0"/>
        <w:spacing w:after="0" w:line="240" w:lineRule="auto"/>
        <w:ind w:firstLine="709"/>
        <w:jc w:val="both"/>
        <w:rPr>
          <w:rFonts w:ascii="Times New Roman" w:hAnsi="Times New Roman"/>
          <w:sz w:val="28"/>
          <w:szCs w:val="28"/>
          <w:lang w:eastAsia="uk-UA" w:bidi="uk-UA"/>
        </w:rPr>
      </w:pPr>
    </w:p>
    <w:tbl>
      <w:tblPr>
        <w:tblStyle w:val="14"/>
        <w:tblW w:w="9782" w:type="dxa"/>
        <w:tblInd w:w="-289" w:type="dxa"/>
        <w:tblLayout w:type="fixed"/>
        <w:tblLook w:val="04A0" w:firstRow="1" w:lastRow="0" w:firstColumn="1" w:lastColumn="0" w:noHBand="0" w:noVBand="1"/>
      </w:tblPr>
      <w:tblGrid>
        <w:gridCol w:w="568"/>
        <w:gridCol w:w="4536"/>
        <w:gridCol w:w="2693"/>
        <w:gridCol w:w="1985"/>
      </w:tblGrid>
      <w:tr w:rsidR="00EF187E">
        <w:tc>
          <w:tcPr>
            <w:tcW w:w="568"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 з/п</w:t>
            </w:r>
          </w:p>
        </w:tc>
        <w:tc>
          <w:tcPr>
            <w:tcW w:w="4536"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Показник</w:t>
            </w:r>
          </w:p>
        </w:tc>
        <w:tc>
          <w:tcPr>
            <w:tcW w:w="2693" w:type="dxa"/>
            <w:tcBorders>
              <w:bottom w:val="single" w:sz="4" w:space="0" w:color="auto"/>
            </w:tcBorders>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Перший рік регулювання (стартовий)</w:t>
            </w:r>
          </w:p>
        </w:tc>
        <w:tc>
          <w:tcPr>
            <w:tcW w:w="1985" w:type="dxa"/>
            <w:tcBorders>
              <w:bottom w:val="single" w:sz="4" w:space="0" w:color="auto"/>
            </w:tcBorders>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За п’ять років</w:t>
            </w:r>
          </w:p>
        </w:tc>
      </w:tr>
      <w:tr w:rsidR="00EF187E">
        <w:tc>
          <w:tcPr>
            <w:tcW w:w="568"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536" w:type="dxa"/>
            <w:tcBorders>
              <w:right w:val="single" w:sz="4" w:space="0" w:color="auto"/>
            </w:tcBorders>
          </w:tcPr>
          <w:p w:rsidR="00EF187E" w:rsidRDefault="001E22A9">
            <w:pPr>
              <w:tabs>
                <w:tab w:val="left" w:pos="851"/>
              </w:tabs>
              <w:spacing w:line="240" w:lineRule="auto"/>
              <w:rPr>
                <w:rFonts w:ascii="Times New Roman" w:hAnsi="Times New Roman"/>
                <w:sz w:val="28"/>
                <w:szCs w:val="28"/>
                <w:lang w:eastAsia="ru-RU"/>
              </w:rPr>
            </w:pPr>
            <w:r>
              <w:rPr>
                <w:rFonts w:ascii="Times New Roman" w:hAnsi="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F187E" w:rsidRDefault="001E22A9">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EF187E" w:rsidRDefault="001E22A9">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w:t>
            </w:r>
          </w:p>
        </w:tc>
      </w:tr>
      <w:tr w:rsidR="00EF187E">
        <w:tc>
          <w:tcPr>
            <w:tcW w:w="568"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4536" w:type="dxa"/>
            <w:tcBorders>
              <w:right w:val="single" w:sz="4" w:space="0" w:color="auto"/>
            </w:tcBorders>
          </w:tcPr>
          <w:p w:rsidR="00EF187E" w:rsidRDefault="001E22A9">
            <w:pPr>
              <w:tabs>
                <w:tab w:val="left" w:pos="851"/>
              </w:tabs>
              <w:spacing w:line="240" w:lineRule="auto"/>
              <w:rPr>
                <w:rFonts w:ascii="Times New Roman" w:hAnsi="Times New Roman"/>
                <w:sz w:val="28"/>
                <w:szCs w:val="28"/>
                <w:lang w:eastAsia="ru-RU"/>
              </w:rPr>
            </w:pPr>
            <w:r>
              <w:rPr>
                <w:rFonts w:ascii="Times New Roman" w:hAnsi="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F187E" w:rsidRDefault="001E22A9">
            <w:pPr>
              <w:jc w:val="center"/>
              <w:rPr>
                <w:rFonts w:ascii="Times New Roman" w:hAnsi="Times New Roman"/>
                <w:bCs/>
                <w:color w:val="000000"/>
                <w:sz w:val="28"/>
                <w:szCs w:val="28"/>
              </w:rPr>
            </w:pPr>
            <w:r>
              <w:rPr>
                <w:rFonts w:ascii="Times New Roman" w:hAnsi="Times New Roman"/>
                <w:sz w:val="28"/>
                <w:szCs w:val="28"/>
                <w:lang w:eastAsia="uk-UA" w:bidi="uk-UA"/>
              </w:rPr>
              <w:t>38455103,8 грн</w:t>
            </w:r>
          </w:p>
        </w:tc>
        <w:tc>
          <w:tcPr>
            <w:tcW w:w="1985" w:type="dxa"/>
            <w:tcBorders>
              <w:top w:val="single" w:sz="4" w:space="0" w:color="auto"/>
              <w:left w:val="single" w:sz="4" w:space="0" w:color="auto"/>
              <w:bottom w:val="single" w:sz="4" w:space="0" w:color="auto"/>
              <w:right w:val="single" w:sz="4" w:space="0" w:color="auto"/>
            </w:tcBorders>
            <w:vAlign w:val="center"/>
          </w:tcPr>
          <w:p w:rsidR="00EF187E" w:rsidRDefault="001E22A9">
            <w:pPr>
              <w:jc w:val="center"/>
              <w:rPr>
                <w:rFonts w:ascii="Times New Roman" w:hAnsi="Times New Roman"/>
                <w:b/>
                <w:sz w:val="28"/>
                <w:szCs w:val="28"/>
                <w:lang w:eastAsia="uk-UA" w:bidi="uk-UA"/>
              </w:rPr>
            </w:pPr>
            <w:r>
              <w:rPr>
                <w:rFonts w:ascii="Times New Roman" w:hAnsi="Times New Roman"/>
                <w:bCs/>
                <w:color w:val="000000"/>
                <w:sz w:val="28"/>
                <w:szCs w:val="28"/>
              </w:rPr>
              <w:t>-</w:t>
            </w:r>
          </w:p>
        </w:tc>
      </w:tr>
      <w:tr w:rsidR="00EF187E">
        <w:tc>
          <w:tcPr>
            <w:tcW w:w="568"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4536" w:type="dxa"/>
            <w:tcBorders>
              <w:right w:val="single" w:sz="4" w:space="0" w:color="auto"/>
            </w:tcBorders>
          </w:tcPr>
          <w:p w:rsidR="00EF187E" w:rsidRDefault="001E22A9">
            <w:pPr>
              <w:tabs>
                <w:tab w:val="left" w:pos="851"/>
              </w:tabs>
              <w:spacing w:line="240" w:lineRule="auto"/>
              <w:rPr>
                <w:rFonts w:ascii="Times New Roman" w:hAnsi="Times New Roman"/>
                <w:sz w:val="28"/>
                <w:szCs w:val="28"/>
                <w:lang w:eastAsia="ru-RU"/>
              </w:rPr>
            </w:pPr>
            <w:r>
              <w:rPr>
                <w:rFonts w:ascii="Times New Roman" w:hAnsi="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F187E" w:rsidRDefault="001E22A9">
            <w:pPr>
              <w:jc w:val="center"/>
              <w:rPr>
                <w:rFonts w:ascii="Times New Roman" w:hAnsi="Times New Roman"/>
                <w:i/>
                <w:color w:val="000000"/>
                <w:sz w:val="28"/>
                <w:szCs w:val="28"/>
              </w:rPr>
            </w:pPr>
            <w:r>
              <w:rPr>
                <w:rFonts w:ascii="Times New Roman" w:hAnsi="Times New Roman"/>
                <w:sz w:val="28"/>
                <w:szCs w:val="28"/>
                <w:lang w:eastAsia="uk-UA" w:bidi="uk-UA"/>
              </w:rPr>
              <w:t>38455103,8 грн</w:t>
            </w:r>
          </w:p>
        </w:tc>
        <w:tc>
          <w:tcPr>
            <w:tcW w:w="1985" w:type="dxa"/>
            <w:tcBorders>
              <w:top w:val="single" w:sz="4" w:space="0" w:color="auto"/>
              <w:left w:val="single" w:sz="4" w:space="0" w:color="auto"/>
              <w:bottom w:val="single" w:sz="4" w:space="0" w:color="auto"/>
              <w:right w:val="single" w:sz="4" w:space="0" w:color="auto"/>
            </w:tcBorders>
            <w:vAlign w:val="center"/>
          </w:tcPr>
          <w:p w:rsidR="00EF187E" w:rsidRDefault="001E22A9">
            <w:pPr>
              <w:jc w:val="center"/>
              <w:rPr>
                <w:rFonts w:ascii="Times New Roman" w:hAnsi="Times New Roman"/>
                <w:i/>
                <w:color w:val="000000"/>
                <w:sz w:val="28"/>
                <w:szCs w:val="28"/>
              </w:rPr>
            </w:pPr>
            <w:r>
              <w:rPr>
                <w:rFonts w:ascii="Times New Roman" w:hAnsi="Times New Roman"/>
                <w:bCs/>
                <w:color w:val="000000"/>
                <w:sz w:val="28"/>
                <w:szCs w:val="28"/>
              </w:rPr>
              <w:t>-</w:t>
            </w:r>
          </w:p>
        </w:tc>
      </w:tr>
      <w:tr w:rsidR="00EF187E">
        <w:tc>
          <w:tcPr>
            <w:tcW w:w="568"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4536" w:type="dxa"/>
            <w:tcBorders>
              <w:right w:val="single" w:sz="4" w:space="0" w:color="auto"/>
            </w:tcBorders>
          </w:tcPr>
          <w:p w:rsidR="00EF187E" w:rsidRDefault="001E22A9">
            <w:pPr>
              <w:tabs>
                <w:tab w:val="left" w:pos="851"/>
              </w:tabs>
              <w:spacing w:line="240" w:lineRule="auto"/>
              <w:rPr>
                <w:rFonts w:ascii="Times New Roman" w:hAnsi="Times New Roman"/>
                <w:sz w:val="28"/>
                <w:szCs w:val="28"/>
                <w:lang w:eastAsia="ru-RU"/>
              </w:rPr>
            </w:pPr>
            <w:r>
              <w:rPr>
                <w:rFonts w:ascii="Times New Roman" w:hAnsi="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F187E" w:rsidRDefault="001E22A9">
            <w:pPr>
              <w:jc w:val="center"/>
              <w:rPr>
                <w:rFonts w:ascii="Times New Roman" w:hAnsi="Times New Roman"/>
                <w:bCs/>
                <w:color w:val="000000"/>
                <w:sz w:val="28"/>
                <w:szCs w:val="28"/>
              </w:rPr>
            </w:pPr>
            <w:r>
              <w:rPr>
                <w:rFonts w:ascii="Times New Roman" w:hAnsi="Times New Roman"/>
                <w:sz w:val="28"/>
                <w:szCs w:val="28"/>
                <w:lang w:eastAsia="ru-RU"/>
              </w:rPr>
              <w:t>2909279,1 грн</w:t>
            </w:r>
          </w:p>
        </w:tc>
        <w:tc>
          <w:tcPr>
            <w:tcW w:w="1985" w:type="dxa"/>
            <w:tcBorders>
              <w:top w:val="single" w:sz="4" w:space="0" w:color="auto"/>
              <w:left w:val="single" w:sz="4" w:space="0" w:color="auto"/>
              <w:bottom w:val="single" w:sz="4" w:space="0" w:color="auto"/>
              <w:right w:val="single" w:sz="4" w:space="0" w:color="auto"/>
            </w:tcBorders>
            <w:vAlign w:val="center"/>
          </w:tcPr>
          <w:p w:rsidR="00EF187E" w:rsidRDefault="001E22A9">
            <w:pPr>
              <w:jc w:val="center"/>
              <w:rPr>
                <w:rFonts w:ascii="Times New Roman" w:hAnsi="Times New Roman"/>
                <w:bCs/>
                <w:color w:val="000000"/>
                <w:sz w:val="28"/>
                <w:szCs w:val="28"/>
              </w:rPr>
            </w:pPr>
            <w:r>
              <w:rPr>
                <w:rFonts w:ascii="Times New Roman" w:hAnsi="Times New Roman"/>
                <w:bCs/>
                <w:color w:val="000000"/>
                <w:sz w:val="28"/>
                <w:szCs w:val="28"/>
              </w:rPr>
              <w:t>-</w:t>
            </w:r>
          </w:p>
        </w:tc>
      </w:tr>
      <w:tr w:rsidR="00EF187E">
        <w:tc>
          <w:tcPr>
            <w:tcW w:w="568" w:type="dxa"/>
          </w:tcPr>
          <w:p w:rsidR="00EF187E" w:rsidRDefault="001E22A9">
            <w:pPr>
              <w:tabs>
                <w:tab w:val="left" w:pos="851"/>
              </w:tabs>
              <w:spacing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4536" w:type="dxa"/>
          </w:tcPr>
          <w:p w:rsidR="00EF187E" w:rsidRDefault="001E22A9">
            <w:pPr>
              <w:tabs>
                <w:tab w:val="left" w:pos="851"/>
              </w:tabs>
              <w:spacing w:line="240" w:lineRule="auto"/>
              <w:rPr>
                <w:rFonts w:ascii="Times New Roman" w:hAnsi="Times New Roman"/>
                <w:sz w:val="28"/>
                <w:szCs w:val="28"/>
                <w:lang w:eastAsia="ru-RU"/>
              </w:rPr>
            </w:pPr>
            <w:r>
              <w:rPr>
                <w:rFonts w:ascii="Times New Roman" w:hAnsi="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EF187E" w:rsidRDefault="001E22A9">
            <w:pPr>
              <w:jc w:val="center"/>
              <w:rPr>
                <w:rFonts w:ascii="Times New Roman" w:hAnsi="Times New Roman"/>
                <w:color w:val="000000"/>
                <w:sz w:val="28"/>
                <w:szCs w:val="28"/>
              </w:rPr>
            </w:pPr>
            <w:r>
              <w:rPr>
                <w:rFonts w:ascii="Times New Roman" w:hAnsi="Times New Roman"/>
                <w:color w:val="000000"/>
                <w:sz w:val="28"/>
                <w:szCs w:val="28"/>
              </w:rPr>
              <w:t>41364382,9 грн</w:t>
            </w:r>
          </w:p>
        </w:tc>
        <w:tc>
          <w:tcPr>
            <w:tcW w:w="1985" w:type="dxa"/>
            <w:tcBorders>
              <w:top w:val="single" w:sz="4" w:space="0" w:color="auto"/>
              <w:left w:val="nil"/>
              <w:bottom w:val="single" w:sz="4" w:space="0" w:color="auto"/>
              <w:right w:val="single" w:sz="4" w:space="0" w:color="auto"/>
            </w:tcBorders>
            <w:vAlign w:val="center"/>
          </w:tcPr>
          <w:p w:rsidR="00EF187E" w:rsidRDefault="001E22A9">
            <w:pPr>
              <w:jc w:val="center"/>
              <w:rPr>
                <w:rFonts w:ascii="Times New Roman" w:hAnsi="Times New Roman"/>
                <w:b/>
                <w:color w:val="000000"/>
                <w:sz w:val="28"/>
                <w:szCs w:val="28"/>
              </w:rPr>
            </w:pPr>
            <w:r>
              <w:rPr>
                <w:rFonts w:ascii="Times New Roman" w:hAnsi="Times New Roman"/>
                <w:bCs/>
                <w:color w:val="000000"/>
                <w:sz w:val="28"/>
                <w:szCs w:val="28"/>
              </w:rPr>
              <w:t>-</w:t>
            </w:r>
          </w:p>
        </w:tc>
      </w:tr>
    </w:tbl>
    <w:p w:rsidR="00EF187E" w:rsidRDefault="00EF187E">
      <w:pPr>
        <w:widowControl w:val="0"/>
        <w:spacing w:after="0" w:line="240" w:lineRule="auto"/>
        <w:ind w:firstLine="709"/>
        <w:jc w:val="both"/>
        <w:rPr>
          <w:rFonts w:ascii="Times New Roman" w:hAnsi="Times New Roman"/>
          <w:sz w:val="28"/>
          <w:szCs w:val="28"/>
          <w:lang w:eastAsia="uk-UA" w:bidi="uk-UA"/>
        </w:rPr>
      </w:pPr>
    </w:p>
    <w:p w:rsidR="00EF187E" w:rsidRDefault="001E22A9">
      <w:pPr>
        <w:widowControl w:val="0"/>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bidi="uk-UA"/>
        </w:rPr>
        <w:t>5. Розроблення корегуючих (пом’якшувальних) заходів для малого підприємництва щодо запропонованого регулювання</w:t>
      </w:r>
    </w:p>
    <w:p w:rsidR="00EF187E" w:rsidRDefault="001E22A9">
      <w:pPr>
        <w:widowControl w:val="0"/>
        <w:spacing w:after="0" w:line="240" w:lineRule="auto"/>
        <w:ind w:firstLine="709"/>
        <w:jc w:val="both"/>
        <w:rPr>
          <w:rFonts w:ascii="Times New Roman" w:hAnsi="Times New Roman"/>
          <w:sz w:val="28"/>
          <w:szCs w:val="28"/>
          <w:lang w:eastAsia="uk-UA" w:bidi="uk-UA"/>
        </w:rPr>
      </w:pPr>
      <w:r>
        <w:rPr>
          <w:rFonts w:ascii="Times New Roman" w:hAnsi="Times New Roman"/>
          <w:sz w:val="28"/>
          <w:szCs w:val="28"/>
          <w:lang w:eastAsia="uk-UA" w:bidi="uk-UA"/>
        </w:rPr>
        <w:t>Запропоноване регулювання планується без розроблення компенсаторів (корегуючих (пом’якшувальних) заходів) для малого підприємництва.</w:t>
      </w:r>
    </w:p>
    <w:p w:rsidR="00EF187E" w:rsidRDefault="00EF187E">
      <w:pPr>
        <w:widowControl w:val="0"/>
        <w:spacing w:after="0" w:line="240" w:lineRule="auto"/>
        <w:ind w:firstLine="709"/>
        <w:jc w:val="both"/>
        <w:rPr>
          <w:rFonts w:ascii="Times New Roman" w:hAnsi="Times New Roman"/>
          <w:sz w:val="28"/>
          <w:szCs w:val="28"/>
          <w:lang w:eastAsia="uk-UA" w:bidi="uk-UA"/>
        </w:rPr>
      </w:pPr>
    </w:p>
    <w:p w:rsidR="00EF187E" w:rsidRDefault="00EF187E">
      <w:pPr>
        <w:widowControl w:val="0"/>
        <w:spacing w:after="0" w:line="240" w:lineRule="auto"/>
        <w:jc w:val="both"/>
        <w:rPr>
          <w:rFonts w:ascii="Times New Roman" w:hAnsi="Times New Roman"/>
          <w:sz w:val="28"/>
          <w:szCs w:val="28"/>
          <w:lang w:eastAsia="uk-UA" w:bidi="uk-UA"/>
        </w:rPr>
      </w:pPr>
    </w:p>
    <w:p w:rsidR="00EF187E" w:rsidRDefault="001E22A9">
      <w:pPr>
        <w:widowControl w:val="0"/>
        <w:spacing w:after="0" w:line="240" w:lineRule="auto"/>
        <w:jc w:val="both"/>
        <w:rPr>
          <w:rFonts w:ascii="Times New Roman" w:hAnsi="Times New Roman"/>
          <w:sz w:val="28"/>
          <w:szCs w:val="28"/>
          <w:lang w:eastAsia="uk-UA" w:bidi="uk-UA"/>
        </w:rPr>
      </w:pPr>
      <w:r>
        <w:rPr>
          <w:rFonts w:ascii="Times New Roman" w:hAnsi="Times New Roman"/>
          <w:sz w:val="28"/>
          <w:lang w:eastAsia="uk-UA" w:bidi="uk-UA"/>
        </w:rPr>
        <w:t>Міністр</w:t>
      </w:r>
      <w:r>
        <w:rPr>
          <w:rFonts w:ascii="Times New Roman" w:hAnsi="Times New Roman"/>
          <w:sz w:val="28"/>
          <w:lang w:eastAsia="uk-UA" w:bidi="uk-UA"/>
        </w:rPr>
        <w:tab/>
      </w:r>
      <w:r>
        <w:rPr>
          <w:rFonts w:ascii="Times New Roman" w:hAnsi="Times New Roman"/>
          <w:sz w:val="28"/>
          <w:lang w:eastAsia="uk-UA" w:bidi="uk-UA"/>
        </w:rPr>
        <w:tab/>
      </w:r>
      <w:r>
        <w:rPr>
          <w:rFonts w:ascii="Times New Roman" w:hAnsi="Times New Roman"/>
          <w:sz w:val="28"/>
          <w:lang w:eastAsia="uk-UA" w:bidi="uk-UA"/>
        </w:rPr>
        <w:tab/>
      </w:r>
      <w:r>
        <w:rPr>
          <w:rFonts w:ascii="Times New Roman" w:hAnsi="Times New Roman"/>
          <w:sz w:val="28"/>
          <w:lang w:eastAsia="uk-UA" w:bidi="uk-UA"/>
        </w:rPr>
        <w:tab/>
      </w:r>
      <w:r>
        <w:rPr>
          <w:rFonts w:ascii="Times New Roman" w:hAnsi="Times New Roman"/>
          <w:sz w:val="28"/>
          <w:lang w:eastAsia="uk-UA" w:bidi="uk-UA"/>
        </w:rPr>
        <w:tab/>
      </w:r>
      <w:r>
        <w:rPr>
          <w:rFonts w:ascii="Times New Roman" w:hAnsi="Times New Roman"/>
          <w:sz w:val="28"/>
          <w:lang w:eastAsia="uk-UA" w:bidi="uk-UA"/>
        </w:rPr>
        <w:tab/>
      </w:r>
      <w:r>
        <w:rPr>
          <w:rFonts w:ascii="Times New Roman" w:hAnsi="Times New Roman"/>
          <w:sz w:val="28"/>
          <w:lang w:eastAsia="uk-UA" w:bidi="uk-UA"/>
        </w:rPr>
        <w:tab/>
      </w:r>
      <w:r>
        <w:rPr>
          <w:rFonts w:ascii="Times New Roman" w:hAnsi="Times New Roman"/>
          <w:sz w:val="28"/>
          <w:lang w:eastAsia="uk-UA" w:bidi="uk-UA"/>
        </w:rPr>
        <w:tab/>
        <w:t xml:space="preserve">            Сергій ШКАРЛЕТ</w:t>
      </w:r>
    </w:p>
    <w:p w:rsidR="00EF187E" w:rsidRDefault="00EF187E">
      <w:pPr>
        <w:spacing w:after="0" w:line="240" w:lineRule="auto"/>
        <w:rPr>
          <w:rFonts w:ascii="Times New Roman" w:hAnsi="Times New Roman"/>
          <w:sz w:val="28"/>
          <w:szCs w:val="28"/>
        </w:rPr>
      </w:pPr>
    </w:p>
    <w:sectPr w:rsidR="00EF187E">
      <w:headerReference w:type="default" r:id="rId8"/>
      <w:pgSz w:w="11906" w:h="16838"/>
      <w:pgMar w:top="1134" w:right="566" w:bottom="709"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0D" w:rsidRDefault="00D3690D">
      <w:pPr>
        <w:spacing w:after="0" w:line="240" w:lineRule="auto"/>
      </w:pPr>
    </w:p>
  </w:endnote>
  <w:endnote w:type="continuationSeparator" w:id="0">
    <w:p w:rsidR="00D3690D" w:rsidRDefault="00D36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0D" w:rsidRDefault="00D3690D">
      <w:pPr>
        <w:spacing w:after="0" w:line="240" w:lineRule="auto"/>
      </w:pPr>
    </w:p>
  </w:footnote>
  <w:footnote w:type="continuationSeparator" w:id="0">
    <w:p w:rsidR="00D3690D" w:rsidRDefault="00D3690D">
      <w:pPr>
        <w:spacing w:after="0" w:line="240" w:lineRule="auto"/>
      </w:pPr>
    </w:p>
  </w:footnote>
  <w:footnote w:id="1">
    <w:p w:rsidR="001E22A9" w:rsidRDefault="001E22A9">
      <w:pPr>
        <w:tabs>
          <w:tab w:val="left" w:pos="851"/>
        </w:tabs>
        <w:jc w:val="both"/>
      </w:pPr>
      <w:r>
        <w:rPr>
          <w:rStyle w:val="af7"/>
        </w:rPr>
        <w:footnoteRef/>
      </w:r>
      <w:r>
        <w:t xml:space="preserve">  </w:t>
      </w:r>
      <w:r>
        <w:rPr>
          <w:rFonts w:ascii="Times New Roman" w:hAnsi="Times New Roman"/>
        </w:rPr>
        <w:t>За вартість часу взято 79,3 грн, оскільки за даними Пенсійного фонду України показник середньої заробітної плати за червень 2022 р. становить 13 957,63 грн (https://www.pfu.gov.ua/2152284-pokaznyk-serednoyi-zarobitnoyi-platy-za-2022-rik/). Формула: середня заробітна плата на кількість робочих днів та кількість робочих годин.</w:t>
      </w:r>
      <w:r>
        <w:rPr>
          <w:rFonts w:ascii="Arial" w:hAnsi="Arial"/>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A9" w:rsidRDefault="001E22A9">
    <w:pPr>
      <w:pStyle w:val="a4"/>
      <w:spacing w:after="12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566838" w:rsidRPr="00566838">
      <w:rPr>
        <w:rFonts w:ascii="Times New Roman" w:hAnsi="Times New Roman"/>
        <w:noProof/>
        <w:sz w:val="24"/>
        <w:szCs w:val="24"/>
        <w:lang w:val="ru-RU"/>
      </w:rPr>
      <w:t>9</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A26"/>
    <w:multiLevelType w:val="hybridMultilevel"/>
    <w:tmpl w:val="52863348"/>
    <w:lvl w:ilvl="0" w:tplc="E77CFD88">
      <w:start w:val="1"/>
      <w:numFmt w:val="bullet"/>
      <w:lvlText w:val="-"/>
      <w:lvlJc w:val="left"/>
      <w:pPr>
        <w:ind w:left="2027" w:hanging="1176"/>
      </w:pPr>
      <w:rPr>
        <w:rFonts w:ascii="Times New Roman" w:hAnsi="Times New Roman"/>
      </w:rPr>
    </w:lvl>
    <w:lvl w:ilvl="1" w:tplc="04220003">
      <w:start w:val="1"/>
      <w:numFmt w:val="bullet"/>
      <w:lvlText w:val="o"/>
      <w:lvlJc w:val="left"/>
      <w:pPr>
        <w:ind w:left="1931" w:hanging="360"/>
      </w:pPr>
      <w:rPr>
        <w:rFonts w:ascii="Courier New" w:hAnsi="Courier New"/>
      </w:rPr>
    </w:lvl>
    <w:lvl w:ilvl="2" w:tplc="04220005">
      <w:start w:val="1"/>
      <w:numFmt w:val="bullet"/>
      <w:lvlText w:val=""/>
      <w:lvlJc w:val="left"/>
      <w:pPr>
        <w:ind w:left="2651" w:hanging="360"/>
      </w:pPr>
      <w:rPr>
        <w:rFonts w:ascii="Wingdings" w:hAnsi="Wingdings"/>
      </w:rPr>
    </w:lvl>
    <w:lvl w:ilvl="3" w:tplc="04220001">
      <w:start w:val="1"/>
      <w:numFmt w:val="bullet"/>
      <w:lvlText w:val=""/>
      <w:lvlJc w:val="left"/>
      <w:pPr>
        <w:ind w:left="3371" w:hanging="360"/>
      </w:pPr>
      <w:rPr>
        <w:rFonts w:ascii="Symbol" w:hAnsi="Symbol"/>
      </w:rPr>
    </w:lvl>
    <w:lvl w:ilvl="4" w:tplc="04220003">
      <w:start w:val="1"/>
      <w:numFmt w:val="bullet"/>
      <w:lvlText w:val="o"/>
      <w:lvlJc w:val="left"/>
      <w:pPr>
        <w:ind w:left="4091" w:hanging="360"/>
      </w:pPr>
      <w:rPr>
        <w:rFonts w:ascii="Courier New" w:hAnsi="Courier New"/>
      </w:rPr>
    </w:lvl>
    <w:lvl w:ilvl="5" w:tplc="04220005">
      <w:start w:val="1"/>
      <w:numFmt w:val="bullet"/>
      <w:lvlText w:val=""/>
      <w:lvlJc w:val="left"/>
      <w:pPr>
        <w:ind w:left="4811" w:hanging="360"/>
      </w:pPr>
      <w:rPr>
        <w:rFonts w:ascii="Wingdings" w:hAnsi="Wingdings"/>
      </w:rPr>
    </w:lvl>
    <w:lvl w:ilvl="6" w:tplc="04220001">
      <w:start w:val="1"/>
      <w:numFmt w:val="bullet"/>
      <w:lvlText w:val=""/>
      <w:lvlJc w:val="left"/>
      <w:pPr>
        <w:ind w:left="5531" w:hanging="360"/>
      </w:pPr>
      <w:rPr>
        <w:rFonts w:ascii="Symbol" w:hAnsi="Symbol"/>
      </w:rPr>
    </w:lvl>
    <w:lvl w:ilvl="7" w:tplc="04220003">
      <w:start w:val="1"/>
      <w:numFmt w:val="bullet"/>
      <w:lvlText w:val="o"/>
      <w:lvlJc w:val="left"/>
      <w:pPr>
        <w:ind w:left="6251" w:hanging="360"/>
      </w:pPr>
      <w:rPr>
        <w:rFonts w:ascii="Courier New" w:hAnsi="Courier New"/>
      </w:rPr>
    </w:lvl>
    <w:lvl w:ilvl="8" w:tplc="04220005">
      <w:start w:val="1"/>
      <w:numFmt w:val="bullet"/>
      <w:lvlText w:val=""/>
      <w:lvlJc w:val="left"/>
      <w:pPr>
        <w:ind w:left="6971" w:hanging="360"/>
      </w:pPr>
      <w:rPr>
        <w:rFonts w:ascii="Wingdings" w:hAnsi="Wingdings"/>
      </w:rPr>
    </w:lvl>
  </w:abstractNum>
  <w:abstractNum w:abstractNumId="1" w15:restartNumberingAfterBreak="0">
    <w:nsid w:val="14AF3571"/>
    <w:multiLevelType w:val="hybridMultilevel"/>
    <w:tmpl w:val="22C4FC5A"/>
    <w:lvl w:ilvl="0" w:tplc="63BCA23E">
      <w:start w:val="1"/>
      <w:numFmt w:val="bullet"/>
      <w:lvlText w:val="−"/>
      <w:lvlJc w:val="left"/>
      <w:pPr>
        <w:ind w:left="1571" w:hanging="360"/>
      </w:pPr>
      <w:rPr>
        <w:rFonts w:ascii="Times New Roman" w:hAnsi="Times New Roman"/>
      </w:rPr>
    </w:lvl>
    <w:lvl w:ilvl="1" w:tplc="04220003">
      <w:start w:val="1"/>
      <w:numFmt w:val="bullet"/>
      <w:lvlText w:val="o"/>
      <w:lvlJc w:val="left"/>
      <w:pPr>
        <w:ind w:left="2291" w:hanging="360"/>
      </w:pPr>
      <w:rPr>
        <w:rFonts w:ascii="Courier New" w:hAnsi="Courier New"/>
      </w:rPr>
    </w:lvl>
    <w:lvl w:ilvl="2" w:tplc="04220005">
      <w:start w:val="1"/>
      <w:numFmt w:val="bullet"/>
      <w:lvlText w:val=""/>
      <w:lvlJc w:val="left"/>
      <w:pPr>
        <w:ind w:left="3011" w:hanging="360"/>
      </w:pPr>
      <w:rPr>
        <w:rFonts w:ascii="Wingdings" w:hAnsi="Wingdings"/>
      </w:rPr>
    </w:lvl>
    <w:lvl w:ilvl="3" w:tplc="04220001">
      <w:start w:val="1"/>
      <w:numFmt w:val="bullet"/>
      <w:lvlText w:val=""/>
      <w:lvlJc w:val="left"/>
      <w:pPr>
        <w:ind w:left="3731" w:hanging="360"/>
      </w:pPr>
      <w:rPr>
        <w:rFonts w:ascii="Symbol" w:hAnsi="Symbol"/>
      </w:rPr>
    </w:lvl>
    <w:lvl w:ilvl="4" w:tplc="04220003">
      <w:start w:val="1"/>
      <w:numFmt w:val="bullet"/>
      <w:lvlText w:val="o"/>
      <w:lvlJc w:val="left"/>
      <w:pPr>
        <w:ind w:left="4451" w:hanging="360"/>
      </w:pPr>
      <w:rPr>
        <w:rFonts w:ascii="Courier New" w:hAnsi="Courier New"/>
      </w:rPr>
    </w:lvl>
    <w:lvl w:ilvl="5" w:tplc="04220005">
      <w:start w:val="1"/>
      <w:numFmt w:val="bullet"/>
      <w:lvlText w:val=""/>
      <w:lvlJc w:val="left"/>
      <w:pPr>
        <w:ind w:left="5171" w:hanging="360"/>
      </w:pPr>
      <w:rPr>
        <w:rFonts w:ascii="Wingdings" w:hAnsi="Wingdings"/>
      </w:rPr>
    </w:lvl>
    <w:lvl w:ilvl="6" w:tplc="04220001">
      <w:start w:val="1"/>
      <w:numFmt w:val="bullet"/>
      <w:lvlText w:val=""/>
      <w:lvlJc w:val="left"/>
      <w:pPr>
        <w:ind w:left="5891" w:hanging="360"/>
      </w:pPr>
      <w:rPr>
        <w:rFonts w:ascii="Symbol" w:hAnsi="Symbol"/>
      </w:rPr>
    </w:lvl>
    <w:lvl w:ilvl="7" w:tplc="04220003">
      <w:start w:val="1"/>
      <w:numFmt w:val="bullet"/>
      <w:lvlText w:val="o"/>
      <w:lvlJc w:val="left"/>
      <w:pPr>
        <w:ind w:left="6611" w:hanging="360"/>
      </w:pPr>
      <w:rPr>
        <w:rFonts w:ascii="Courier New" w:hAnsi="Courier New"/>
      </w:rPr>
    </w:lvl>
    <w:lvl w:ilvl="8" w:tplc="04220005">
      <w:start w:val="1"/>
      <w:numFmt w:val="bullet"/>
      <w:lvlText w:val=""/>
      <w:lvlJc w:val="left"/>
      <w:pPr>
        <w:ind w:left="7331" w:hanging="360"/>
      </w:pPr>
      <w:rPr>
        <w:rFonts w:ascii="Wingdings" w:hAnsi="Wingdings"/>
      </w:rPr>
    </w:lvl>
  </w:abstractNum>
  <w:abstractNum w:abstractNumId="2" w15:restartNumberingAfterBreak="0">
    <w:nsid w:val="14D01BCB"/>
    <w:multiLevelType w:val="hybridMultilevel"/>
    <w:tmpl w:val="4E8CC24E"/>
    <w:lvl w:ilvl="0" w:tplc="E326C474">
      <w:start w:val="1"/>
      <w:numFmt w:val="bullet"/>
      <w:lvlText w:val="-"/>
      <w:lvlJc w:val="left"/>
      <w:pPr>
        <w:ind w:left="1919" w:hanging="1068"/>
      </w:pPr>
      <w:rPr>
        <w:rFonts w:ascii="Times New Roman" w:hAnsi="Times New Roman"/>
      </w:rPr>
    </w:lvl>
    <w:lvl w:ilvl="1" w:tplc="04220003">
      <w:start w:val="1"/>
      <w:numFmt w:val="bullet"/>
      <w:lvlText w:val="o"/>
      <w:lvlJc w:val="left"/>
      <w:pPr>
        <w:ind w:left="1931" w:hanging="360"/>
      </w:pPr>
      <w:rPr>
        <w:rFonts w:ascii="Courier New" w:hAnsi="Courier New"/>
      </w:rPr>
    </w:lvl>
    <w:lvl w:ilvl="2" w:tplc="04220005">
      <w:start w:val="1"/>
      <w:numFmt w:val="bullet"/>
      <w:lvlText w:val=""/>
      <w:lvlJc w:val="left"/>
      <w:pPr>
        <w:ind w:left="2651" w:hanging="360"/>
      </w:pPr>
      <w:rPr>
        <w:rFonts w:ascii="Wingdings" w:hAnsi="Wingdings"/>
      </w:rPr>
    </w:lvl>
    <w:lvl w:ilvl="3" w:tplc="04220001">
      <w:start w:val="1"/>
      <w:numFmt w:val="bullet"/>
      <w:lvlText w:val=""/>
      <w:lvlJc w:val="left"/>
      <w:pPr>
        <w:ind w:left="3371" w:hanging="360"/>
      </w:pPr>
      <w:rPr>
        <w:rFonts w:ascii="Symbol" w:hAnsi="Symbol"/>
      </w:rPr>
    </w:lvl>
    <w:lvl w:ilvl="4" w:tplc="04220003">
      <w:start w:val="1"/>
      <w:numFmt w:val="bullet"/>
      <w:lvlText w:val="o"/>
      <w:lvlJc w:val="left"/>
      <w:pPr>
        <w:ind w:left="4091" w:hanging="360"/>
      </w:pPr>
      <w:rPr>
        <w:rFonts w:ascii="Courier New" w:hAnsi="Courier New"/>
      </w:rPr>
    </w:lvl>
    <w:lvl w:ilvl="5" w:tplc="04220005">
      <w:start w:val="1"/>
      <w:numFmt w:val="bullet"/>
      <w:lvlText w:val=""/>
      <w:lvlJc w:val="left"/>
      <w:pPr>
        <w:ind w:left="4811" w:hanging="360"/>
      </w:pPr>
      <w:rPr>
        <w:rFonts w:ascii="Wingdings" w:hAnsi="Wingdings"/>
      </w:rPr>
    </w:lvl>
    <w:lvl w:ilvl="6" w:tplc="04220001">
      <w:start w:val="1"/>
      <w:numFmt w:val="bullet"/>
      <w:lvlText w:val=""/>
      <w:lvlJc w:val="left"/>
      <w:pPr>
        <w:ind w:left="5531" w:hanging="360"/>
      </w:pPr>
      <w:rPr>
        <w:rFonts w:ascii="Symbol" w:hAnsi="Symbol"/>
      </w:rPr>
    </w:lvl>
    <w:lvl w:ilvl="7" w:tplc="04220003">
      <w:start w:val="1"/>
      <w:numFmt w:val="bullet"/>
      <w:lvlText w:val="o"/>
      <w:lvlJc w:val="left"/>
      <w:pPr>
        <w:ind w:left="6251" w:hanging="360"/>
      </w:pPr>
      <w:rPr>
        <w:rFonts w:ascii="Courier New" w:hAnsi="Courier New"/>
      </w:rPr>
    </w:lvl>
    <w:lvl w:ilvl="8" w:tplc="04220005">
      <w:start w:val="1"/>
      <w:numFmt w:val="bullet"/>
      <w:lvlText w:val=""/>
      <w:lvlJc w:val="left"/>
      <w:pPr>
        <w:ind w:left="6971" w:hanging="360"/>
      </w:pPr>
      <w:rPr>
        <w:rFonts w:ascii="Wingdings" w:hAnsi="Wingdings"/>
      </w:rPr>
    </w:lvl>
  </w:abstractNum>
  <w:abstractNum w:abstractNumId="3" w15:restartNumberingAfterBreak="0">
    <w:nsid w:val="20505F29"/>
    <w:multiLevelType w:val="hybridMultilevel"/>
    <w:tmpl w:val="FEC429AA"/>
    <w:lvl w:ilvl="0" w:tplc="88AA4E32">
      <w:start w:val="8"/>
      <w:numFmt w:val="bullet"/>
      <w:lvlText w:val="-"/>
      <w:lvlJc w:val="left"/>
      <w:pPr>
        <w:ind w:left="927" w:hanging="360"/>
      </w:pPr>
      <w:rPr>
        <w:rFonts w:ascii="Times New Roman" w:hAnsi="Times New Roman"/>
        <w:color w:val="FF0000"/>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4" w15:restartNumberingAfterBreak="0">
    <w:nsid w:val="20F63BE7"/>
    <w:multiLevelType w:val="hybridMultilevel"/>
    <w:tmpl w:val="4606AB20"/>
    <w:lvl w:ilvl="0" w:tplc="ADA417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46146B1"/>
    <w:multiLevelType w:val="hybridMultilevel"/>
    <w:tmpl w:val="F8CE7F50"/>
    <w:lvl w:ilvl="0" w:tplc="0422000B">
      <w:start w:val="1"/>
      <w:numFmt w:val="bullet"/>
      <w:lvlText w:val=""/>
      <w:lvlJc w:val="left"/>
      <w:pPr>
        <w:ind w:left="720" w:hanging="360"/>
      </w:pPr>
      <w:rPr>
        <w:rFonts w:ascii="Wingdings" w:hAnsi="Wingdings"/>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6" w15:restartNumberingAfterBreak="0">
    <w:nsid w:val="24CB2650"/>
    <w:multiLevelType w:val="hybridMultilevel"/>
    <w:tmpl w:val="DD440DA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8546893"/>
    <w:multiLevelType w:val="hybridMultilevel"/>
    <w:tmpl w:val="DDD6DAAC"/>
    <w:lvl w:ilvl="0" w:tplc="EFCACDE0">
      <w:start w:val="2"/>
      <w:numFmt w:val="bullet"/>
      <w:lvlText w:val="-"/>
      <w:lvlJc w:val="left"/>
      <w:pPr>
        <w:ind w:left="360" w:hanging="360"/>
      </w:pPr>
      <w:rPr>
        <w:rFonts w:ascii="Times New Roman" w:hAnsi="Times New Roman"/>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8" w15:restartNumberingAfterBreak="0">
    <w:nsid w:val="2E0B0F43"/>
    <w:multiLevelType w:val="hybridMultilevel"/>
    <w:tmpl w:val="6EA41B52"/>
    <w:lvl w:ilvl="0" w:tplc="874009DC">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255704D"/>
    <w:multiLevelType w:val="hybridMultilevel"/>
    <w:tmpl w:val="6E8C5BDE"/>
    <w:lvl w:ilvl="0" w:tplc="457E42D2">
      <w:start w:val="1"/>
      <w:numFmt w:val="upperRoman"/>
      <w:lvlText w:val="%1."/>
      <w:lvlJc w:val="left"/>
      <w:pPr>
        <w:ind w:left="1080" w:hanging="7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46A1531F"/>
    <w:multiLevelType w:val="hybridMultilevel"/>
    <w:tmpl w:val="B6E0283A"/>
    <w:lvl w:ilvl="0" w:tplc="8408C1AA">
      <w:start w:val="2"/>
      <w:numFmt w:val="bullet"/>
      <w:lvlText w:val="-"/>
      <w:lvlJc w:val="left"/>
      <w:pPr>
        <w:ind w:left="786" w:hanging="360"/>
      </w:pPr>
      <w:rPr>
        <w:rFonts w:ascii="Times New Roman" w:hAnsi="Times New Roman"/>
      </w:rPr>
    </w:lvl>
    <w:lvl w:ilvl="1" w:tplc="04220003">
      <w:start w:val="1"/>
      <w:numFmt w:val="bullet"/>
      <w:lvlText w:val="o"/>
      <w:lvlJc w:val="left"/>
      <w:pPr>
        <w:ind w:left="1506" w:hanging="360"/>
      </w:pPr>
      <w:rPr>
        <w:rFonts w:ascii="Courier New" w:hAnsi="Courier New"/>
      </w:rPr>
    </w:lvl>
    <w:lvl w:ilvl="2" w:tplc="04220005">
      <w:start w:val="1"/>
      <w:numFmt w:val="bullet"/>
      <w:lvlText w:val=""/>
      <w:lvlJc w:val="left"/>
      <w:pPr>
        <w:ind w:left="2226" w:hanging="360"/>
      </w:pPr>
      <w:rPr>
        <w:rFonts w:ascii="Wingdings" w:hAnsi="Wingdings"/>
      </w:rPr>
    </w:lvl>
    <w:lvl w:ilvl="3" w:tplc="04220001">
      <w:start w:val="1"/>
      <w:numFmt w:val="bullet"/>
      <w:lvlText w:val=""/>
      <w:lvlJc w:val="left"/>
      <w:pPr>
        <w:ind w:left="2946" w:hanging="360"/>
      </w:pPr>
      <w:rPr>
        <w:rFonts w:ascii="Symbol" w:hAnsi="Symbol"/>
      </w:rPr>
    </w:lvl>
    <w:lvl w:ilvl="4" w:tplc="04220003">
      <w:start w:val="1"/>
      <w:numFmt w:val="bullet"/>
      <w:lvlText w:val="o"/>
      <w:lvlJc w:val="left"/>
      <w:pPr>
        <w:ind w:left="3666" w:hanging="360"/>
      </w:pPr>
      <w:rPr>
        <w:rFonts w:ascii="Courier New" w:hAnsi="Courier New"/>
      </w:rPr>
    </w:lvl>
    <w:lvl w:ilvl="5" w:tplc="04220005">
      <w:start w:val="1"/>
      <w:numFmt w:val="bullet"/>
      <w:lvlText w:val=""/>
      <w:lvlJc w:val="left"/>
      <w:pPr>
        <w:ind w:left="4386" w:hanging="360"/>
      </w:pPr>
      <w:rPr>
        <w:rFonts w:ascii="Wingdings" w:hAnsi="Wingdings"/>
      </w:rPr>
    </w:lvl>
    <w:lvl w:ilvl="6" w:tplc="04220001">
      <w:start w:val="1"/>
      <w:numFmt w:val="bullet"/>
      <w:lvlText w:val=""/>
      <w:lvlJc w:val="left"/>
      <w:pPr>
        <w:ind w:left="5106" w:hanging="360"/>
      </w:pPr>
      <w:rPr>
        <w:rFonts w:ascii="Symbol" w:hAnsi="Symbol"/>
      </w:rPr>
    </w:lvl>
    <w:lvl w:ilvl="7" w:tplc="04220003">
      <w:start w:val="1"/>
      <w:numFmt w:val="bullet"/>
      <w:lvlText w:val="o"/>
      <w:lvlJc w:val="left"/>
      <w:pPr>
        <w:ind w:left="5826" w:hanging="360"/>
      </w:pPr>
      <w:rPr>
        <w:rFonts w:ascii="Courier New" w:hAnsi="Courier New"/>
      </w:rPr>
    </w:lvl>
    <w:lvl w:ilvl="8" w:tplc="04220005">
      <w:start w:val="1"/>
      <w:numFmt w:val="bullet"/>
      <w:lvlText w:val=""/>
      <w:lvlJc w:val="left"/>
      <w:pPr>
        <w:ind w:left="6546" w:hanging="360"/>
      </w:pPr>
      <w:rPr>
        <w:rFonts w:ascii="Wingdings" w:hAnsi="Wingdings"/>
      </w:rPr>
    </w:lvl>
  </w:abstractNum>
  <w:abstractNum w:abstractNumId="11" w15:restartNumberingAfterBreak="0">
    <w:nsid w:val="52264D02"/>
    <w:multiLevelType w:val="hybridMultilevel"/>
    <w:tmpl w:val="117AD390"/>
    <w:lvl w:ilvl="0" w:tplc="63BCA23E">
      <w:start w:val="1"/>
      <w:numFmt w:val="bullet"/>
      <w:lvlText w:val="−"/>
      <w:lvlJc w:val="left"/>
      <w:pPr>
        <w:ind w:left="1571" w:hanging="360"/>
      </w:pPr>
      <w:rPr>
        <w:rFonts w:ascii="Times New Roman" w:hAnsi="Times New Roman"/>
      </w:rPr>
    </w:lvl>
    <w:lvl w:ilvl="1" w:tplc="04220003">
      <w:start w:val="1"/>
      <w:numFmt w:val="bullet"/>
      <w:lvlText w:val="o"/>
      <w:lvlJc w:val="left"/>
      <w:pPr>
        <w:ind w:left="2291" w:hanging="360"/>
      </w:pPr>
      <w:rPr>
        <w:rFonts w:ascii="Courier New" w:hAnsi="Courier New"/>
      </w:rPr>
    </w:lvl>
    <w:lvl w:ilvl="2" w:tplc="04220005">
      <w:start w:val="1"/>
      <w:numFmt w:val="bullet"/>
      <w:lvlText w:val=""/>
      <w:lvlJc w:val="left"/>
      <w:pPr>
        <w:ind w:left="3011" w:hanging="360"/>
      </w:pPr>
      <w:rPr>
        <w:rFonts w:ascii="Wingdings" w:hAnsi="Wingdings"/>
      </w:rPr>
    </w:lvl>
    <w:lvl w:ilvl="3" w:tplc="04220001">
      <w:start w:val="1"/>
      <w:numFmt w:val="bullet"/>
      <w:lvlText w:val=""/>
      <w:lvlJc w:val="left"/>
      <w:pPr>
        <w:ind w:left="3731" w:hanging="360"/>
      </w:pPr>
      <w:rPr>
        <w:rFonts w:ascii="Symbol" w:hAnsi="Symbol"/>
      </w:rPr>
    </w:lvl>
    <w:lvl w:ilvl="4" w:tplc="04220003">
      <w:start w:val="1"/>
      <w:numFmt w:val="bullet"/>
      <w:lvlText w:val="o"/>
      <w:lvlJc w:val="left"/>
      <w:pPr>
        <w:ind w:left="4451" w:hanging="360"/>
      </w:pPr>
      <w:rPr>
        <w:rFonts w:ascii="Courier New" w:hAnsi="Courier New"/>
      </w:rPr>
    </w:lvl>
    <w:lvl w:ilvl="5" w:tplc="04220005">
      <w:start w:val="1"/>
      <w:numFmt w:val="bullet"/>
      <w:lvlText w:val=""/>
      <w:lvlJc w:val="left"/>
      <w:pPr>
        <w:ind w:left="5171" w:hanging="360"/>
      </w:pPr>
      <w:rPr>
        <w:rFonts w:ascii="Wingdings" w:hAnsi="Wingdings"/>
      </w:rPr>
    </w:lvl>
    <w:lvl w:ilvl="6" w:tplc="04220001">
      <w:start w:val="1"/>
      <w:numFmt w:val="bullet"/>
      <w:lvlText w:val=""/>
      <w:lvlJc w:val="left"/>
      <w:pPr>
        <w:ind w:left="5891" w:hanging="360"/>
      </w:pPr>
      <w:rPr>
        <w:rFonts w:ascii="Symbol" w:hAnsi="Symbol"/>
      </w:rPr>
    </w:lvl>
    <w:lvl w:ilvl="7" w:tplc="04220003">
      <w:start w:val="1"/>
      <w:numFmt w:val="bullet"/>
      <w:lvlText w:val="o"/>
      <w:lvlJc w:val="left"/>
      <w:pPr>
        <w:ind w:left="6611" w:hanging="360"/>
      </w:pPr>
      <w:rPr>
        <w:rFonts w:ascii="Courier New" w:hAnsi="Courier New"/>
      </w:rPr>
    </w:lvl>
    <w:lvl w:ilvl="8" w:tplc="04220005">
      <w:start w:val="1"/>
      <w:numFmt w:val="bullet"/>
      <w:lvlText w:val=""/>
      <w:lvlJc w:val="left"/>
      <w:pPr>
        <w:ind w:left="7331" w:hanging="360"/>
      </w:pPr>
      <w:rPr>
        <w:rFonts w:ascii="Wingdings" w:hAnsi="Wingdings"/>
      </w:rPr>
    </w:lvl>
  </w:abstractNum>
  <w:abstractNum w:abstractNumId="12" w15:restartNumberingAfterBreak="0">
    <w:nsid w:val="543B3484"/>
    <w:multiLevelType w:val="hybridMultilevel"/>
    <w:tmpl w:val="7944C570"/>
    <w:lvl w:ilvl="0" w:tplc="640216D6">
      <w:start w:val="1"/>
      <w:numFmt w:val="bullet"/>
      <w:lvlText w:val="–"/>
      <w:lvlJc w:val="left"/>
      <w:pPr>
        <w:ind w:left="1211" w:hanging="360"/>
      </w:pPr>
      <w:rPr>
        <w:rFonts w:ascii="Times New Roman" w:hAnsi="Times New Roman"/>
      </w:rPr>
    </w:lvl>
    <w:lvl w:ilvl="1" w:tplc="04220003">
      <w:start w:val="1"/>
      <w:numFmt w:val="bullet"/>
      <w:lvlText w:val="o"/>
      <w:lvlJc w:val="left"/>
      <w:pPr>
        <w:ind w:left="1931" w:hanging="360"/>
      </w:pPr>
      <w:rPr>
        <w:rFonts w:ascii="Courier New" w:hAnsi="Courier New"/>
      </w:rPr>
    </w:lvl>
    <w:lvl w:ilvl="2" w:tplc="04220005">
      <w:start w:val="1"/>
      <w:numFmt w:val="bullet"/>
      <w:lvlText w:val=""/>
      <w:lvlJc w:val="left"/>
      <w:pPr>
        <w:ind w:left="2651" w:hanging="360"/>
      </w:pPr>
      <w:rPr>
        <w:rFonts w:ascii="Wingdings" w:hAnsi="Wingdings"/>
      </w:rPr>
    </w:lvl>
    <w:lvl w:ilvl="3" w:tplc="04220001">
      <w:start w:val="1"/>
      <w:numFmt w:val="bullet"/>
      <w:lvlText w:val=""/>
      <w:lvlJc w:val="left"/>
      <w:pPr>
        <w:ind w:left="3371" w:hanging="360"/>
      </w:pPr>
      <w:rPr>
        <w:rFonts w:ascii="Symbol" w:hAnsi="Symbol"/>
      </w:rPr>
    </w:lvl>
    <w:lvl w:ilvl="4" w:tplc="04220003">
      <w:start w:val="1"/>
      <w:numFmt w:val="bullet"/>
      <w:lvlText w:val="o"/>
      <w:lvlJc w:val="left"/>
      <w:pPr>
        <w:ind w:left="4091" w:hanging="360"/>
      </w:pPr>
      <w:rPr>
        <w:rFonts w:ascii="Courier New" w:hAnsi="Courier New"/>
      </w:rPr>
    </w:lvl>
    <w:lvl w:ilvl="5" w:tplc="04220005">
      <w:start w:val="1"/>
      <w:numFmt w:val="bullet"/>
      <w:lvlText w:val=""/>
      <w:lvlJc w:val="left"/>
      <w:pPr>
        <w:ind w:left="4811" w:hanging="360"/>
      </w:pPr>
      <w:rPr>
        <w:rFonts w:ascii="Wingdings" w:hAnsi="Wingdings"/>
      </w:rPr>
    </w:lvl>
    <w:lvl w:ilvl="6" w:tplc="04220001">
      <w:start w:val="1"/>
      <w:numFmt w:val="bullet"/>
      <w:lvlText w:val=""/>
      <w:lvlJc w:val="left"/>
      <w:pPr>
        <w:ind w:left="5531" w:hanging="360"/>
      </w:pPr>
      <w:rPr>
        <w:rFonts w:ascii="Symbol" w:hAnsi="Symbol"/>
      </w:rPr>
    </w:lvl>
    <w:lvl w:ilvl="7" w:tplc="04220003">
      <w:start w:val="1"/>
      <w:numFmt w:val="bullet"/>
      <w:lvlText w:val="o"/>
      <w:lvlJc w:val="left"/>
      <w:pPr>
        <w:ind w:left="6251" w:hanging="360"/>
      </w:pPr>
      <w:rPr>
        <w:rFonts w:ascii="Courier New" w:hAnsi="Courier New"/>
      </w:rPr>
    </w:lvl>
    <w:lvl w:ilvl="8" w:tplc="04220005">
      <w:start w:val="1"/>
      <w:numFmt w:val="bullet"/>
      <w:lvlText w:val=""/>
      <w:lvlJc w:val="left"/>
      <w:pPr>
        <w:ind w:left="6971" w:hanging="360"/>
      </w:pPr>
      <w:rPr>
        <w:rFonts w:ascii="Wingdings" w:hAnsi="Wingdings"/>
      </w:rPr>
    </w:lvl>
  </w:abstractNum>
  <w:abstractNum w:abstractNumId="13" w15:restartNumberingAfterBreak="0">
    <w:nsid w:val="79F87800"/>
    <w:multiLevelType w:val="hybridMultilevel"/>
    <w:tmpl w:val="37A632B4"/>
    <w:lvl w:ilvl="0" w:tplc="AB324BEA">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14" w15:restartNumberingAfterBreak="0">
    <w:nsid w:val="7D073BA6"/>
    <w:multiLevelType w:val="hybridMultilevel"/>
    <w:tmpl w:val="453EE78C"/>
    <w:lvl w:ilvl="0" w:tplc="62CA36AA">
      <w:start w:val="236"/>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15:restartNumberingAfterBreak="0">
    <w:nsid w:val="7EB95F27"/>
    <w:multiLevelType w:val="hybridMultilevel"/>
    <w:tmpl w:val="78920DAC"/>
    <w:lvl w:ilvl="0" w:tplc="2DEC409A">
      <w:start w:val="8"/>
      <w:numFmt w:val="bullet"/>
      <w:lvlText w:val="-"/>
      <w:lvlJc w:val="left"/>
      <w:pPr>
        <w:ind w:left="927" w:hanging="360"/>
      </w:pPr>
      <w:rPr>
        <w:rFonts w:ascii="Times New Roman" w:hAnsi="Times New Roman"/>
        <w:color w:val="FF0000"/>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num w:numId="1">
    <w:abstractNumId w:val="4"/>
  </w:num>
  <w:num w:numId="2">
    <w:abstractNumId w:val="14"/>
  </w:num>
  <w:num w:numId="3">
    <w:abstractNumId w:val="8"/>
  </w:num>
  <w:num w:numId="4">
    <w:abstractNumId w:val="11"/>
  </w:num>
  <w:num w:numId="5">
    <w:abstractNumId w:val="2"/>
  </w:num>
  <w:num w:numId="6">
    <w:abstractNumId w:val="1"/>
  </w:num>
  <w:num w:numId="7">
    <w:abstractNumId w:val="0"/>
  </w:num>
  <w:num w:numId="8">
    <w:abstractNumId w:val="13"/>
  </w:num>
  <w:num w:numId="9">
    <w:abstractNumId w:val="12"/>
  </w:num>
  <w:num w:numId="10">
    <w:abstractNumId w:val="9"/>
  </w:num>
  <w:num w:numId="11">
    <w:abstractNumId w:val="7"/>
  </w:num>
  <w:num w:numId="12">
    <w:abstractNumId w:val="3"/>
  </w:num>
  <w:num w:numId="13">
    <w:abstractNumId w:val="15"/>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7E"/>
    <w:rsid w:val="001E22A9"/>
    <w:rsid w:val="00566838"/>
    <w:rsid w:val="008761E6"/>
    <w:rsid w:val="00D3690D"/>
    <w:rsid w:val="00EF1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319C"/>
  <w15:docId w15:val="{71CA0065-CAD9-41A6-8DB3-DFE0220B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Calibri" w:hAnsi="Calibri"/>
      <w:sz w:val="22"/>
      <w:lang w:val="uk-UA"/>
    </w:rPr>
  </w:style>
  <w:style w:type="paragraph" w:styleId="1">
    <w:name w:val="heading 1"/>
    <w:basedOn w:val="a"/>
    <w:next w:val="a"/>
    <w:link w:val="10"/>
    <w:qFormat/>
    <w:pPr>
      <w:keepNext/>
      <w:keepLines/>
      <w:spacing w:after="0" w:line="240" w:lineRule="auto"/>
      <w:jc w:val="center"/>
      <w:outlineLvl w:val="0"/>
    </w:pPr>
    <w:rPr>
      <w:rFonts w:ascii="Times New Roman" w:hAnsi="Times New Roman"/>
      <w:b/>
      <w:bCs/>
      <w:sz w:val="28"/>
      <w:szCs w:val="28"/>
    </w:rPr>
  </w:style>
  <w:style w:type="paragraph" w:styleId="2">
    <w:name w:val="heading 2"/>
    <w:basedOn w:val="a"/>
    <w:link w:val="20"/>
    <w:qFormat/>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next w:val="a"/>
    <w:link w:val="30"/>
    <w:semiHidden/>
    <w:qFormat/>
    <w:pPr>
      <w:keepNext/>
      <w:keepLines/>
      <w:spacing w:before="40" w:after="0"/>
      <w:outlineLvl w:val="2"/>
    </w:pPr>
    <w:rPr>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pPr>
    <w:rPr>
      <w:rFonts w:ascii="Calibri" w:hAnsi="Calibri"/>
      <w:sz w:val="22"/>
      <w:lang w:val="uk-U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paragraph" w:styleId="a4">
    <w:name w:val="header"/>
    <w:basedOn w:val="a"/>
    <w:link w:val="a5"/>
    <w:pPr>
      <w:tabs>
        <w:tab w:val="center" w:pos="4677"/>
        <w:tab w:val="right" w:pos="9355"/>
      </w:tabs>
      <w:spacing w:after="0" w:line="240" w:lineRule="auto"/>
    </w:pPr>
  </w:style>
  <w:style w:type="paragraph" w:styleId="a6">
    <w:name w:val="footer"/>
    <w:basedOn w:val="a"/>
    <w:link w:val="a7"/>
    <w:pPr>
      <w:tabs>
        <w:tab w:val="center" w:pos="4677"/>
        <w:tab w:val="right" w:pos="9355"/>
      </w:tabs>
      <w:spacing w:after="0" w:line="240" w:lineRule="auto"/>
    </w:pPr>
  </w:style>
  <w:style w:type="paragraph" w:styleId="a8">
    <w:name w:val="Normal (Web)"/>
    <w:basedOn w:val="a"/>
    <w:pPr>
      <w:spacing w:before="100" w:beforeAutospacing="1" w:after="100" w:afterAutospacing="1" w:line="240" w:lineRule="auto"/>
    </w:pPr>
    <w:rPr>
      <w:rFonts w:ascii="Times New Roman" w:hAnsi="Times New Roman"/>
      <w:sz w:val="24"/>
      <w:szCs w:val="24"/>
      <w:lang w:val="ru-RU" w:eastAsia="ru-RU"/>
    </w:rPr>
  </w:style>
  <w:style w:type="paragraph" w:styleId="a9">
    <w:name w:val="List Paragraph"/>
    <w:basedOn w:val="a"/>
    <w:qFormat/>
    <w:pPr>
      <w:ind w:left="720"/>
      <w:contextualSpacing/>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customStyle="1" w:styleId="rvps21">
    <w:name w:val="rvps21"/>
    <w:basedOn w:val="a"/>
    <w:pPr>
      <w:spacing w:after="125" w:line="240" w:lineRule="auto"/>
      <w:ind w:firstLine="376"/>
      <w:jc w:val="both"/>
    </w:pPr>
    <w:rPr>
      <w:rFonts w:ascii="Times New Roman" w:hAnsi="Times New Roman"/>
      <w:sz w:val="24"/>
      <w:szCs w:val="24"/>
      <w:lang w:val="ru-RU" w:eastAsia="ru-RU"/>
    </w:rPr>
  </w:style>
  <w:style w:type="paragraph" w:customStyle="1" w:styleId="rvps6">
    <w:name w:val="rvps6"/>
    <w:basedOn w:val="a"/>
    <w:pPr>
      <w:spacing w:before="100" w:beforeAutospacing="1" w:after="100" w:afterAutospacing="1" w:line="240" w:lineRule="auto"/>
    </w:pPr>
    <w:rPr>
      <w:rFonts w:ascii="Times New Roman" w:hAnsi="Times New Roman"/>
      <w:sz w:val="24"/>
      <w:szCs w:val="24"/>
      <w:lang w:eastAsia="uk-UA"/>
    </w:rPr>
  </w:style>
  <w:style w:type="paragraph" w:customStyle="1" w:styleId="11">
    <w:name w:val="Без інтервалів1"/>
    <w:pPr>
      <w:spacing w:after="0"/>
    </w:pPr>
    <w:rPr>
      <w:rFonts w:ascii="Calibri" w:hAnsi="Calibri"/>
      <w:sz w:val="22"/>
      <w:lang w:val="uk-UA"/>
    </w:rPr>
  </w:style>
  <w:style w:type="paragraph" w:styleId="aa">
    <w:name w:val="Balloon Text"/>
    <w:basedOn w:val="a"/>
    <w:link w:val="ab"/>
    <w:semiHidden/>
    <w:pPr>
      <w:spacing w:after="0" w:line="240" w:lineRule="auto"/>
    </w:pPr>
    <w:rPr>
      <w:rFonts w:ascii="Segoe UI" w:hAnsi="Segoe UI"/>
      <w:sz w:val="18"/>
      <w:szCs w:val="18"/>
    </w:rPr>
  </w:style>
  <w:style w:type="paragraph" w:styleId="12">
    <w:name w:val="toc 1"/>
    <w:basedOn w:val="a"/>
    <w:next w:val="a"/>
    <w:pPr>
      <w:spacing w:after="100"/>
    </w:pPr>
  </w:style>
  <w:style w:type="paragraph" w:customStyle="1" w:styleId="rvps12">
    <w:name w:val="rvps12"/>
    <w:basedOn w:val="a"/>
    <w:pPr>
      <w:spacing w:before="100" w:beforeAutospacing="1" w:after="100" w:afterAutospacing="1" w:line="240" w:lineRule="auto"/>
    </w:pPr>
    <w:rPr>
      <w:rFonts w:ascii="Times New Roman" w:hAnsi="Times New Roman"/>
      <w:sz w:val="24"/>
      <w:szCs w:val="24"/>
      <w:lang w:eastAsia="uk-UA"/>
    </w:rPr>
  </w:style>
  <w:style w:type="paragraph" w:styleId="ac">
    <w:name w:val="footnote text"/>
    <w:basedOn w:val="a"/>
    <w:link w:val="ad"/>
    <w:semiHidden/>
    <w:pPr>
      <w:spacing w:after="0" w:line="240" w:lineRule="auto"/>
    </w:pPr>
    <w:rPr>
      <w:sz w:val="20"/>
      <w:szCs w:val="20"/>
    </w:rPr>
  </w:style>
  <w:style w:type="paragraph" w:customStyle="1" w:styleId="Standard">
    <w:name w:val="Standard"/>
    <w:pPr>
      <w:suppressAutoHyphens/>
      <w:spacing w:after="0" w:line="276" w:lineRule="auto"/>
    </w:pPr>
    <w:rPr>
      <w:rFonts w:ascii="Arial" w:hAnsi="Arial"/>
      <w:color w:val="000000"/>
      <w:kern w:val="3"/>
      <w:sz w:val="22"/>
      <w:lang w:val="en-US" w:eastAsia="zh-CN" w:bidi="hi-IN"/>
    </w:rPr>
  </w:style>
  <w:style w:type="paragraph" w:styleId="ae">
    <w:name w:val="annotation text"/>
    <w:basedOn w:val="a"/>
    <w:link w:val="af"/>
    <w:semiHidden/>
    <w:pPr>
      <w:spacing w:after="0" w:line="240" w:lineRule="auto"/>
    </w:pPr>
    <w:rPr>
      <w:rFonts w:ascii="Times New Roman" w:hAnsi="Times New Roman"/>
      <w:sz w:val="20"/>
      <w:szCs w:val="20"/>
    </w:rPr>
  </w:style>
  <w:style w:type="paragraph" w:styleId="af0">
    <w:name w:val="annotation subject"/>
    <w:basedOn w:val="ae"/>
    <w:next w:val="ae"/>
    <w:link w:val="af1"/>
    <w:semiHidden/>
    <w:pPr>
      <w:spacing w:after="200"/>
    </w:pPr>
    <w:rPr>
      <w:rFonts w:ascii="Calibri" w:hAnsi="Calibri"/>
      <w:b/>
      <w:bCs/>
    </w:rPr>
  </w:style>
  <w:style w:type="paragraph" w:customStyle="1" w:styleId="rvps14">
    <w:name w:val="rvps14"/>
    <w:basedOn w:val="a"/>
    <w:pPr>
      <w:spacing w:before="100" w:beforeAutospacing="1" w:after="100" w:afterAutospacing="1" w:line="240" w:lineRule="auto"/>
    </w:pPr>
    <w:rPr>
      <w:rFonts w:ascii="Times New Roman" w:hAnsi="Times New Roman"/>
      <w:sz w:val="24"/>
      <w:szCs w:val="24"/>
      <w:lang w:eastAsia="uk-UA"/>
    </w:rPr>
  </w:style>
  <w:style w:type="paragraph" w:customStyle="1" w:styleId="rvps3">
    <w:name w:val="rvps3"/>
    <w:basedOn w:val="a"/>
    <w:pPr>
      <w:spacing w:before="100" w:beforeAutospacing="1" w:after="100" w:afterAutospacing="1" w:line="240" w:lineRule="auto"/>
    </w:pPr>
    <w:rPr>
      <w:rFonts w:ascii="Times New Roman" w:hAnsi="Times New Roman"/>
      <w:sz w:val="24"/>
      <w:szCs w:val="24"/>
      <w:lang w:eastAsia="uk-UA"/>
    </w:rPr>
  </w:style>
  <w:style w:type="paragraph" w:customStyle="1" w:styleId="rvps8">
    <w:name w:val="rvps8"/>
    <w:basedOn w:val="a"/>
    <w:pPr>
      <w:spacing w:before="100" w:beforeAutospacing="1" w:after="100" w:afterAutospacing="1" w:line="240" w:lineRule="auto"/>
    </w:pPr>
    <w:rPr>
      <w:rFonts w:ascii="Times New Roman" w:hAnsi="Times New Roman"/>
      <w:sz w:val="24"/>
      <w:szCs w:val="24"/>
      <w:lang w:eastAsia="uk-UA"/>
    </w:rPr>
  </w:style>
  <w:style w:type="paragraph" w:styleId="af2">
    <w:name w:val="endnote text"/>
    <w:link w:val="af3"/>
    <w:semiHidden/>
    <w:pPr>
      <w:spacing w:after="0"/>
    </w:pPr>
    <w:rPr>
      <w:sz w:val="20"/>
      <w:szCs w:val="20"/>
    </w:rPr>
  </w:style>
  <w:style w:type="character" w:styleId="af4">
    <w:name w:val="line number"/>
    <w:basedOn w:val="a0"/>
    <w:semiHidden/>
  </w:style>
  <w:style w:type="character" w:styleId="af5">
    <w:name w:val="Hyperlink"/>
    <w:basedOn w:val="a0"/>
    <w:rPr>
      <w:color w:val="0000FF"/>
      <w:u w:val="single"/>
    </w:rPr>
  </w:style>
  <w:style w:type="character" w:customStyle="1" w:styleId="apple-converted-space">
    <w:name w:val="apple-converted-space"/>
    <w:basedOn w:val="a0"/>
  </w:style>
  <w:style w:type="character" w:customStyle="1" w:styleId="HTML0">
    <w:name w:val="Стандартний HTML Знак"/>
    <w:basedOn w:val="a0"/>
    <w:link w:val="HTML"/>
    <w:rPr>
      <w:rFonts w:ascii="Courier New" w:hAnsi="Courier New"/>
      <w:sz w:val="20"/>
      <w:szCs w:val="20"/>
      <w:lang w:eastAsia="ru-RU"/>
    </w:rPr>
  </w:style>
  <w:style w:type="character" w:customStyle="1" w:styleId="a5">
    <w:name w:val="Верхній колонтитул Знак"/>
    <w:basedOn w:val="a0"/>
    <w:link w:val="a4"/>
    <w:rPr>
      <w:rFonts w:ascii="Calibri" w:hAnsi="Calibri"/>
      <w:sz w:val="22"/>
      <w:lang w:val="uk-UA"/>
    </w:rPr>
  </w:style>
  <w:style w:type="character" w:customStyle="1" w:styleId="a7">
    <w:name w:val="Нижній колонтитул Знак"/>
    <w:basedOn w:val="a0"/>
    <w:link w:val="a6"/>
    <w:rPr>
      <w:rFonts w:ascii="Calibri" w:hAnsi="Calibri"/>
      <w:sz w:val="22"/>
      <w:lang w:val="uk-UA"/>
    </w:rPr>
  </w:style>
  <w:style w:type="character" w:customStyle="1" w:styleId="20">
    <w:name w:val="Заголовок 2 Знак"/>
    <w:basedOn w:val="a0"/>
    <w:link w:val="2"/>
    <w:rPr>
      <w:b/>
      <w:bCs/>
      <w:sz w:val="36"/>
      <w:szCs w:val="36"/>
      <w:lang w:eastAsia="ru-RU"/>
    </w:rPr>
  </w:style>
  <w:style w:type="character" w:customStyle="1" w:styleId="rvts44">
    <w:name w:val="rvts44"/>
    <w:basedOn w:val="a0"/>
  </w:style>
  <w:style w:type="character" w:customStyle="1" w:styleId="FontStyle44">
    <w:name w:val="Font Style44"/>
    <w:rPr>
      <w:rFonts w:ascii="Times New Roman" w:hAnsi="Times New Roman"/>
      <w:sz w:val="24"/>
      <w:szCs w:val="24"/>
    </w:rPr>
  </w:style>
  <w:style w:type="character" w:customStyle="1" w:styleId="ab">
    <w:name w:val="Текст у виносці Знак"/>
    <w:basedOn w:val="a0"/>
    <w:link w:val="aa"/>
    <w:semiHidden/>
    <w:rPr>
      <w:rFonts w:ascii="Segoe UI" w:hAnsi="Segoe UI"/>
      <w:sz w:val="18"/>
      <w:szCs w:val="18"/>
      <w:lang w:val="uk-UA"/>
    </w:rPr>
  </w:style>
  <w:style w:type="character" w:customStyle="1" w:styleId="10">
    <w:name w:val="Заголовок 1 Знак"/>
    <w:basedOn w:val="a0"/>
    <w:link w:val="1"/>
    <w:rPr>
      <w:b/>
      <w:bCs/>
      <w:szCs w:val="28"/>
      <w:lang w:val="uk-UA"/>
    </w:rPr>
  </w:style>
  <w:style w:type="character" w:styleId="af6">
    <w:name w:val="Strong"/>
    <w:basedOn w:val="a0"/>
    <w:qFormat/>
    <w:rPr>
      <w:b/>
      <w:bCs/>
    </w:rPr>
  </w:style>
  <w:style w:type="character" w:customStyle="1" w:styleId="30">
    <w:name w:val="Заголовок 3 Знак"/>
    <w:basedOn w:val="a0"/>
    <w:link w:val="3"/>
    <w:semiHidden/>
    <w:rPr>
      <w:color w:val="243F60" w:themeColor="accent1" w:themeShade="7F"/>
      <w:sz w:val="24"/>
      <w:szCs w:val="24"/>
      <w:lang w:val="uk-UA"/>
    </w:rPr>
  </w:style>
  <w:style w:type="character" w:customStyle="1" w:styleId="rvts9">
    <w:name w:val="rvts9"/>
    <w:basedOn w:val="a0"/>
  </w:style>
  <w:style w:type="character" w:customStyle="1" w:styleId="ad">
    <w:name w:val="Текст виноски Знак"/>
    <w:basedOn w:val="a0"/>
    <w:link w:val="ac"/>
    <w:semiHidden/>
    <w:rPr>
      <w:rFonts w:ascii="Calibri" w:hAnsi="Calibri"/>
      <w:sz w:val="20"/>
      <w:szCs w:val="20"/>
      <w:lang w:val="uk-UA"/>
    </w:rPr>
  </w:style>
  <w:style w:type="character" w:styleId="af7">
    <w:name w:val="footnote reference"/>
    <w:basedOn w:val="a0"/>
    <w:semiHidden/>
    <w:rPr>
      <w:vertAlign w:val="superscript"/>
    </w:rPr>
  </w:style>
  <w:style w:type="character" w:customStyle="1" w:styleId="rvts0">
    <w:name w:val="rvts0"/>
    <w:basedOn w:val="a0"/>
  </w:style>
  <w:style w:type="character" w:styleId="af8">
    <w:name w:val="annotation reference"/>
    <w:basedOn w:val="a0"/>
    <w:semiHidden/>
    <w:rPr>
      <w:sz w:val="16"/>
      <w:szCs w:val="16"/>
    </w:rPr>
  </w:style>
  <w:style w:type="character" w:customStyle="1" w:styleId="af">
    <w:name w:val="Текст примітки Знак"/>
    <w:basedOn w:val="a0"/>
    <w:link w:val="ae"/>
    <w:semiHidden/>
    <w:rPr>
      <w:sz w:val="20"/>
      <w:szCs w:val="20"/>
      <w:lang w:val="uk-UA"/>
    </w:rPr>
  </w:style>
  <w:style w:type="character" w:customStyle="1" w:styleId="af1">
    <w:name w:val="Тема примітки Знак"/>
    <w:basedOn w:val="af"/>
    <w:link w:val="af0"/>
    <w:semiHidden/>
    <w:rPr>
      <w:rFonts w:ascii="Calibri" w:hAnsi="Calibri"/>
      <w:b/>
      <w:bCs/>
      <w:sz w:val="20"/>
      <w:szCs w:val="20"/>
      <w:lang w:val="uk-UA"/>
    </w:rPr>
  </w:style>
  <w:style w:type="character" w:customStyle="1" w:styleId="rvts15">
    <w:name w:val="rvts15"/>
    <w:basedOn w:val="a0"/>
  </w:style>
  <w:style w:type="character" w:customStyle="1" w:styleId="rvts82">
    <w:name w:val="rvts82"/>
    <w:basedOn w:val="a0"/>
  </w:style>
  <w:style w:type="character" w:customStyle="1" w:styleId="rvts58">
    <w:name w:val="rvts58"/>
    <w:basedOn w:val="a0"/>
  </w:style>
  <w:style w:type="character" w:customStyle="1" w:styleId="FootnoteTextChar">
    <w:name w:val="Footnote Text Char"/>
    <w:semiHidden/>
    <w:rPr>
      <w:sz w:val="20"/>
      <w:szCs w:val="20"/>
    </w:rPr>
  </w:style>
  <w:style w:type="character" w:styleId="af9">
    <w:name w:val="endnote reference"/>
    <w:semiHidden/>
    <w:rPr>
      <w:vertAlign w:val="superscript"/>
    </w:rPr>
  </w:style>
  <w:style w:type="character" w:customStyle="1" w:styleId="af3">
    <w:name w:val="Текст кінцевої виноски Знак"/>
    <w:link w:val="af2"/>
    <w:semiHidden/>
    <w:rPr>
      <w:sz w:val="20"/>
      <w:szCs w:val="20"/>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ітка таблиці1"/>
    <w:basedOn w:val="a1"/>
    <w:pPr>
      <w:spacing w:after="0"/>
    </w:pPr>
    <w:rPr>
      <w:rFonts w:ascii="Calibri" w:hAnsi="Calibri"/>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5C19-395B-42B9-BBB3-7A1ADA5C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21349</Words>
  <Characters>12169</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Заритов Віталій</cp:lastModifiedBy>
  <cp:revision>5</cp:revision>
  <cp:lastPrinted>2022-10-21T10:06:00Z</cp:lastPrinted>
  <dcterms:created xsi:type="dcterms:W3CDTF">2022-10-21T13:17:00Z</dcterms:created>
  <dcterms:modified xsi:type="dcterms:W3CDTF">2023-02-09T08:29:00Z</dcterms:modified>
</cp:coreProperties>
</file>