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36702C" w:rsidRPr="00C568A3" w:rsidRDefault="00AA0E05" w:rsidP="0036702C">
      <w:pPr>
        <w:keepNext/>
        <w:keepLines/>
        <w:ind w:left="1560" w:hanging="1560"/>
        <w:jc w:val="center"/>
        <w:rPr>
          <w:color w:val="000000"/>
          <w:sz w:val="28"/>
          <w:szCs w:val="28"/>
        </w:rPr>
      </w:pPr>
      <w:r>
        <w:rPr>
          <w:sz w:val="28"/>
          <w:szCs w:val="28"/>
        </w:rPr>
        <w:t xml:space="preserve">                                                            </w:t>
      </w:r>
      <w:r w:rsidRPr="00AA0E05">
        <w:rPr>
          <w:sz w:val="28"/>
          <w:szCs w:val="28"/>
        </w:rPr>
        <w:t xml:space="preserve">від </w:t>
      </w:r>
      <w:bookmarkStart w:id="0" w:name="_GoBack"/>
      <w:bookmarkEnd w:id="0"/>
      <w:r w:rsidR="0036702C" w:rsidRPr="00AA0E05">
        <w:rPr>
          <w:sz w:val="28"/>
          <w:szCs w:val="28"/>
        </w:rPr>
        <w:t xml:space="preserve"> </w:t>
      </w:r>
      <w:r w:rsidR="0036702C">
        <w:rPr>
          <w:sz w:val="28"/>
          <w:szCs w:val="28"/>
        </w:rPr>
        <w:t>04.11.2021</w:t>
      </w:r>
      <w:r w:rsidR="0036702C" w:rsidRPr="00AA0E05">
        <w:rPr>
          <w:sz w:val="28"/>
          <w:szCs w:val="28"/>
        </w:rPr>
        <w:t xml:space="preserve"> № </w:t>
      </w:r>
      <w:r w:rsidR="0036702C">
        <w:rPr>
          <w:sz w:val="28"/>
          <w:szCs w:val="28"/>
        </w:rPr>
        <w:t>431-а</w:t>
      </w:r>
    </w:p>
    <w:p w:rsidR="00B37370" w:rsidRPr="00C568A3" w:rsidRDefault="00B37370" w:rsidP="00AA0E05">
      <w:pPr>
        <w:keepNext/>
        <w:keepLines/>
        <w:ind w:left="1560" w:hanging="1560"/>
        <w:jc w:val="center"/>
        <w:rPr>
          <w:color w:val="000000"/>
          <w:sz w:val="28"/>
          <w:szCs w:val="28"/>
        </w:rPr>
      </w:pPr>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C757EB" w:rsidRPr="00C757EB">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757EB" w:rsidRDefault="0089550C" w:rsidP="0089550C">
            <w:pPr>
              <w:rPr>
                <w:sz w:val="28"/>
                <w:szCs w:val="28"/>
              </w:rPr>
            </w:pPr>
            <w:r w:rsidRPr="00C757EB">
              <w:rPr>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Pr="00C757EB" w:rsidRDefault="0023601A" w:rsidP="0023601A">
            <w:pPr>
              <w:keepNext/>
              <w:keepLines/>
              <w:jc w:val="both"/>
              <w:rPr>
                <w:sz w:val="28"/>
                <w:szCs w:val="28"/>
              </w:rPr>
            </w:pPr>
            <w:r w:rsidRPr="00C757EB">
              <w:rPr>
                <w:sz w:val="28"/>
                <w:szCs w:val="28"/>
              </w:rPr>
              <w:t xml:space="preserve">Головний спеціаліст </w:t>
            </w:r>
            <w:r w:rsidR="006D3BE4" w:rsidRPr="006D3BE4">
              <w:rPr>
                <w:sz w:val="28"/>
                <w:szCs w:val="28"/>
              </w:rPr>
              <w:t>відділу інформаційної безпеки департаменту забезпечення документообігу, контролю та інформаційних технологій</w:t>
            </w:r>
            <w:r w:rsidR="00CA36E9">
              <w:rPr>
                <w:sz w:val="28"/>
                <w:szCs w:val="28"/>
              </w:rPr>
              <w:t>, категорія В1</w:t>
            </w:r>
          </w:p>
        </w:tc>
      </w:tr>
      <w:tr w:rsidR="0086760A" w:rsidRPr="00C568A3"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C757EB" w:rsidRDefault="0086760A" w:rsidP="0086760A">
            <w:pPr>
              <w:rPr>
                <w:sz w:val="28"/>
                <w:szCs w:val="28"/>
              </w:rPr>
            </w:pPr>
            <w:r w:rsidRPr="00C757EB">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23601A" w:rsidRPr="00C757EB" w:rsidRDefault="0023601A" w:rsidP="005B4054">
            <w:pPr>
              <w:shd w:val="clear" w:color="auto" w:fill="FFFFFF"/>
              <w:tabs>
                <w:tab w:val="left" w:pos="851"/>
              </w:tabs>
              <w:ind w:right="142"/>
              <w:jc w:val="both"/>
              <w:rPr>
                <w:sz w:val="28"/>
                <w:szCs w:val="28"/>
              </w:rPr>
            </w:pPr>
            <w:r w:rsidRPr="00C757EB">
              <w:rPr>
                <w:sz w:val="28"/>
                <w:szCs w:val="28"/>
              </w:rPr>
              <w:t>Відповідно до основних завдань та обов’язків головного спеціаліста відділу інформаційної безпеки департаменту забезпечення документообігу, контролю та інформаційних технологій Міністерства освіти і науки України:</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t>розробка та впровадження систем інформаційної безпеки, аудит системи інформаційної безпеки апарату Міністерства, добір оптимальних систем та методів захисту інформації, проведення процедур з відновлення роботи ушкоджених програм та файлів, ліквідація шкідливих програм;</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t xml:space="preserve">підготовка </w:t>
            </w:r>
            <w:proofErr w:type="spellStart"/>
            <w:r w:rsidRPr="00C757EB">
              <w:rPr>
                <w:sz w:val="28"/>
                <w:szCs w:val="28"/>
              </w:rPr>
              <w:t>проєктів</w:t>
            </w:r>
            <w:proofErr w:type="spellEnd"/>
            <w:r w:rsidRPr="00C757EB">
              <w:rPr>
                <w:sz w:val="28"/>
                <w:szCs w:val="28"/>
              </w:rPr>
              <w:t xml:space="preserve"> відомчих нормативних документів з питань технічного захисту інформації та інформаційної безпеки </w:t>
            </w:r>
            <w:r w:rsidR="009B7D54" w:rsidRPr="00C757EB">
              <w:rPr>
                <w:sz w:val="28"/>
                <w:szCs w:val="28"/>
              </w:rPr>
              <w:t>згідно нормативно правових актів</w:t>
            </w:r>
            <w:r w:rsidRPr="00C757EB">
              <w:rPr>
                <w:sz w:val="28"/>
                <w:szCs w:val="28"/>
              </w:rPr>
              <w:t xml:space="preserve">, організаційних, розпорядчих </w:t>
            </w:r>
            <w:r w:rsidR="009B7D54" w:rsidRPr="00C757EB">
              <w:rPr>
                <w:sz w:val="28"/>
                <w:szCs w:val="28"/>
              </w:rPr>
              <w:t>та відповідних</w:t>
            </w:r>
            <w:r w:rsidRPr="00C757EB">
              <w:rPr>
                <w:sz w:val="28"/>
                <w:szCs w:val="28"/>
              </w:rPr>
              <w:t xml:space="preserve"> нормативних документів;</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t>забезпечення оперативного реагування на загрози для безпеки інформації, інші прояви негативних тенденцій у функціонуванні інформаційно-телекомунікаційної системи Міністерства;</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t xml:space="preserve">забезпечення в межах своєї компетенції дотримання </w:t>
            </w:r>
            <w:r w:rsidR="00562B1F" w:rsidRPr="00C757EB">
              <w:rPr>
                <w:sz w:val="28"/>
                <w:szCs w:val="28"/>
              </w:rPr>
              <w:t>в</w:t>
            </w:r>
            <w:r w:rsidRPr="00C757EB">
              <w:rPr>
                <w:sz w:val="28"/>
                <w:szCs w:val="28"/>
              </w:rPr>
              <w:t xml:space="preserve"> </w:t>
            </w:r>
            <w:proofErr w:type="spellStart"/>
            <w:r w:rsidRPr="00C757EB">
              <w:rPr>
                <w:sz w:val="28"/>
                <w:szCs w:val="28"/>
              </w:rPr>
              <w:t>апараті</w:t>
            </w:r>
            <w:proofErr w:type="spellEnd"/>
            <w:r w:rsidRPr="00C757EB">
              <w:rPr>
                <w:sz w:val="28"/>
                <w:szCs w:val="28"/>
              </w:rPr>
              <w:t xml:space="preserve"> Міністерства законодавства про захист інформації та персональних даних;</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t>забезпечення захисту інформації та дотримання стану безпеки в інформаційно-телекомунікаційній системі апарату Міністерства;</w:t>
            </w:r>
          </w:p>
          <w:p w:rsidR="0023601A" w:rsidRPr="00C757EB" w:rsidRDefault="0023601A" w:rsidP="0023601A">
            <w:pPr>
              <w:shd w:val="clear" w:color="auto" w:fill="FFFFFF"/>
              <w:tabs>
                <w:tab w:val="left" w:pos="851"/>
              </w:tabs>
              <w:ind w:right="142" w:firstLine="284"/>
              <w:jc w:val="both"/>
              <w:rPr>
                <w:sz w:val="28"/>
                <w:szCs w:val="28"/>
              </w:rPr>
            </w:pPr>
            <w:r w:rsidRPr="00C757EB">
              <w:rPr>
                <w:sz w:val="28"/>
                <w:szCs w:val="28"/>
              </w:rPr>
              <w:lastRenderedPageBreak/>
              <w:t>забезпечення відповідності налаштувань програмних та апаратних засобів визначеній політиці безпеки;</w:t>
            </w:r>
          </w:p>
          <w:p w:rsidR="0086760A" w:rsidRPr="00C757EB" w:rsidRDefault="0023601A" w:rsidP="0023601A">
            <w:pPr>
              <w:shd w:val="clear" w:color="auto" w:fill="FFFFFF"/>
              <w:tabs>
                <w:tab w:val="left" w:pos="851"/>
              </w:tabs>
              <w:ind w:right="142" w:firstLine="284"/>
              <w:jc w:val="both"/>
              <w:rPr>
                <w:sz w:val="28"/>
                <w:szCs w:val="28"/>
              </w:rPr>
            </w:pPr>
            <w:r w:rsidRPr="00C757EB">
              <w:rPr>
                <w:sz w:val="28"/>
                <w:szCs w:val="28"/>
              </w:rPr>
              <w:t>організаційно-методична підтримка та супровід з питань інформаційної безпеки інформаційно-телекомунікаційних та автоматизованих систем Міністерства.</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C757EB">
              <w:rPr>
                <w:sz w:val="28"/>
                <w:szCs w:val="28"/>
              </w:rPr>
              <w:t>10600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w:t>
            </w:r>
            <w:r w:rsidR="00C757EB">
              <w:rPr>
                <w:sz w:val="28"/>
                <w:szCs w:val="28"/>
              </w:rPr>
              <w:t>200</w:t>
            </w:r>
            <w:r w:rsidRPr="00C568A3">
              <w:rPr>
                <w:sz w:val="28"/>
                <w:szCs w:val="28"/>
              </w:rPr>
              <w:t xml:space="preserve"> – </w:t>
            </w:r>
            <w:r w:rsidR="00C757EB">
              <w:rPr>
                <w:sz w:val="28"/>
                <w:szCs w:val="28"/>
              </w:rPr>
              <w:t>500</w:t>
            </w:r>
            <w:r w:rsidRPr="00C568A3">
              <w:rPr>
                <w:sz w:val="28"/>
                <w:szCs w:val="28"/>
              </w:rPr>
              <w:t xml:space="preserve">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B37370">
            <w:pPr>
              <w:widowControl w:val="0"/>
              <w:ind w:right="140"/>
              <w:jc w:val="both"/>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 xml:space="preserve">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w:t>
            </w:r>
            <w:r w:rsidRPr="00C568A3">
              <w:rPr>
                <w:sz w:val="28"/>
                <w:szCs w:val="28"/>
              </w:rPr>
              <w:lastRenderedPageBreak/>
              <w:t>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7714BB" w:rsidRPr="00C568A3" w:rsidRDefault="001D0BE5" w:rsidP="00E64852">
            <w:pPr>
              <w:widowControl w:val="0"/>
              <w:ind w:right="140"/>
              <w:jc w:val="both"/>
              <w:rPr>
                <w:sz w:val="28"/>
                <w:szCs w:val="28"/>
              </w:rPr>
            </w:pPr>
            <w:r w:rsidRPr="001D0BE5">
              <w:rPr>
                <w:sz w:val="28"/>
                <w:szCs w:val="28"/>
              </w:rPr>
              <w:t>Інформація приймається до</w:t>
            </w:r>
            <w:r w:rsidR="00E64852">
              <w:rPr>
                <w:sz w:val="28"/>
                <w:szCs w:val="28"/>
              </w:rPr>
              <w:t xml:space="preserve"> 14 листопада 2021 року до 17:00</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B34FCF" w:rsidRPr="00B34FCF" w:rsidRDefault="00B34FCF" w:rsidP="00B34FCF">
            <w:pPr>
              <w:pStyle w:val="aa"/>
              <w:jc w:val="both"/>
              <w:rPr>
                <w:rFonts w:eastAsiaTheme="minorHAnsi" w:cstheme="minorHAnsi"/>
                <w:sz w:val="28"/>
                <w:szCs w:val="28"/>
              </w:rPr>
            </w:pPr>
            <w:r w:rsidRPr="00B34FCF">
              <w:rPr>
                <w:rFonts w:eastAsiaTheme="minorHAnsi" w:cstheme="minorHAnsi"/>
                <w:sz w:val="28"/>
                <w:szCs w:val="28"/>
              </w:rPr>
              <w:t xml:space="preserve">Тестування відбудеться </w:t>
            </w:r>
            <w:r>
              <w:rPr>
                <w:rFonts w:eastAsiaTheme="minorHAnsi" w:cstheme="minorHAnsi"/>
                <w:sz w:val="28"/>
                <w:szCs w:val="28"/>
              </w:rPr>
              <w:t xml:space="preserve">18 листопада 2021 року о 14:00 </w:t>
            </w:r>
            <w:r w:rsidRPr="00B34FCF">
              <w:rPr>
                <w:rFonts w:eastAsiaTheme="minorHAnsi" w:cstheme="minorHAnsi"/>
                <w:sz w:val="28"/>
                <w:szCs w:val="28"/>
              </w:rPr>
              <w:t xml:space="preserve">за </w:t>
            </w:r>
            <w:proofErr w:type="spellStart"/>
            <w:r w:rsidRPr="00B34FCF">
              <w:rPr>
                <w:rFonts w:eastAsiaTheme="minorHAnsi" w:cstheme="minorHAnsi"/>
                <w:sz w:val="28"/>
                <w:szCs w:val="28"/>
              </w:rPr>
              <w:t>адресою</w:t>
            </w:r>
            <w:proofErr w:type="spellEnd"/>
            <w:r w:rsidRPr="00B34FCF">
              <w:rPr>
                <w:rFonts w:eastAsiaTheme="minorHAnsi" w:cstheme="minorHAnsi"/>
                <w:sz w:val="28"/>
                <w:szCs w:val="28"/>
              </w:rPr>
              <w:t>: 01601, м. Київ, вул. Прорізна, 15</w:t>
            </w:r>
          </w:p>
          <w:p w:rsidR="00B34FCF" w:rsidRPr="00B34FCF" w:rsidRDefault="00B34FCF" w:rsidP="00B34FCF">
            <w:pPr>
              <w:pStyle w:val="aa"/>
              <w:jc w:val="both"/>
              <w:rPr>
                <w:rFonts w:eastAsiaTheme="minorHAnsi" w:cstheme="minorHAnsi"/>
                <w:sz w:val="28"/>
                <w:szCs w:val="28"/>
              </w:rPr>
            </w:pPr>
          </w:p>
          <w:p w:rsidR="00A74F30" w:rsidRDefault="00B34FCF" w:rsidP="00B34FCF">
            <w:pPr>
              <w:pStyle w:val="aa"/>
              <w:spacing w:before="0" w:beforeAutospacing="0" w:after="0" w:afterAutospacing="0"/>
              <w:jc w:val="both"/>
              <w:rPr>
                <w:color w:val="000000" w:themeColor="text1"/>
                <w:sz w:val="28"/>
                <w:szCs w:val="28"/>
                <w:lang w:eastAsia="ru-RU"/>
              </w:rPr>
            </w:pPr>
            <w:r w:rsidRPr="00B34FCF">
              <w:rPr>
                <w:rFonts w:eastAsiaTheme="minorHAnsi" w:cstheme="minorHAnsi"/>
                <w:sz w:val="28"/>
                <w:szCs w:val="28"/>
              </w:rPr>
              <w:t xml:space="preserve"> Про дату і час проведення наступних етапів конкурсу учасники будуть повідомлені додатково.</w:t>
            </w:r>
          </w:p>
          <w:p w:rsidR="002F4B44" w:rsidRDefault="002F4B44"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F80604" w:rsidRDefault="00F80604" w:rsidP="007E7D4B">
            <w:pPr>
              <w:rPr>
                <w:color w:val="000000" w:themeColor="text1"/>
                <w:sz w:val="28"/>
                <w:szCs w:val="28"/>
              </w:rPr>
            </w:pPr>
          </w:p>
          <w:p w:rsidR="000D1ED1" w:rsidRPr="00C074BA" w:rsidRDefault="000D1ED1" w:rsidP="007E7D4B">
            <w:pPr>
              <w:rPr>
                <w:color w:val="000000" w:themeColor="text1"/>
                <w:sz w:val="28"/>
                <w:szCs w:val="28"/>
                <w:lang w:eastAsia="ru-RU"/>
              </w:rPr>
            </w:pPr>
            <w:r w:rsidRPr="00C074BA">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37201C">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Default="007714BB" w:rsidP="007714BB">
            <w:pPr>
              <w:rPr>
                <w:sz w:val="28"/>
                <w:szCs w:val="28"/>
              </w:rPr>
            </w:pPr>
            <w:r w:rsidRPr="00C568A3">
              <w:rPr>
                <w:sz w:val="28"/>
                <w:szCs w:val="28"/>
              </w:rPr>
              <w:t xml:space="preserve">Прізвище, ім’я та по батькові, номер телефону та адреса електронної пошти особи, яка надає додаткову інформацію з </w:t>
            </w:r>
            <w:r w:rsidRPr="00C568A3">
              <w:rPr>
                <w:sz w:val="28"/>
                <w:szCs w:val="28"/>
              </w:rPr>
              <w:lastRenderedPageBreak/>
              <w:t>питань проведення конкурсу</w:t>
            </w:r>
          </w:p>
          <w:p w:rsidR="00B14E2C" w:rsidRPr="00C568A3" w:rsidRDefault="00B14E2C" w:rsidP="007714BB">
            <w:pPr>
              <w:rPr>
                <w:sz w:val="28"/>
                <w:szCs w:val="28"/>
              </w:rPr>
            </w:pP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lastRenderedPageBreak/>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rsidTr="00C757EB">
        <w:trPr>
          <w:trHeight w:val="521"/>
        </w:trPr>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C757EB" w:rsidRDefault="000A125D" w:rsidP="00B14E2C">
            <w:pPr>
              <w:jc w:val="both"/>
              <w:rPr>
                <w:sz w:val="28"/>
                <w:szCs w:val="28"/>
              </w:rPr>
            </w:pPr>
            <w:r w:rsidRPr="00C757EB">
              <w:rPr>
                <w:rFonts w:eastAsia="Calibri"/>
                <w:sz w:val="28"/>
                <w:szCs w:val="22"/>
                <w:shd w:val="clear" w:color="auto" w:fill="FFFFFF"/>
                <w:lang w:eastAsia="en-US"/>
              </w:rPr>
              <w:t>вища освіта, не нижче ступеня бакалавра, галузь знань – «Інформаційні технології»</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046D6C" w:rsidRPr="00C757EB" w:rsidRDefault="000A125D" w:rsidP="00C757EB">
            <w:pPr>
              <w:jc w:val="both"/>
              <w:rPr>
                <w:sz w:val="28"/>
                <w:szCs w:val="28"/>
              </w:rPr>
            </w:pPr>
            <w:r w:rsidRPr="00C757EB">
              <w:rPr>
                <w:sz w:val="28"/>
                <w:szCs w:val="28"/>
              </w:rPr>
              <w:t>досвід роботи у сфері інформаційної безпеки, адміністрування інформаційни</w:t>
            </w:r>
            <w:r w:rsidR="00C757EB" w:rsidRPr="00C757EB">
              <w:rPr>
                <w:sz w:val="28"/>
                <w:szCs w:val="28"/>
              </w:rPr>
              <w:t xml:space="preserve">х та телекомунікаційних систем, </w:t>
            </w:r>
            <w:r w:rsidR="00E32565" w:rsidRPr="00C757EB">
              <w:rPr>
                <w:sz w:val="28"/>
                <w:szCs w:val="28"/>
              </w:rPr>
              <w:t>досвід роботи з інформацією з обмеженим доступом</w:t>
            </w:r>
          </w:p>
        </w:tc>
      </w:tr>
      <w:tr w:rsidR="00AE0295"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AE0295" w:rsidRPr="00C568A3" w:rsidRDefault="00AE0295" w:rsidP="00AE0295">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AE0295" w:rsidRPr="006F31B3" w:rsidRDefault="00AE0295" w:rsidP="00AE0295">
            <w:pPr>
              <w:rPr>
                <w:color w:val="FF0000"/>
                <w:sz w:val="28"/>
                <w:szCs w:val="28"/>
              </w:rPr>
            </w:pPr>
            <w:r w:rsidRPr="00F1466D">
              <w:rPr>
                <w:sz w:val="28"/>
                <w:szCs w:val="28"/>
              </w:rPr>
              <w:t>вільне володіння державною мовою</w:t>
            </w:r>
            <w:r>
              <w:rPr>
                <w:sz w:val="28"/>
                <w:szCs w:val="28"/>
              </w:rPr>
              <w:t>, що підтверджено відповідним сертифікатом з української мови для держслужбовців</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142041">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E32565" w:rsidRPr="00C568A3" w:rsidTr="00EE23FE">
        <w:tc>
          <w:tcPr>
            <w:tcW w:w="3570" w:type="dxa"/>
            <w:tcBorders>
              <w:top w:val="single" w:sz="4" w:space="0" w:color="000000"/>
              <w:left w:val="single" w:sz="4" w:space="0" w:color="000000"/>
              <w:bottom w:val="single" w:sz="4" w:space="0" w:color="000000"/>
              <w:right w:val="single" w:sz="4" w:space="0" w:color="000000"/>
            </w:tcBorders>
          </w:tcPr>
          <w:p w:rsidR="00E32565" w:rsidRPr="00AE0295" w:rsidRDefault="00E32565" w:rsidP="00E32565">
            <w:pPr>
              <w:rPr>
                <w:sz w:val="28"/>
                <w:szCs w:val="28"/>
              </w:rPr>
            </w:pPr>
            <w:r w:rsidRPr="00AE0295">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E32565" w:rsidRPr="00AE0295" w:rsidRDefault="00761818" w:rsidP="00761818">
            <w:pPr>
              <w:jc w:val="both"/>
              <w:rPr>
                <w:sz w:val="28"/>
                <w:szCs w:val="28"/>
              </w:rPr>
            </w:pPr>
            <w:r w:rsidRPr="00AE0295">
              <w:rPr>
                <w:sz w:val="28"/>
                <w:szCs w:val="28"/>
              </w:rPr>
              <w:t xml:space="preserve">- </w:t>
            </w:r>
            <w:r w:rsidR="00E32565" w:rsidRPr="00AE0295">
              <w:rPr>
                <w:sz w:val="28"/>
                <w:szCs w:val="28"/>
              </w:rPr>
              <w:t>здатність до чіткого бачення результатів діяльності;</w:t>
            </w:r>
          </w:p>
          <w:p w:rsidR="00E32565" w:rsidRPr="00AE0295" w:rsidRDefault="00761818" w:rsidP="00761818">
            <w:pPr>
              <w:jc w:val="both"/>
              <w:rPr>
                <w:sz w:val="28"/>
                <w:szCs w:val="28"/>
              </w:rPr>
            </w:pPr>
            <w:r w:rsidRPr="00AE0295">
              <w:rPr>
                <w:sz w:val="28"/>
                <w:szCs w:val="28"/>
              </w:rPr>
              <w:t xml:space="preserve">- </w:t>
            </w:r>
            <w:r w:rsidR="00E32565" w:rsidRPr="00AE0295">
              <w:rPr>
                <w:sz w:val="28"/>
                <w:szCs w:val="28"/>
              </w:rPr>
              <w:t>вміння фокусувати зусилля для досягнення результату діяльності;</w:t>
            </w:r>
          </w:p>
          <w:p w:rsidR="00E32565" w:rsidRPr="00AE0295" w:rsidRDefault="00761818" w:rsidP="00761818">
            <w:pPr>
              <w:jc w:val="both"/>
              <w:rPr>
                <w:sz w:val="28"/>
                <w:szCs w:val="28"/>
              </w:rPr>
            </w:pPr>
            <w:r w:rsidRPr="00AE0295">
              <w:rPr>
                <w:sz w:val="28"/>
                <w:szCs w:val="28"/>
              </w:rPr>
              <w:t xml:space="preserve">- </w:t>
            </w:r>
            <w:r w:rsidR="00E32565" w:rsidRPr="00AE0295">
              <w:rPr>
                <w:sz w:val="28"/>
                <w:szCs w:val="28"/>
              </w:rPr>
              <w:t>вміння запобігати та ефективно долати перешкоди;</w:t>
            </w:r>
          </w:p>
        </w:tc>
      </w:tr>
      <w:tr w:rsidR="00E32565" w:rsidRPr="00C568A3" w:rsidTr="00EE23FE">
        <w:tc>
          <w:tcPr>
            <w:tcW w:w="3570" w:type="dxa"/>
            <w:tcBorders>
              <w:top w:val="single" w:sz="4" w:space="0" w:color="000000"/>
              <w:left w:val="single" w:sz="4" w:space="0" w:color="000000"/>
              <w:bottom w:val="single" w:sz="4" w:space="0" w:color="000000"/>
              <w:right w:val="single" w:sz="4" w:space="0" w:color="000000"/>
            </w:tcBorders>
          </w:tcPr>
          <w:p w:rsidR="00E32565" w:rsidRPr="00AE0295" w:rsidRDefault="00E32565" w:rsidP="00E32565">
            <w:pPr>
              <w:rPr>
                <w:sz w:val="28"/>
                <w:szCs w:val="28"/>
              </w:rPr>
            </w:pPr>
            <w:r w:rsidRPr="00AE0295">
              <w:rPr>
                <w:sz w:val="28"/>
                <w:szCs w:val="28"/>
              </w:rPr>
              <w:t>Відповідальність</w:t>
            </w:r>
          </w:p>
        </w:tc>
        <w:tc>
          <w:tcPr>
            <w:tcW w:w="6255" w:type="dxa"/>
            <w:tcBorders>
              <w:top w:val="single" w:sz="4" w:space="0" w:color="000000"/>
              <w:left w:val="single" w:sz="4" w:space="0" w:color="000000"/>
              <w:bottom w:val="single" w:sz="4" w:space="0" w:color="000000"/>
              <w:right w:val="single" w:sz="4" w:space="0" w:color="000000"/>
            </w:tcBorders>
          </w:tcPr>
          <w:p w:rsidR="00E32565" w:rsidRPr="00AE0295" w:rsidRDefault="00761818" w:rsidP="00761818">
            <w:pPr>
              <w:jc w:val="both"/>
              <w:rPr>
                <w:sz w:val="28"/>
                <w:szCs w:val="28"/>
              </w:rPr>
            </w:pPr>
            <w:r w:rsidRPr="00AE0295">
              <w:rPr>
                <w:sz w:val="28"/>
                <w:szCs w:val="28"/>
              </w:rPr>
              <w:t>- усвідомлення важливості якісного виконання своїх посадових обов’язків з дотриманням строків та встановлених процедур</w:t>
            </w:r>
            <w:r w:rsidR="004B0085" w:rsidRPr="00AE0295">
              <w:rPr>
                <w:sz w:val="28"/>
                <w:szCs w:val="28"/>
              </w:rPr>
              <w:t>;</w:t>
            </w:r>
          </w:p>
          <w:p w:rsidR="00761818" w:rsidRPr="00AE0295" w:rsidRDefault="00761818" w:rsidP="004B0085">
            <w:pPr>
              <w:jc w:val="both"/>
              <w:rPr>
                <w:sz w:val="28"/>
                <w:szCs w:val="28"/>
              </w:rPr>
            </w:pPr>
            <w:r w:rsidRPr="00AE0295">
              <w:rPr>
                <w:sz w:val="28"/>
                <w:szCs w:val="28"/>
              </w:rPr>
              <w:t xml:space="preserve">- усвідомлення </w:t>
            </w:r>
            <w:r w:rsidR="004B0085" w:rsidRPr="00AE0295">
              <w:rPr>
                <w:sz w:val="28"/>
                <w:szCs w:val="28"/>
              </w:rPr>
              <w:t>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17000F" w:rsidRPr="00AE0295" w:rsidRDefault="0017000F" w:rsidP="0017000F">
            <w:pPr>
              <w:jc w:val="both"/>
              <w:rPr>
                <w:sz w:val="28"/>
                <w:szCs w:val="28"/>
              </w:rPr>
            </w:pPr>
            <w:r w:rsidRPr="00AE0295">
              <w:rPr>
                <w:sz w:val="28"/>
                <w:szCs w:val="28"/>
              </w:rPr>
              <w:t xml:space="preserve">- здатність брати на себе зобов’язання, чітко їх дотримуватись і виконувати </w:t>
            </w:r>
          </w:p>
        </w:tc>
      </w:tr>
      <w:tr w:rsidR="00AE0295" w:rsidRPr="00C568A3">
        <w:tc>
          <w:tcPr>
            <w:tcW w:w="3570" w:type="dxa"/>
            <w:tcBorders>
              <w:top w:val="single" w:sz="4" w:space="0" w:color="000000"/>
              <w:left w:val="single" w:sz="4" w:space="0" w:color="000000"/>
              <w:bottom w:val="single" w:sz="4" w:space="0" w:color="000000"/>
              <w:right w:val="single" w:sz="4" w:space="0" w:color="000000"/>
            </w:tcBorders>
          </w:tcPr>
          <w:p w:rsidR="00AE0295" w:rsidRPr="00AE0295" w:rsidRDefault="00AE0295" w:rsidP="00AE0295">
            <w:pPr>
              <w:rPr>
                <w:sz w:val="28"/>
                <w:szCs w:val="28"/>
              </w:rPr>
            </w:pPr>
            <w:r w:rsidRPr="00AE0295">
              <w:rPr>
                <w:sz w:val="28"/>
                <w:szCs w:val="28"/>
              </w:rPr>
              <w:t>Цифрова грамотність</w:t>
            </w:r>
          </w:p>
        </w:tc>
        <w:tc>
          <w:tcPr>
            <w:tcW w:w="6255" w:type="dxa"/>
            <w:tcBorders>
              <w:top w:val="single" w:sz="4" w:space="0" w:color="000000"/>
              <w:left w:val="single" w:sz="4" w:space="0" w:color="000000"/>
              <w:bottom w:val="single" w:sz="4" w:space="0" w:color="000000"/>
              <w:right w:val="single" w:sz="4" w:space="0" w:color="000000"/>
            </w:tcBorders>
          </w:tcPr>
          <w:p w:rsidR="00AE0295" w:rsidRPr="00AE0295" w:rsidRDefault="00AE0295" w:rsidP="00AE0295">
            <w:pPr>
              <w:tabs>
                <w:tab w:val="left" w:pos="510"/>
              </w:tabs>
              <w:rPr>
                <w:sz w:val="28"/>
                <w:szCs w:val="28"/>
              </w:rPr>
            </w:pPr>
            <w:r w:rsidRPr="00AE0295">
              <w:rPr>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E0295" w:rsidRPr="00AE0295" w:rsidRDefault="00AE0295" w:rsidP="00AE0295">
            <w:pPr>
              <w:tabs>
                <w:tab w:val="left" w:pos="510"/>
              </w:tabs>
              <w:rPr>
                <w:sz w:val="28"/>
                <w:szCs w:val="28"/>
              </w:rPr>
            </w:pPr>
            <w:r w:rsidRPr="00AE0295">
              <w:rPr>
                <w:sz w:val="28"/>
                <w:szCs w:val="28"/>
              </w:rPr>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AE0295" w:rsidRPr="00AE0295" w:rsidRDefault="00AE0295" w:rsidP="00AE0295">
            <w:pPr>
              <w:tabs>
                <w:tab w:val="left" w:pos="510"/>
              </w:tabs>
              <w:rPr>
                <w:sz w:val="28"/>
                <w:szCs w:val="28"/>
              </w:rPr>
            </w:pPr>
            <w:r w:rsidRPr="00AE0295">
              <w:rPr>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AE0295" w:rsidRPr="00AE0295" w:rsidRDefault="00AE0295" w:rsidP="00AE0295">
            <w:pPr>
              <w:tabs>
                <w:tab w:val="left" w:pos="510"/>
              </w:tabs>
              <w:rPr>
                <w:sz w:val="28"/>
                <w:szCs w:val="28"/>
              </w:rPr>
            </w:pPr>
            <w:r w:rsidRPr="00AE0295">
              <w:rPr>
                <w:sz w:val="28"/>
                <w:szCs w:val="28"/>
              </w:rPr>
              <w:t>здатність уникати небезпек в цифровому середовищі, захищати особисті та конфіденційні дані;</w:t>
            </w:r>
          </w:p>
          <w:p w:rsidR="00AE0295" w:rsidRPr="00AE0295" w:rsidRDefault="00AE0295" w:rsidP="00AE0295">
            <w:pPr>
              <w:tabs>
                <w:tab w:val="left" w:pos="510"/>
              </w:tabs>
              <w:rPr>
                <w:sz w:val="28"/>
                <w:szCs w:val="28"/>
              </w:rPr>
            </w:pPr>
            <w:r w:rsidRPr="00AE0295">
              <w:rPr>
                <w:sz w:val="28"/>
                <w:szCs w:val="28"/>
              </w:rPr>
              <w:lastRenderedPageBreak/>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AE0295" w:rsidRPr="00AE0295" w:rsidRDefault="00AE0295" w:rsidP="00AE0295">
            <w:pPr>
              <w:tabs>
                <w:tab w:val="left" w:pos="510"/>
              </w:tabs>
              <w:rPr>
                <w:sz w:val="28"/>
                <w:szCs w:val="28"/>
              </w:rPr>
            </w:pPr>
            <w:r w:rsidRPr="00AE0295">
              <w:rPr>
                <w:sz w:val="28"/>
                <w:szCs w:val="28"/>
              </w:rPr>
              <w:t>здатність використовувати відкриті цифрові ресурси для власного професійного розвитку</w:t>
            </w:r>
          </w:p>
        </w:tc>
      </w:tr>
      <w:tr w:rsidR="00764863" w:rsidRPr="00C568A3">
        <w:tc>
          <w:tcPr>
            <w:tcW w:w="3570" w:type="dxa"/>
            <w:tcBorders>
              <w:top w:val="single" w:sz="4" w:space="0" w:color="000000"/>
              <w:left w:val="single" w:sz="4" w:space="0" w:color="000000"/>
              <w:bottom w:val="single" w:sz="4" w:space="0" w:color="000000"/>
              <w:right w:val="single" w:sz="4" w:space="0" w:color="000000"/>
            </w:tcBorders>
          </w:tcPr>
          <w:p w:rsidR="00764863" w:rsidRPr="00AE0295" w:rsidRDefault="00764863" w:rsidP="00E32565">
            <w:pPr>
              <w:rPr>
                <w:sz w:val="28"/>
                <w:szCs w:val="28"/>
              </w:rPr>
            </w:pPr>
            <w:r w:rsidRPr="00AE0295">
              <w:rPr>
                <w:sz w:val="28"/>
                <w:szCs w:val="28"/>
              </w:rPr>
              <w:lastRenderedPageBreak/>
              <w:t>Доброчесність</w:t>
            </w:r>
          </w:p>
        </w:tc>
        <w:tc>
          <w:tcPr>
            <w:tcW w:w="6255" w:type="dxa"/>
            <w:tcBorders>
              <w:top w:val="single" w:sz="4" w:space="0" w:color="000000"/>
              <w:left w:val="single" w:sz="4" w:space="0" w:color="000000"/>
              <w:bottom w:val="single" w:sz="4" w:space="0" w:color="000000"/>
              <w:right w:val="single" w:sz="4" w:space="0" w:color="000000"/>
            </w:tcBorders>
          </w:tcPr>
          <w:p w:rsidR="00764863" w:rsidRPr="00AE0295" w:rsidRDefault="00C32D6D" w:rsidP="00C32D6D">
            <w:pPr>
              <w:tabs>
                <w:tab w:val="left" w:pos="510"/>
              </w:tabs>
              <w:jc w:val="both"/>
              <w:rPr>
                <w:sz w:val="28"/>
                <w:szCs w:val="28"/>
              </w:rPr>
            </w:pPr>
            <w:r w:rsidRPr="00AE0295">
              <w:rPr>
                <w:sz w:val="28"/>
                <w:szCs w:val="28"/>
              </w:rPr>
              <w:t>- з</w:t>
            </w:r>
            <w:r w:rsidR="00764863" w:rsidRPr="00AE0295">
              <w:rPr>
                <w:sz w:val="28"/>
                <w:szCs w:val="28"/>
              </w:rPr>
              <w:t>датність спрямовувати власні дії на захист публічних інтересів, утримуватись від конфлікту між приватними та публічними інтересами, ефективно розпоря</w:t>
            </w:r>
            <w:r w:rsidRPr="00AE0295">
              <w:rPr>
                <w:sz w:val="28"/>
                <w:szCs w:val="28"/>
              </w:rPr>
              <w:t>джатись державними ресурсами;</w:t>
            </w:r>
          </w:p>
          <w:p w:rsidR="00C32D6D" w:rsidRPr="00AE0295" w:rsidRDefault="00C32D6D" w:rsidP="00C32D6D">
            <w:pPr>
              <w:tabs>
                <w:tab w:val="left" w:pos="510"/>
              </w:tabs>
              <w:jc w:val="both"/>
              <w:rPr>
                <w:sz w:val="28"/>
                <w:szCs w:val="28"/>
              </w:rPr>
            </w:pPr>
            <w:r w:rsidRPr="00AE0295">
              <w:rPr>
                <w:sz w:val="28"/>
                <w:szCs w:val="28"/>
              </w:rPr>
              <w:t>- здатність дотримуватись правил етичної поведінки, порядності, чесності, справедливості, підзвітності</w:t>
            </w:r>
            <w:r w:rsidR="00AE0295" w:rsidRPr="00AE0295">
              <w:rPr>
                <w:sz w:val="28"/>
                <w:szCs w:val="28"/>
              </w:rPr>
              <w:t>;</w:t>
            </w:r>
          </w:p>
          <w:p w:rsidR="00AE0295" w:rsidRPr="00AE0295" w:rsidRDefault="00AE0295" w:rsidP="00C32D6D">
            <w:pPr>
              <w:tabs>
                <w:tab w:val="left" w:pos="510"/>
              </w:tabs>
              <w:jc w:val="both"/>
              <w:rPr>
                <w:sz w:val="28"/>
                <w:szCs w:val="28"/>
              </w:rPr>
            </w:pPr>
            <w:r w:rsidRPr="00AE0295">
              <w:rPr>
                <w:sz w:val="28"/>
                <w:szCs w:val="28"/>
              </w:rPr>
              <w:t xml:space="preserve">- усвідомлення обмеження у виявленні переваг, </w:t>
            </w:r>
            <w:proofErr w:type="spellStart"/>
            <w:r w:rsidRPr="00AE0295">
              <w:rPr>
                <w:sz w:val="28"/>
                <w:szCs w:val="28"/>
              </w:rPr>
              <w:t>приильності</w:t>
            </w:r>
            <w:proofErr w:type="spellEnd"/>
            <w:r w:rsidRPr="00AE0295">
              <w:rPr>
                <w:sz w:val="28"/>
                <w:szCs w:val="28"/>
              </w:rPr>
              <w:t xml:space="preserve"> та/або негативного ставлення до окремих фізичних та юридичних, політичних партій, громадських, релігійних та інших організацій </w:t>
            </w:r>
          </w:p>
        </w:tc>
      </w:tr>
      <w:tr w:rsidR="00E32565"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E32565" w:rsidRPr="00C568A3" w:rsidRDefault="00E32565" w:rsidP="00E32565">
            <w:pPr>
              <w:jc w:val="center"/>
              <w:rPr>
                <w:color w:val="000000"/>
                <w:sz w:val="28"/>
                <w:szCs w:val="28"/>
              </w:rPr>
            </w:pPr>
            <w:r>
              <w:rPr>
                <w:sz w:val="28"/>
                <w:szCs w:val="28"/>
              </w:rPr>
              <w:tab/>
            </w:r>
            <w:r w:rsidRPr="00C568A3">
              <w:rPr>
                <w:color w:val="000000"/>
                <w:sz w:val="28"/>
                <w:szCs w:val="28"/>
              </w:rPr>
              <w:t>Професійні знання</w:t>
            </w:r>
          </w:p>
        </w:tc>
      </w:tr>
      <w:tr w:rsidR="00E32565" w:rsidRPr="00C568A3" w:rsidTr="00CD2818">
        <w:tc>
          <w:tcPr>
            <w:tcW w:w="3570" w:type="dxa"/>
            <w:tcBorders>
              <w:top w:val="single" w:sz="4" w:space="0" w:color="000000"/>
              <w:left w:val="single" w:sz="4" w:space="0" w:color="000000"/>
              <w:bottom w:val="single" w:sz="4" w:space="0" w:color="000000"/>
              <w:right w:val="single" w:sz="4" w:space="0" w:color="000000"/>
            </w:tcBorders>
          </w:tcPr>
          <w:p w:rsidR="00E32565" w:rsidRPr="00C568A3" w:rsidRDefault="00E32565" w:rsidP="00E32565">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E32565" w:rsidRPr="00C568A3" w:rsidRDefault="00E32565" w:rsidP="00E32565">
            <w:pPr>
              <w:jc w:val="center"/>
              <w:rPr>
                <w:color w:val="000000"/>
                <w:sz w:val="28"/>
                <w:szCs w:val="28"/>
              </w:rPr>
            </w:pPr>
            <w:r w:rsidRPr="00C568A3">
              <w:rPr>
                <w:color w:val="000000"/>
                <w:sz w:val="28"/>
                <w:szCs w:val="28"/>
              </w:rPr>
              <w:t>Компоненти вимоги</w:t>
            </w:r>
          </w:p>
        </w:tc>
      </w:tr>
      <w:tr w:rsidR="00AE0295" w:rsidRPr="00C568A3" w:rsidTr="00CD2818">
        <w:tc>
          <w:tcPr>
            <w:tcW w:w="3570" w:type="dxa"/>
            <w:tcBorders>
              <w:top w:val="single" w:sz="4" w:space="0" w:color="000000"/>
              <w:left w:val="single" w:sz="4" w:space="0" w:color="000000"/>
              <w:bottom w:val="single" w:sz="4" w:space="0" w:color="000000"/>
              <w:right w:val="single" w:sz="4" w:space="0" w:color="000000"/>
            </w:tcBorders>
          </w:tcPr>
          <w:p w:rsidR="00AE0295" w:rsidRPr="00C568A3" w:rsidRDefault="00AE0295" w:rsidP="00AE0295">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AE0295" w:rsidRDefault="00AE0295" w:rsidP="00A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AE0295" w:rsidRDefault="00AE0295" w:rsidP="00A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Закон</w:t>
            </w:r>
            <w:r>
              <w:rPr>
                <w:sz w:val="28"/>
                <w:szCs w:val="28"/>
              </w:rPr>
              <w:t>у України “Про державну службу”,</w:t>
            </w:r>
          </w:p>
          <w:p w:rsidR="00AE0295" w:rsidRPr="000301AA" w:rsidRDefault="00AE0295" w:rsidP="00A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E32565" w:rsidRPr="00C568A3" w:rsidTr="00CD2818">
        <w:tc>
          <w:tcPr>
            <w:tcW w:w="3570" w:type="dxa"/>
          </w:tcPr>
          <w:p w:rsidR="00E32565" w:rsidRPr="00AE0295" w:rsidRDefault="003E001A" w:rsidP="00672B9B">
            <w:pPr>
              <w:spacing w:before="150" w:after="150"/>
              <w:ind w:left="149" w:right="141"/>
              <w:rPr>
                <w:sz w:val="28"/>
                <w:szCs w:val="28"/>
              </w:rPr>
            </w:pPr>
            <w:r w:rsidRPr="00AE0295">
              <w:rPr>
                <w:sz w:val="28"/>
                <w:szCs w:val="28"/>
              </w:rPr>
              <w:t xml:space="preserve">Знання </w:t>
            </w:r>
            <w:r w:rsidR="00142041" w:rsidRPr="00AE0295">
              <w:rPr>
                <w:sz w:val="28"/>
                <w:szCs w:val="28"/>
              </w:rPr>
              <w:t>систем захисту інформації</w:t>
            </w:r>
          </w:p>
        </w:tc>
        <w:tc>
          <w:tcPr>
            <w:tcW w:w="6255" w:type="dxa"/>
          </w:tcPr>
          <w:p w:rsidR="00AE0295" w:rsidRPr="00AE0295" w:rsidRDefault="00AE0295" w:rsidP="00AE0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E0295">
              <w:rPr>
                <w:sz w:val="28"/>
                <w:szCs w:val="28"/>
              </w:rPr>
              <w:t xml:space="preserve">- знання законодавство: Закон України «Про захист інформації в інформаційно-телекомунікаційних системах», Закон України «Про основні засади забезпечення </w:t>
            </w:r>
            <w:proofErr w:type="spellStart"/>
            <w:r w:rsidRPr="00AE0295">
              <w:rPr>
                <w:sz w:val="28"/>
                <w:szCs w:val="28"/>
              </w:rPr>
              <w:t>кібербезпеки</w:t>
            </w:r>
            <w:proofErr w:type="spellEnd"/>
            <w:r w:rsidRPr="00AE0295">
              <w:rPr>
                <w:sz w:val="28"/>
                <w:szCs w:val="28"/>
              </w:rPr>
              <w:t xml:space="preserve"> України», Закон України «Про інформацію», Закон України «Про доступ до публічної інформації, Закон України «Про захист персональних даних», постанова КМУ від 29.03.2006 № 373 «Про затвердження Правил забезпечення захисту інформації в інформаційних, телекомунікаційних та інформаційно-телекомунікаційних системах» та документів системи технічного захисту інформації (НД ТЗІ)</w:t>
            </w:r>
          </w:p>
          <w:p w:rsidR="00E32565" w:rsidRPr="00AE0295" w:rsidRDefault="00142041" w:rsidP="00142041">
            <w:pPr>
              <w:pStyle w:val="rvps14"/>
              <w:spacing w:before="0" w:beforeAutospacing="0" w:after="0" w:afterAutospacing="0"/>
              <w:jc w:val="both"/>
              <w:rPr>
                <w:sz w:val="28"/>
                <w:szCs w:val="28"/>
                <w:lang w:val="uk-UA" w:eastAsia="en-US"/>
              </w:rPr>
            </w:pPr>
            <w:r w:rsidRPr="00AE0295">
              <w:rPr>
                <w:sz w:val="28"/>
                <w:szCs w:val="28"/>
                <w:lang w:val="uk-UA" w:eastAsia="en-US"/>
              </w:rPr>
              <w:t>- складові політики інформаційної безпеки;</w:t>
            </w:r>
          </w:p>
          <w:p w:rsidR="00672B9B" w:rsidRPr="00AE0295" w:rsidRDefault="00142041" w:rsidP="00672B9B">
            <w:pPr>
              <w:pStyle w:val="rvps14"/>
              <w:spacing w:before="0" w:beforeAutospacing="0" w:after="0" w:afterAutospacing="0"/>
              <w:jc w:val="both"/>
              <w:rPr>
                <w:sz w:val="28"/>
                <w:szCs w:val="28"/>
                <w:lang w:val="uk-UA" w:eastAsia="en-US"/>
              </w:rPr>
            </w:pPr>
            <w:r w:rsidRPr="00AE0295">
              <w:rPr>
                <w:sz w:val="28"/>
                <w:szCs w:val="28"/>
                <w:lang w:val="uk-UA" w:eastAsia="en-US"/>
              </w:rPr>
              <w:lastRenderedPageBreak/>
              <w:t>- забезпечення функціонування комплексних систем захисту інформації</w:t>
            </w:r>
            <w:r w:rsidR="00672B9B" w:rsidRPr="00AE0295">
              <w:rPr>
                <w:sz w:val="28"/>
                <w:szCs w:val="28"/>
                <w:lang w:val="uk-UA" w:eastAsia="en-US"/>
              </w:rPr>
              <w:t>;</w:t>
            </w:r>
          </w:p>
          <w:p w:rsidR="00672B9B" w:rsidRPr="00AE0295" w:rsidRDefault="00672B9B" w:rsidP="00672B9B">
            <w:pPr>
              <w:pStyle w:val="rvps14"/>
              <w:spacing w:before="0" w:beforeAutospacing="0" w:after="0" w:afterAutospacing="0"/>
              <w:jc w:val="both"/>
              <w:rPr>
                <w:sz w:val="28"/>
                <w:szCs w:val="28"/>
                <w:lang w:val="uk-UA" w:eastAsia="en-US"/>
              </w:rPr>
            </w:pPr>
            <w:r w:rsidRPr="00AE0295">
              <w:rPr>
                <w:sz w:val="28"/>
                <w:szCs w:val="28"/>
                <w:lang w:val="uk-UA" w:eastAsia="en-US"/>
              </w:rPr>
              <w:t>- володіння найбільш вживаним стандартним програмним забезпеченням</w:t>
            </w:r>
          </w:p>
          <w:p w:rsidR="00672B9B" w:rsidRPr="00AE0295" w:rsidRDefault="00672B9B" w:rsidP="00672B9B">
            <w:pPr>
              <w:pStyle w:val="rvps14"/>
              <w:spacing w:before="0" w:beforeAutospacing="0" w:after="0" w:afterAutospacing="0"/>
              <w:jc w:val="both"/>
              <w:rPr>
                <w:sz w:val="28"/>
                <w:szCs w:val="28"/>
                <w:lang w:val="uk-UA" w:eastAsia="en-US"/>
              </w:rPr>
            </w:pPr>
            <w:r w:rsidRPr="00AE0295">
              <w:rPr>
                <w:sz w:val="28"/>
                <w:szCs w:val="28"/>
                <w:lang w:val="uk-UA" w:eastAsia="en-US"/>
              </w:rPr>
              <w:t>- навички протидії витоку інформації, у тому числі технічними каналами;</w:t>
            </w:r>
          </w:p>
          <w:p w:rsidR="00672B9B" w:rsidRPr="00AE0295" w:rsidRDefault="00672B9B" w:rsidP="00672B9B">
            <w:pPr>
              <w:pStyle w:val="rvps14"/>
              <w:spacing w:before="0" w:beforeAutospacing="0" w:after="0" w:afterAutospacing="0"/>
              <w:jc w:val="both"/>
              <w:rPr>
                <w:sz w:val="28"/>
                <w:szCs w:val="28"/>
                <w:lang w:val="uk-UA" w:eastAsia="en-US"/>
              </w:rPr>
            </w:pPr>
            <w:r w:rsidRPr="00AE0295">
              <w:rPr>
                <w:sz w:val="28"/>
                <w:szCs w:val="28"/>
                <w:lang w:val="uk-UA" w:eastAsia="en-US"/>
              </w:rPr>
              <w:t>- знання сучасних засобів технічної та інформаційної безпеки</w:t>
            </w:r>
          </w:p>
          <w:p w:rsidR="00672B9B" w:rsidRPr="00AE0295" w:rsidRDefault="00672B9B" w:rsidP="00142041">
            <w:pPr>
              <w:pStyle w:val="rvps14"/>
              <w:spacing w:before="0" w:beforeAutospacing="0" w:after="0" w:afterAutospacing="0"/>
              <w:jc w:val="both"/>
              <w:rPr>
                <w:sz w:val="28"/>
                <w:szCs w:val="28"/>
                <w:lang w:val="uk-UA" w:eastAsia="en-US"/>
              </w:rPr>
            </w:pPr>
          </w:p>
        </w:tc>
      </w:tr>
    </w:tbl>
    <w:p w:rsidR="00E943D4" w:rsidRPr="00C568A3" w:rsidRDefault="00E943D4" w:rsidP="00C568A3">
      <w:pPr>
        <w:tabs>
          <w:tab w:val="left" w:pos="2040"/>
        </w:tabs>
        <w:rPr>
          <w:sz w:val="28"/>
          <w:szCs w:val="28"/>
        </w:rPr>
      </w:pPr>
    </w:p>
    <w:sectPr w:rsidR="00E943D4" w:rsidRPr="00C568A3">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14CE54AE"/>
    <w:multiLevelType w:val="hybridMultilevel"/>
    <w:tmpl w:val="D9FA0C56"/>
    <w:lvl w:ilvl="0" w:tplc="26F62BC0">
      <w:numFmt w:val="bullet"/>
      <w:lvlText w:val="-"/>
      <w:lvlJc w:val="left"/>
      <w:pPr>
        <w:ind w:left="384" w:hanging="360"/>
      </w:pPr>
      <w:rPr>
        <w:rFonts w:ascii="Times New Roman" w:eastAsia="Times New Roman" w:hAnsi="Times New Roman" w:cs="Times New Roman" w:hint="default"/>
      </w:rPr>
    </w:lvl>
    <w:lvl w:ilvl="1" w:tplc="04220003" w:tentative="1">
      <w:start w:val="1"/>
      <w:numFmt w:val="bullet"/>
      <w:lvlText w:val="o"/>
      <w:lvlJc w:val="left"/>
      <w:pPr>
        <w:ind w:left="1104" w:hanging="360"/>
      </w:pPr>
      <w:rPr>
        <w:rFonts w:ascii="Courier New" w:hAnsi="Courier New" w:cs="Courier New" w:hint="default"/>
      </w:rPr>
    </w:lvl>
    <w:lvl w:ilvl="2" w:tplc="04220005" w:tentative="1">
      <w:start w:val="1"/>
      <w:numFmt w:val="bullet"/>
      <w:lvlText w:val=""/>
      <w:lvlJc w:val="left"/>
      <w:pPr>
        <w:ind w:left="1824" w:hanging="360"/>
      </w:pPr>
      <w:rPr>
        <w:rFonts w:ascii="Wingdings" w:hAnsi="Wingdings" w:hint="default"/>
      </w:rPr>
    </w:lvl>
    <w:lvl w:ilvl="3" w:tplc="04220001" w:tentative="1">
      <w:start w:val="1"/>
      <w:numFmt w:val="bullet"/>
      <w:lvlText w:val=""/>
      <w:lvlJc w:val="left"/>
      <w:pPr>
        <w:ind w:left="2544" w:hanging="360"/>
      </w:pPr>
      <w:rPr>
        <w:rFonts w:ascii="Symbol" w:hAnsi="Symbol" w:hint="default"/>
      </w:rPr>
    </w:lvl>
    <w:lvl w:ilvl="4" w:tplc="04220003" w:tentative="1">
      <w:start w:val="1"/>
      <w:numFmt w:val="bullet"/>
      <w:lvlText w:val="o"/>
      <w:lvlJc w:val="left"/>
      <w:pPr>
        <w:ind w:left="3264" w:hanging="360"/>
      </w:pPr>
      <w:rPr>
        <w:rFonts w:ascii="Courier New" w:hAnsi="Courier New" w:cs="Courier New" w:hint="default"/>
      </w:rPr>
    </w:lvl>
    <w:lvl w:ilvl="5" w:tplc="04220005" w:tentative="1">
      <w:start w:val="1"/>
      <w:numFmt w:val="bullet"/>
      <w:lvlText w:val=""/>
      <w:lvlJc w:val="left"/>
      <w:pPr>
        <w:ind w:left="3984" w:hanging="360"/>
      </w:pPr>
      <w:rPr>
        <w:rFonts w:ascii="Wingdings" w:hAnsi="Wingdings" w:hint="default"/>
      </w:rPr>
    </w:lvl>
    <w:lvl w:ilvl="6" w:tplc="04220001" w:tentative="1">
      <w:start w:val="1"/>
      <w:numFmt w:val="bullet"/>
      <w:lvlText w:val=""/>
      <w:lvlJc w:val="left"/>
      <w:pPr>
        <w:ind w:left="4704" w:hanging="360"/>
      </w:pPr>
      <w:rPr>
        <w:rFonts w:ascii="Symbol" w:hAnsi="Symbol" w:hint="default"/>
      </w:rPr>
    </w:lvl>
    <w:lvl w:ilvl="7" w:tplc="04220003" w:tentative="1">
      <w:start w:val="1"/>
      <w:numFmt w:val="bullet"/>
      <w:lvlText w:val="o"/>
      <w:lvlJc w:val="left"/>
      <w:pPr>
        <w:ind w:left="5424" w:hanging="360"/>
      </w:pPr>
      <w:rPr>
        <w:rFonts w:ascii="Courier New" w:hAnsi="Courier New" w:cs="Courier New" w:hint="default"/>
      </w:rPr>
    </w:lvl>
    <w:lvl w:ilvl="8" w:tplc="04220005" w:tentative="1">
      <w:start w:val="1"/>
      <w:numFmt w:val="bullet"/>
      <w:lvlText w:val=""/>
      <w:lvlJc w:val="left"/>
      <w:pPr>
        <w:ind w:left="6144" w:hanging="360"/>
      </w:pPr>
      <w:rPr>
        <w:rFonts w:ascii="Wingdings" w:hAnsi="Wingdings" w:hint="default"/>
      </w:rPr>
    </w:lvl>
  </w:abstractNum>
  <w:abstractNum w:abstractNumId="2"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5"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31DAB"/>
    <w:rsid w:val="00046D6C"/>
    <w:rsid w:val="00082E89"/>
    <w:rsid w:val="000A125D"/>
    <w:rsid w:val="000B68C7"/>
    <w:rsid w:val="000D1ED1"/>
    <w:rsid w:val="000E64BD"/>
    <w:rsid w:val="00102E63"/>
    <w:rsid w:val="00142041"/>
    <w:rsid w:val="00165254"/>
    <w:rsid w:val="0017000F"/>
    <w:rsid w:val="0017167B"/>
    <w:rsid w:val="001B2B74"/>
    <w:rsid w:val="001D0BE5"/>
    <w:rsid w:val="001D2380"/>
    <w:rsid w:val="0023601A"/>
    <w:rsid w:val="002E0D39"/>
    <w:rsid w:val="002F4B44"/>
    <w:rsid w:val="002F6380"/>
    <w:rsid w:val="003514BE"/>
    <w:rsid w:val="0036702C"/>
    <w:rsid w:val="0037201C"/>
    <w:rsid w:val="003922E0"/>
    <w:rsid w:val="003E001A"/>
    <w:rsid w:val="003F483F"/>
    <w:rsid w:val="004072A4"/>
    <w:rsid w:val="004B0085"/>
    <w:rsid w:val="004E3D51"/>
    <w:rsid w:val="00542E26"/>
    <w:rsid w:val="00562B1F"/>
    <w:rsid w:val="00597881"/>
    <w:rsid w:val="005B4054"/>
    <w:rsid w:val="005C7EBF"/>
    <w:rsid w:val="006454F7"/>
    <w:rsid w:val="00672B9B"/>
    <w:rsid w:val="00673FF3"/>
    <w:rsid w:val="006D2EDC"/>
    <w:rsid w:val="006D3BE4"/>
    <w:rsid w:val="006F31B3"/>
    <w:rsid w:val="00761818"/>
    <w:rsid w:val="00764863"/>
    <w:rsid w:val="007714BB"/>
    <w:rsid w:val="0079285C"/>
    <w:rsid w:val="007A65DB"/>
    <w:rsid w:val="007A6B69"/>
    <w:rsid w:val="007D77D9"/>
    <w:rsid w:val="007E7D4B"/>
    <w:rsid w:val="00823101"/>
    <w:rsid w:val="008505BA"/>
    <w:rsid w:val="0086760A"/>
    <w:rsid w:val="0089550C"/>
    <w:rsid w:val="009834A6"/>
    <w:rsid w:val="009B7D54"/>
    <w:rsid w:val="00A2438E"/>
    <w:rsid w:val="00A74F30"/>
    <w:rsid w:val="00AA0E05"/>
    <w:rsid w:val="00AE0295"/>
    <w:rsid w:val="00B03FB2"/>
    <w:rsid w:val="00B14E2C"/>
    <w:rsid w:val="00B25104"/>
    <w:rsid w:val="00B34FCF"/>
    <w:rsid w:val="00B37370"/>
    <w:rsid w:val="00C06C96"/>
    <w:rsid w:val="00C074BA"/>
    <w:rsid w:val="00C11AE4"/>
    <w:rsid w:val="00C32C4F"/>
    <w:rsid w:val="00C32D6D"/>
    <w:rsid w:val="00C568A3"/>
    <w:rsid w:val="00C757EB"/>
    <w:rsid w:val="00CA36E9"/>
    <w:rsid w:val="00CD5C1B"/>
    <w:rsid w:val="00D63FD5"/>
    <w:rsid w:val="00DA2176"/>
    <w:rsid w:val="00DC3466"/>
    <w:rsid w:val="00E003BA"/>
    <w:rsid w:val="00E211E3"/>
    <w:rsid w:val="00E30D28"/>
    <w:rsid w:val="00E32565"/>
    <w:rsid w:val="00E64852"/>
    <w:rsid w:val="00E943D4"/>
    <w:rsid w:val="00EE0B72"/>
    <w:rsid w:val="00EF6FD6"/>
    <w:rsid w:val="00F33E9F"/>
    <w:rsid w:val="00F67B7B"/>
    <w:rsid w:val="00F80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5EAC2"/>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6</Pages>
  <Words>5584</Words>
  <Characters>3183</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32</cp:revision>
  <cp:lastPrinted>2021-10-28T09:55:00Z</cp:lastPrinted>
  <dcterms:created xsi:type="dcterms:W3CDTF">2021-04-09T13:15:00Z</dcterms:created>
  <dcterms:modified xsi:type="dcterms:W3CDTF">2021-11-04T13:46:00Z</dcterms:modified>
</cp:coreProperties>
</file>