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2F76AB" w:rsidRDefault="002F76AB" w:rsidP="002F76AB">
      <w:pPr>
        <w:spacing w:after="0" w:line="240" w:lineRule="auto"/>
        <w:ind w:left="5812"/>
        <w:rPr>
          <w:rFonts w:eastAsia="Calibri" w:cs="Times New Roman"/>
          <w:szCs w:val="28"/>
        </w:rPr>
      </w:pPr>
      <w:r>
        <w:rPr>
          <w:rFonts w:eastAsia="Calibri" w:cs="Times New Roman"/>
          <w:szCs w:val="28"/>
        </w:rPr>
        <w:t xml:space="preserve">від </w:t>
      </w:r>
      <w:r>
        <w:rPr>
          <w:rFonts w:eastAsia="Calibri" w:cs="Times New Roman"/>
          <w:szCs w:val="28"/>
          <w:lang w:val="ru-RU"/>
        </w:rPr>
        <w:t>14.06.</w:t>
      </w:r>
      <w:r>
        <w:rPr>
          <w:rFonts w:eastAsia="Calibri" w:cs="Times New Roman"/>
          <w:szCs w:val="28"/>
          <w:lang w:val="en-US"/>
        </w:rPr>
        <w:t xml:space="preserve">2021 </w:t>
      </w:r>
      <w:r>
        <w:rPr>
          <w:rFonts w:eastAsia="Calibri" w:cs="Times New Roman"/>
          <w:szCs w:val="28"/>
        </w:rPr>
        <w:t xml:space="preserve">№ </w:t>
      </w:r>
      <w:r>
        <w:rPr>
          <w:rFonts w:eastAsia="Calibri" w:cs="Times New Roman"/>
          <w:szCs w:val="28"/>
          <w:lang w:val="en-US"/>
        </w:rPr>
        <w:t>236-</w:t>
      </w:r>
      <w:r>
        <w:rPr>
          <w:rFonts w:eastAsia="Calibri" w:cs="Times New Roman"/>
          <w:szCs w:val="28"/>
        </w:rPr>
        <w:t>а</w:t>
      </w:r>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445" w:type="pct"/>
        <w:tblInd w:w="-429" w:type="dxa"/>
        <w:tblCellMar>
          <w:left w:w="0" w:type="dxa"/>
          <w:right w:w="0" w:type="dxa"/>
        </w:tblCellMar>
        <w:tblLook w:val="04A0" w:firstRow="1" w:lastRow="0" w:firstColumn="1" w:lastColumn="0" w:noHBand="0" w:noVBand="1"/>
      </w:tblPr>
      <w:tblGrid>
        <w:gridCol w:w="3261"/>
        <w:gridCol w:w="7229"/>
      </w:tblGrid>
      <w:tr w:rsidR="00740EFF"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ED1E42" w:rsidRPr="00EE7B47" w:rsidTr="00A94AB4">
        <w:trPr>
          <w:trHeight w:val="987"/>
        </w:trPr>
        <w:tc>
          <w:tcPr>
            <w:tcW w:w="3261" w:type="dxa"/>
            <w:tcBorders>
              <w:top w:val="single" w:sz="2" w:space="0" w:color="auto"/>
              <w:left w:val="single" w:sz="2" w:space="0" w:color="auto"/>
              <w:bottom w:val="single" w:sz="2" w:space="0" w:color="auto"/>
              <w:right w:val="single" w:sz="2" w:space="0" w:color="auto"/>
            </w:tcBorders>
            <w:shd w:val="clear" w:color="auto" w:fill="auto"/>
          </w:tcPr>
          <w:p w:rsidR="00ED1E42" w:rsidRPr="00EE7B47" w:rsidRDefault="00ED1E42" w:rsidP="00ED1E42">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ED1E42" w:rsidRPr="003C17D0" w:rsidRDefault="00ED1E42" w:rsidP="008F4E88">
            <w:pPr>
              <w:keepNext/>
              <w:keepLines/>
              <w:ind w:left="142" w:right="143"/>
              <w:jc w:val="both"/>
              <w:rPr>
                <w:color w:val="000000"/>
                <w:szCs w:val="28"/>
              </w:rPr>
            </w:pPr>
            <w:r w:rsidRPr="003C17D0">
              <w:rPr>
                <w:color w:val="000000"/>
                <w:szCs w:val="28"/>
              </w:rPr>
              <w:t xml:space="preserve">Головний </w:t>
            </w:r>
            <w:r w:rsidR="00DA7725">
              <w:rPr>
                <w:color w:val="000000"/>
                <w:szCs w:val="28"/>
              </w:rPr>
              <w:t xml:space="preserve">спеціаліст </w:t>
            </w:r>
            <w:r w:rsidR="003C17D0" w:rsidRPr="003C17D0">
              <w:rPr>
                <w:color w:val="000000"/>
                <w:szCs w:val="28"/>
              </w:rPr>
              <w:t>відділу претензійно-позовної роботи департаменту правового забезпечення</w:t>
            </w:r>
            <w:r w:rsidR="008F4E88">
              <w:rPr>
                <w:color w:val="000000"/>
                <w:szCs w:val="28"/>
              </w:rPr>
              <w:t xml:space="preserve"> Міністерства освіти і науки України</w:t>
            </w:r>
            <w:r w:rsidRPr="003C17D0">
              <w:rPr>
                <w:color w:val="000000"/>
                <w:szCs w:val="28"/>
              </w:rPr>
              <w:t>, категорія В1</w:t>
            </w:r>
          </w:p>
          <w:p w:rsidR="00ED1E42" w:rsidRPr="003C17D0" w:rsidRDefault="00ED1E42" w:rsidP="00ED1E42">
            <w:pPr>
              <w:keepNext/>
              <w:keepLines/>
              <w:jc w:val="both"/>
              <w:rPr>
                <w:color w:val="000000"/>
                <w:szCs w:val="28"/>
              </w:rPr>
            </w:pPr>
          </w:p>
        </w:tc>
      </w:tr>
      <w:tr w:rsidR="00ED1E42" w:rsidRPr="00EE7B47" w:rsidTr="00A94AB4">
        <w:trPr>
          <w:trHeight w:val="266"/>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EE7B47" w:rsidRDefault="00ED1E42" w:rsidP="00ED1E42">
            <w:pPr>
              <w:spacing w:after="0" w:line="240" w:lineRule="auto"/>
              <w:ind w:left="144"/>
              <w:rPr>
                <w:rFonts w:eastAsia="Times New Roman" w:cs="Times New Roman"/>
                <w:szCs w:val="28"/>
              </w:rPr>
            </w:pPr>
            <w:bookmarkStart w:id="0" w:name="n766"/>
            <w:bookmarkEnd w:id="0"/>
            <w:r w:rsidRPr="00EE7B47">
              <w:rPr>
                <w:rFonts w:eastAsia="Times New Roman" w:cs="Times New Roman"/>
                <w:szCs w:val="28"/>
              </w:rPr>
              <w:t xml:space="preserve">Посадові обов’язки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3C17D0" w:rsidRPr="008F4E88" w:rsidRDefault="003C17D0" w:rsidP="003C17D0">
            <w:pPr>
              <w:spacing w:after="0" w:line="240" w:lineRule="auto"/>
              <w:ind w:left="284" w:right="143"/>
              <w:jc w:val="both"/>
              <w:rPr>
                <w:rFonts w:cs="Times New Roman"/>
                <w:shd w:val="clear" w:color="auto" w:fill="FFFFFF"/>
              </w:rPr>
            </w:pPr>
            <w:r w:rsidRPr="008F4E88">
              <w:rPr>
                <w:rFonts w:cs="Times New Roman"/>
                <w:shd w:val="clear" w:color="auto" w:fill="FFFFFF"/>
              </w:rPr>
              <w:t xml:space="preserve"> Відповідно до основних завдань та обов’язків головного спеціаліста відділу претензійно-позовної роботи департаменту правового забезпечення:</w:t>
            </w:r>
          </w:p>
          <w:p w:rsidR="003C17D0" w:rsidRPr="008F4E88" w:rsidRDefault="003C17D0" w:rsidP="003C17D0">
            <w:pPr>
              <w:spacing w:after="0" w:line="240" w:lineRule="auto"/>
              <w:ind w:left="284" w:right="143"/>
              <w:jc w:val="both"/>
              <w:rPr>
                <w:rFonts w:cs="Times New Roman"/>
                <w:shd w:val="clear" w:color="auto" w:fill="FFFFFF"/>
              </w:rPr>
            </w:pPr>
            <w:r w:rsidRPr="008F4E88">
              <w:rPr>
                <w:rFonts w:cs="Times New Roman"/>
                <w:shd w:val="clear" w:color="auto" w:fill="FFFFFF"/>
              </w:rPr>
              <w:t xml:space="preserve"> - організовує правову роботу, спрямовану на правильне застосування, неухильне дотримання та запобігання невиконанню вимог законодавства, інших нормативних актів структурними підрозділами Міністерства під час виконання покладених на них завдань і функціональних обов’язків, а також представлення інтересів Міністерства в судах. </w:t>
            </w:r>
          </w:p>
          <w:p w:rsidR="003C17D0" w:rsidRPr="008F4E88" w:rsidRDefault="003C17D0" w:rsidP="003C17D0">
            <w:pPr>
              <w:spacing w:after="0" w:line="240" w:lineRule="auto"/>
              <w:ind w:left="284" w:right="143"/>
              <w:jc w:val="both"/>
              <w:rPr>
                <w:rFonts w:cs="Times New Roman"/>
                <w:shd w:val="clear" w:color="auto" w:fill="FFFFFF"/>
              </w:rPr>
            </w:pPr>
            <w:r w:rsidRPr="008F4E88">
              <w:rPr>
                <w:rFonts w:cs="Times New Roman"/>
                <w:shd w:val="clear" w:color="auto" w:fill="FFFFFF"/>
              </w:rPr>
              <w:t xml:space="preserve"> - організовує претензійно та позовні роботи, здійснює контроль за її проведенням. </w:t>
            </w:r>
          </w:p>
          <w:p w:rsidR="003C17D0" w:rsidRPr="008F4E88" w:rsidRDefault="003C17D0" w:rsidP="003C17D0">
            <w:pPr>
              <w:spacing w:after="0" w:line="240" w:lineRule="auto"/>
              <w:ind w:left="284" w:right="143"/>
              <w:jc w:val="both"/>
              <w:rPr>
                <w:rFonts w:cs="Times New Roman"/>
                <w:shd w:val="clear" w:color="auto" w:fill="FFFFFF"/>
              </w:rPr>
            </w:pPr>
            <w:r w:rsidRPr="008F4E88">
              <w:rPr>
                <w:rFonts w:cs="Times New Roman"/>
                <w:shd w:val="clear" w:color="auto" w:fill="FFFFFF"/>
              </w:rPr>
              <w:t xml:space="preserve"> - проводить разом із заінтересованими структурними підрозділами Міністерства та центральними органами виконавчої влади, діяльність яких спрямовується і координується Кабінетом Міністрів України через Міністра, аналізу результатів господарської діяльності Міністерства, вивчення умов і причин виникнення непродуктивних витрат, порушення договірних зобов’язань, а також стану дебіторської та кредиторської заборгованості.</w:t>
            </w:r>
          </w:p>
          <w:p w:rsidR="003C17D0" w:rsidRPr="008F4E88" w:rsidRDefault="003C17D0" w:rsidP="003C17D0">
            <w:pPr>
              <w:spacing w:after="0" w:line="240" w:lineRule="auto"/>
              <w:ind w:left="284" w:right="143"/>
              <w:jc w:val="both"/>
              <w:rPr>
                <w:rFonts w:cs="Times New Roman"/>
                <w:shd w:val="clear" w:color="auto" w:fill="FFFFFF"/>
              </w:rPr>
            </w:pPr>
            <w:r w:rsidRPr="008F4E88">
              <w:rPr>
                <w:rFonts w:cs="Times New Roman"/>
                <w:shd w:val="clear" w:color="auto" w:fill="FFFFFF"/>
              </w:rPr>
              <w:t xml:space="preserve"> - аналізує матеріали, що надійшли від правоохоронних і контролюючих органів, результатів позовної роботи, а також отриманих за результатами перевірок, ревізій, інвентаризації даних статистичної звітності, що характеризують стан дотримання законності в Міністерстві, підготовлює правові висновки за фактами виявлених порушень та участь в організації роботи з відшкодування збитків. </w:t>
            </w:r>
          </w:p>
          <w:p w:rsidR="00ED1E42" w:rsidRPr="008E5EB9" w:rsidRDefault="003C17D0" w:rsidP="008E5EB9">
            <w:pPr>
              <w:spacing w:after="0" w:line="240" w:lineRule="auto"/>
              <w:ind w:left="284" w:right="143"/>
              <w:jc w:val="both"/>
              <w:rPr>
                <w:rFonts w:cs="Times New Roman"/>
                <w:shd w:val="clear" w:color="auto" w:fill="FFFFFF"/>
              </w:rPr>
            </w:pPr>
            <w:r w:rsidRPr="008F4E88">
              <w:rPr>
                <w:rFonts w:cs="Times New Roman"/>
                <w:shd w:val="clear" w:color="auto" w:fill="FFFFFF"/>
              </w:rPr>
              <w:lastRenderedPageBreak/>
              <w:t xml:space="preserve"> - сприяє правильному застосуванню актів законодавства про працю, в разі нев</w:t>
            </w:r>
            <w:r w:rsidR="008E5EB9">
              <w:rPr>
                <w:rFonts w:cs="Times New Roman"/>
                <w:shd w:val="clear" w:color="auto" w:fill="FFFFFF"/>
              </w:rPr>
              <w:t xml:space="preserve">иконання або порушення їх вимог </w:t>
            </w:r>
            <w:r w:rsidRPr="008F4E88">
              <w:rPr>
                <w:rFonts w:cs="Times New Roman"/>
                <w:shd w:val="clear" w:color="auto" w:fill="FFFFFF"/>
              </w:rPr>
              <w:t xml:space="preserve">подає </w:t>
            </w:r>
            <w:r w:rsidR="008E5EB9">
              <w:rPr>
                <w:rFonts w:cs="Times New Roman"/>
                <w:shd w:val="clear" w:color="auto" w:fill="FFFFFF"/>
              </w:rPr>
              <w:t xml:space="preserve">заступнику </w:t>
            </w:r>
            <w:r w:rsidRPr="008F4E88">
              <w:rPr>
                <w:rFonts w:cs="Times New Roman"/>
                <w:shd w:val="clear" w:color="auto" w:fill="FFFFFF"/>
              </w:rPr>
              <w:t>директору департаменту</w:t>
            </w:r>
            <w:r w:rsidR="008E5EB9">
              <w:rPr>
                <w:rFonts w:cs="Times New Roman"/>
                <w:shd w:val="clear" w:color="auto" w:fill="FFFFFF"/>
              </w:rPr>
              <w:t xml:space="preserve"> правового забезпечення – начальнику відділу претензійно-позовної роботи</w:t>
            </w:r>
            <w:r w:rsidRPr="008F4E88">
              <w:rPr>
                <w:rFonts w:cs="Times New Roman"/>
                <w:shd w:val="clear" w:color="auto" w:fill="FFFFFF"/>
              </w:rPr>
              <w:t xml:space="preserve"> письмовий висновок з пропозиціями щодо усунення таких порушень.</w:t>
            </w:r>
          </w:p>
        </w:tc>
      </w:tr>
      <w:tr w:rsidR="006A7956" w:rsidRPr="00EE7B47" w:rsidTr="00A94AB4">
        <w:trPr>
          <w:trHeight w:val="402"/>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 xml:space="preserve">посадовий оклад – </w:t>
            </w:r>
            <w:r w:rsidRPr="003C17D0">
              <w:rPr>
                <w:rFonts w:eastAsia="Times New Roman" w:cs="Times New Roman"/>
                <w:szCs w:val="28"/>
              </w:rPr>
              <w:t>10600</w:t>
            </w:r>
            <w:r w:rsidRPr="00ED1E42">
              <w:rPr>
                <w:rFonts w:eastAsia="Times New Roman" w:cs="Times New Roman"/>
                <w:szCs w:val="28"/>
              </w:rPr>
              <w:t xml:space="preserve"> грн.;</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ранг державного службовця – 20</w:t>
            </w:r>
            <w:r w:rsidR="00A70513">
              <w:rPr>
                <w:rFonts w:eastAsia="Times New Roman" w:cs="Times New Roman"/>
                <w:szCs w:val="28"/>
              </w:rPr>
              <w:t>0</w:t>
            </w:r>
            <w:r w:rsidRPr="00ED1E42">
              <w:rPr>
                <w:rFonts w:eastAsia="Times New Roman" w:cs="Times New Roman"/>
                <w:szCs w:val="28"/>
              </w:rPr>
              <w:t xml:space="preserve">-500 грн.; </w:t>
            </w:r>
          </w:p>
          <w:p w:rsidR="00ED1E42" w:rsidRPr="00ED1E42"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A70513" w:rsidRPr="00ED1E42" w:rsidRDefault="00A70513" w:rsidP="00A70513">
            <w:pPr>
              <w:spacing w:after="0" w:line="240" w:lineRule="auto"/>
              <w:ind w:left="202" w:right="143"/>
              <w:jc w:val="both"/>
              <w:rPr>
                <w:rFonts w:eastAsia="Times New Roman" w:cs="Times New Roman"/>
                <w:szCs w:val="28"/>
              </w:rPr>
            </w:pPr>
            <w:r w:rsidRPr="00ED1E42">
              <w:rPr>
                <w:rFonts w:eastAsia="Times New Roman" w:cs="Times New Roman"/>
                <w:szCs w:val="28"/>
              </w:rPr>
              <w:t xml:space="preserve">надбавка за виконання особливо важливої роботи </w:t>
            </w:r>
          </w:p>
          <w:p w:rsidR="006A7956" w:rsidRPr="00EE7B47" w:rsidRDefault="00ED1E42" w:rsidP="00ED1E42">
            <w:pPr>
              <w:spacing w:after="0" w:line="240" w:lineRule="auto"/>
              <w:ind w:left="202" w:right="143"/>
              <w:jc w:val="both"/>
              <w:rPr>
                <w:rFonts w:eastAsia="Times New Roman" w:cs="Times New Roman"/>
                <w:szCs w:val="28"/>
              </w:rPr>
            </w:pPr>
            <w:r w:rsidRPr="00ED1E42">
              <w:rPr>
                <w:rFonts w:eastAsia="Times New Roman" w:cs="Times New Roman"/>
                <w:szCs w:val="28"/>
              </w:rPr>
              <w:t>інші виплати, премії – у разі встановлення</w:t>
            </w:r>
          </w:p>
        </w:tc>
      </w:tr>
      <w:tr w:rsidR="006A7956" w:rsidRPr="00EE7B47" w:rsidTr="00A94AB4">
        <w:trPr>
          <w:trHeight w:val="1413"/>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в якому 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w:t>
            </w:r>
            <w:r w:rsidRPr="004B3336">
              <w:rPr>
                <w:szCs w:val="28"/>
              </w:rPr>
              <w:lastRenderedPageBreak/>
              <w:t>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6A7956" w:rsidRDefault="006A7956" w:rsidP="007B09FB">
            <w:pPr>
              <w:widowControl w:val="0"/>
              <w:spacing w:after="0" w:line="240" w:lineRule="auto"/>
              <w:ind w:left="136" w:right="143"/>
              <w:jc w:val="both"/>
              <w:rPr>
                <w:szCs w:val="28"/>
              </w:rPr>
            </w:pPr>
            <w:r w:rsidRPr="004B3336">
              <w:rPr>
                <w:szCs w:val="28"/>
              </w:rPr>
              <w:t xml:space="preserve">Інформація приймається до </w:t>
            </w:r>
            <w:r w:rsidR="0081095C">
              <w:rPr>
                <w:szCs w:val="28"/>
              </w:rPr>
              <w:t>21 червня 2021 року</w:t>
            </w:r>
          </w:p>
          <w:p w:rsidR="0081095C" w:rsidRDefault="0081095C" w:rsidP="0081095C">
            <w:pPr>
              <w:widowControl w:val="0"/>
              <w:spacing w:after="0" w:line="240" w:lineRule="auto"/>
              <w:ind w:left="136" w:right="143"/>
              <w:jc w:val="both"/>
              <w:rPr>
                <w:szCs w:val="28"/>
              </w:rPr>
            </w:pPr>
            <w:r>
              <w:rPr>
                <w:szCs w:val="28"/>
              </w:rPr>
              <w:t>до 17:00</w:t>
            </w:r>
          </w:p>
          <w:p w:rsidR="007B09FB" w:rsidRPr="004B3336" w:rsidRDefault="007B09FB" w:rsidP="007B09FB">
            <w:pPr>
              <w:widowControl w:val="0"/>
              <w:spacing w:after="0" w:line="240" w:lineRule="auto"/>
              <w:ind w:left="136" w:right="143"/>
              <w:jc w:val="both"/>
              <w:rPr>
                <w:szCs w:val="28"/>
              </w:rPr>
            </w:pP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4B3336" w:rsidRDefault="006A7956" w:rsidP="00A94AB4">
            <w:pPr>
              <w:pStyle w:val="a7"/>
              <w:spacing w:before="0" w:beforeAutospacing="0" w:after="0" w:afterAutospacing="0"/>
              <w:ind w:right="143"/>
              <w:jc w:val="both"/>
              <w:rPr>
                <w:sz w:val="28"/>
                <w:szCs w:val="28"/>
                <w:lang w:val="uk-UA"/>
              </w:rPr>
            </w:pPr>
          </w:p>
          <w:p w:rsidR="006A7956" w:rsidRDefault="00036972" w:rsidP="00A94AB4">
            <w:pPr>
              <w:pStyle w:val="a7"/>
              <w:spacing w:before="0" w:beforeAutospacing="0" w:after="0" w:afterAutospacing="0"/>
              <w:ind w:right="143"/>
              <w:jc w:val="both"/>
              <w:rPr>
                <w:rFonts w:eastAsiaTheme="minorHAnsi" w:cstheme="minorHAnsi"/>
                <w:sz w:val="28"/>
                <w:szCs w:val="28"/>
              </w:rPr>
            </w:pPr>
            <w:r>
              <w:rPr>
                <w:rFonts w:eastAsiaTheme="minorHAnsi" w:cstheme="minorHAnsi"/>
                <w:sz w:val="28"/>
                <w:szCs w:val="28"/>
                <w:lang w:val="uk-UA"/>
              </w:rPr>
              <w:t xml:space="preserve"> </w:t>
            </w:r>
            <w:r>
              <w:rPr>
                <w:rFonts w:eastAsiaTheme="minorHAnsi" w:cstheme="minorHAnsi"/>
                <w:sz w:val="28"/>
                <w:szCs w:val="28"/>
              </w:rPr>
              <w:t xml:space="preserve">25 </w:t>
            </w:r>
            <w:proofErr w:type="spellStart"/>
            <w:r>
              <w:rPr>
                <w:rFonts w:eastAsiaTheme="minorHAnsi" w:cstheme="minorHAnsi"/>
                <w:sz w:val="28"/>
                <w:szCs w:val="28"/>
              </w:rPr>
              <w:t>червня</w:t>
            </w:r>
            <w:proofErr w:type="spellEnd"/>
            <w:r>
              <w:rPr>
                <w:rFonts w:eastAsiaTheme="minorHAnsi" w:cstheme="minorHAnsi"/>
                <w:sz w:val="28"/>
                <w:szCs w:val="28"/>
              </w:rPr>
              <w:t xml:space="preserve"> 2021 р</w:t>
            </w:r>
            <w:r>
              <w:rPr>
                <w:rFonts w:eastAsiaTheme="minorHAnsi" w:cstheme="minorHAnsi"/>
                <w:sz w:val="28"/>
                <w:szCs w:val="28"/>
                <w:lang w:val="uk-UA"/>
              </w:rPr>
              <w:t>.</w:t>
            </w:r>
            <w:r>
              <w:rPr>
                <w:rFonts w:eastAsiaTheme="minorHAnsi" w:cstheme="minorHAnsi"/>
                <w:sz w:val="28"/>
                <w:szCs w:val="28"/>
              </w:rPr>
              <w:t xml:space="preserve"> о 9:00</w:t>
            </w:r>
          </w:p>
          <w:p w:rsidR="00036972" w:rsidRDefault="00036972" w:rsidP="00A94AB4">
            <w:pPr>
              <w:pStyle w:val="a7"/>
              <w:spacing w:before="0" w:beforeAutospacing="0" w:after="0" w:afterAutospacing="0"/>
              <w:ind w:right="143"/>
              <w:jc w:val="both"/>
              <w:rPr>
                <w:rFonts w:eastAsiaTheme="minorHAnsi" w:cstheme="minorHAnsi"/>
                <w:sz w:val="28"/>
                <w:szCs w:val="28"/>
              </w:rPr>
            </w:pPr>
          </w:p>
          <w:p w:rsidR="00036972" w:rsidRPr="004B3336" w:rsidRDefault="00036972" w:rsidP="00A94AB4">
            <w:pPr>
              <w:pStyle w:val="a7"/>
              <w:spacing w:before="0" w:beforeAutospacing="0" w:after="0" w:afterAutospacing="0"/>
              <w:ind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r w:rsidRPr="004B3336">
              <w:rPr>
                <w:sz w:val="28"/>
                <w:szCs w:val="28"/>
                <w:lang w:val="uk-UA"/>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e-mail: rashchenko@mon.gov.ua</w:t>
            </w:r>
          </w:p>
        </w:tc>
      </w:tr>
      <w:tr w:rsidR="006A7956" w:rsidRPr="00EE7B47" w:rsidTr="00A94AB4">
        <w:trPr>
          <w:trHeight w:val="297"/>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ED1E42" w:rsidRPr="00EE7B47" w:rsidTr="00A94AB4">
        <w:trPr>
          <w:trHeight w:val="551"/>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ED1E42">
            <w:pPr>
              <w:ind w:right="141"/>
              <w:jc w:val="both"/>
              <w:rPr>
                <w:szCs w:val="28"/>
              </w:rPr>
            </w:pPr>
            <w:r w:rsidRPr="00C13E6C">
              <w:rPr>
                <w:szCs w:val="28"/>
                <w:shd w:val="clear" w:color="auto" w:fill="FFFFFF"/>
              </w:rPr>
              <w:t>вища освіта, не нижче ступеня бакалавра, молодшого бакалавра</w:t>
            </w:r>
            <w:r>
              <w:rPr>
                <w:szCs w:val="28"/>
                <w:shd w:val="clear" w:color="auto" w:fill="FFFFFF"/>
              </w:rPr>
              <w:t xml:space="preserve"> </w:t>
            </w:r>
            <w:r w:rsidR="003C17D0" w:rsidRPr="008F4E88">
              <w:rPr>
                <w:rFonts w:cs="Times New Roman"/>
                <w:shd w:val="clear" w:color="auto" w:fill="FFFFFF"/>
              </w:rPr>
              <w:t>в галузі знань «Право»</w:t>
            </w:r>
          </w:p>
        </w:tc>
      </w:tr>
      <w:tr w:rsidR="00ED1E42" w:rsidRPr="00EE7B47" w:rsidTr="00A94AB4">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lastRenderedPageBreak/>
              <w:t xml:space="preserve">Досвід роботи </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D21B3" w:rsidRDefault="00CD21B3" w:rsidP="00CD21B3">
            <w:pPr>
              <w:ind w:left="142" w:right="141"/>
              <w:jc w:val="both"/>
              <w:rPr>
                <w:rFonts w:cs="Times New Roman"/>
                <w:szCs w:val="28"/>
              </w:rPr>
            </w:pPr>
            <w:r w:rsidRPr="008F4E88">
              <w:rPr>
                <w:rFonts w:cs="Times New Roman"/>
                <w:shd w:val="clear" w:color="auto" w:fill="FFFFFF"/>
              </w:rPr>
              <w:t>Досвід роботи представництва інтересів у судах або претензійно – позовної діяльності.</w:t>
            </w:r>
          </w:p>
        </w:tc>
      </w:tr>
      <w:tr w:rsidR="00ED1E42"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hideMark/>
          </w:tcPr>
          <w:p w:rsidR="00ED1E42" w:rsidRPr="00600BF2" w:rsidRDefault="00ED1E42" w:rsidP="00ED1E42">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229" w:type="dxa"/>
            <w:tcBorders>
              <w:top w:val="single" w:sz="2" w:space="0" w:color="auto"/>
              <w:left w:val="single" w:sz="2" w:space="0" w:color="auto"/>
              <w:bottom w:val="single" w:sz="2" w:space="0" w:color="auto"/>
              <w:right w:val="single" w:sz="2" w:space="0" w:color="auto"/>
            </w:tcBorders>
            <w:shd w:val="clear" w:color="auto" w:fill="auto"/>
            <w:hideMark/>
          </w:tcPr>
          <w:p w:rsidR="00ED1E42" w:rsidRPr="00C13E6C" w:rsidRDefault="00ED1E42" w:rsidP="008F4E88">
            <w:pPr>
              <w:ind w:left="142" w:right="141"/>
              <w:rPr>
                <w:szCs w:val="28"/>
              </w:rPr>
            </w:pPr>
            <w:r w:rsidRPr="00C13E6C">
              <w:rPr>
                <w:szCs w:val="28"/>
              </w:rPr>
              <w:t>вільне володіння державною мовою</w:t>
            </w:r>
          </w:p>
        </w:tc>
      </w:tr>
      <w:tr w:rsidR="006A7956" w:rsidRPr="007248AE" w:rsidTr="00A94AB4">
        <w:trPr>
          <w:trHeight w:val="143"/>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CD21B3" w:rsidRDefault="006A7956" w:rsidP="00CD21B3">
            <w:pPr>
              <w:spacing w:after="0"/>
              <w:jc w:val="center"/>
              <w:rPr>
                <w:b/>
              </w:rPr>
            </w:pPr>
            <w:r w:rsidRPr="00885F31">
              <w:rPr>
                <w:b/>
              </w:rPr>
              <w:t>Вимоги до компетентності</w:t>
            </w:r>
          </w:p>
        </w:tc>
      </w:tr>
      <w:tr w:rsidR="006A7956" w:rsidTr="00A94AB4">
        <w:trPr>
          <w:trHeight w:val="75"/>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885F31">
            <w:pPr>
              <w:spacing w:after="0"/>
              <w:jc w:val="center"/>
              <w:rPr>
                <w:b/>
              </w:rPr>
            </w:pPr>
            <w:r w:rsidRPr="00885F31">
              <w:rPr>
                <w:b/>
              </w:rPr>
              <w:t>Вимога</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6A7956">
            <w:pPr>
              <w:spacing w:after="0"/>
              <w:jc w:val="center"/>
              <w:rPr>
                <w:b/>
              </w:rPr>
            </w:pPr>
            <w:r w:rsidRPr="00885F31">
              <w:rPr>
                <w:b/>
              </w:rPr>
              <w:t>Компоненти вимоги</w:t>
            </w:r>
          </w:p>
        </w:tc>
      </w:tr>
      <w:tr w:rsidR="006A7956" w:rsidRPr="00061F5A" w:rsidTr="00A94AB4">
        <w:trPr>
          <w:trHeight w:val="421"/>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D21B3" w:rsidRDefault="006A7956" w:rsidP="00CD21B3">
            <w:pPr>
              <w:spacing w:after="0" w:line="240" w:lineRule="auto"/>
              <w:ind w:left="144"/>
              <w:rPr>
                <w:szCs w:val="28"/>
                <w:lang w:val="ru-RU"/>
              </w:rPr>
            </w:pPr>
            <w:r w:rsidRPr="00CD21B3">
              <w:rPr>
                <w:szCs w:val="28"/>
              </w:rPr>
              <w:t>Управління організацією роботи</w:t>
            </w:r>
            <w:r w:rsidR="007B09FB" w:rsidRPr="00CD21B3">
              <w:rPr>
                <w:szCs w:val="28"/>
                <w:lang w:val="ru-RU"/>
              </w:rPr>
              <w:t xml:space="preserve">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CD21B3" w:rsidRDefault="006A7956" w:rsidP="00DD1675">
            <w:pPr>
              <w:spacing w:after="0" w:line="240" w:lineRule="auto"/>
              <w:ind w:left="134"/>
              <w:rPr>
                <w:szCs w:val="28"/>
              </w:rPr>
            </w:pPr>
            <w:r w:rsidRPr="00CD21B3">
              <w:rPr>
                <w:szCs w:val="28"/>
              </w:rPr>
              <w:t>- чітке бачення цілі;</w:t>
            </w:r>
          </w:p>
          <w:p w:rsidR="006A7956" w:rsidRPr="00CD21B3" w:rsidRDefault="006A7956" w:rsidP="00DD1675">
            <w:pPr>
              <w:spacing w:after="0" w:line="240" w:lineRule="auto"/>
              <w:ind w:left="134"/>
              <w:rPr>
                <w:szCs w:val="28"/>
              </w:rPr>
            </w:pPr>
            <w:r w:rsidRPr="00CD21B3">
              <w:rPr>
                <w:szCs w:val="28"/>
              </w:rPr>
              <w:t>- ефективне управління ресурсами;</w:t>
            </w:r>
          </w:p>
          <w:p w:rsidR="006A7956" w:rsidRPr="00CD21B3" w:rsidRDefault="006A7956" w:rsidP="00DD1675">
            <w:pPr>
              <w:spacing w:after="0" w:line="240" w:lineRule="auto"/>
              <w:ind w:left="134"/>
              <w:rPr>
                <w:szCs w:val="28"/>
              </w:rPr>
            </w:pPr>
            <w:r w:rsidRPr="00CD21B3">
              <w:rPr>
                <w:szCs w:val="28"/>
              </w:rPr>
              <w:t>- чітке планування реалізації;</w:t>
            </w:r>
          </w:p>
          <w:p w:rsidR="006A7956" w:rsidRPr="00CD21B3" w:rsidRDefault="006A7956" w:rsidP="00DD1675">
            <w:pPr>
              <w:spacing w:after="0" w:line="240" w:lineRule="auto"/>
              <w:ind w:left="134"/>
              <w:rPr>
                <w:szCs w:val="28"/>
              </w:rPr>
            </w:pPr>
            <w:r w:rsidRPr="00CD21B3">
              <w:rPr>
                <w:szCs w:val="28"/>
              </w:rPr>
              <w:t>- ефективне формування та управління процесами</w:t>
            </w:r>
            <w:r w:rsidR="0003327B">
              <w:rPr>
                <w:szCs w:val="28"/>
              </w:rPr>
              <w:t>.</w:t>
            </w:r>
          </w:p>
        </w:tc>
      </w:tr>
      <w:tr w:rsidR="006A7956"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Pr="00CD21B3" w:rsidRDefault="006A7956" w:rsidP="00CD21B3">
            <w:pPr>
              <w:spacing w:after="0" w:line="240" w:lineRule="auto"/>
              <w:ind w:left="144"/>
              <w:rPr>
                <w:szCs w:val="28"/>
              </w:rPr>
            </w:pPr>
            <w:r w:rsidRPr="00CD21B3">
              <w:rPr>
                <w:szCs w:val="28"/>
              </w:rPr>
              <w:t>Досягнення результатів</w:t>
            </w:r>
            <w:r w:rsidR="007B09FB" w:rsidRPr="00CD21B3">
              <w:rPr>
                <w:szCs w:val="28"/>
              </w:rPr>
              <w:t xml:space="preserve"> </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Pr="00CD21B3" w:rsidRDefault="006A7956" w:rsidP="00A94AB4">
            <w:pPr>
              <w:spacing w:after="0" w:line="240" w:lineRule="auto"/>
              <w:ind w:left="134" w:right="285"/>
              <w:jc w:val="both"/>
              <w:rPr>
                <w:szCs w:val="28"/>
              </w:rPr>
            </w:pPr>
            <w:r w:rsidRPr="00CD21B3">
              <w:rPr>
                <w:szCs w:val="28"/>
              </w:rPr>
              <w:t>- здатність до чіткого бачення результатів діяльності;</w:t>
            </w:r>
          </w:p>
          <w:p w:rsidR="006A7956" w:rsidRPr="00CD21B3" w:rsidRDefault="006A7956" w:rsidP="00A94AB4">
            <w:pPr>
              <w:spacing w:after="0" w:line="240" w:lineRule="auto"/>
              <w:ind w:left="134" w:right="285"/>
              <w:jc w:val="both"/>
              <w:rPr>
                <w:szCs w:val="28"/>
              </w:rPr>
            </w:pPr>
            <w:r w:rsidRPr="00CD21B3">
              <w:rPr>
                <w:szCs w:val="28"/>
              </w:rPr>
              <w:t>- вміння фокусувати зусилля для досягнення результату діяльності;</w:t>
            </w:r>
          </w:p>
          <w:p w:rsidR="006A7956" w:rsidRPr="00CD21B3" w:rsidRDefault="006A7956" w:rsidP="00A94AB4">
            <w:pPr>
              <w:spacing w:after="0" w:line="240" w:lineRule="auto"/>
              <w:ind w:left="134" w:right="285"/>
              <w:jc w:val="both"/>
              <w:rPr>
                <w:szCs w:val="28"/>
              </w:rPr>
            </w:pPr>
            <w:r w:rsidRPr="00CD21B3">
              <w:rPr>
                <w:szCs w:val="28"/>
              </w:rPr>
              <w:t>- вміння запобігати та ефективно долати перешкоди</w:t>
            </w:r>
          </w:p>
        </w:tc>
      </w:tr>
      <w:tr w:rsidR="0003327B"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03327B" w:rsidRPr="0003327B" w:rsidRDefault="0003327B" w:rsidP="0003327B">
            <w:pPr>
              <w:spacing w:after="0" w:line="240" w:lineRule="auto"/>
              <w:ind w:left="144"/>
              <w:rPr>
                <w:szCs w:val="28"/>
              </w:rPr>
            </w:pPr>
            <w:r w:rsidRPr="0003327B">
              <w:rPr>
                <w:szCs w:val="28"/>
              </w:rPr>
              <w:t>Аналітичні  здібності</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03327B" w:rsidRDefault="0003327B" w:rsidP="0003327B">
            <w:pPr>
              <w:ind w:left="142"/>
              <w:rPr>
                <w:rFonts w:eastAsia="Times New Roman" w:cs="Times New Roman"/>
                <w:szCs w:val="28"/>
                <w:lang w:eastAsia="ru-RU"/>
              </w:rPr>
            </w:pPr>
            <w:r>
              <w:rPr>
                <w:rFonts w:eastAsia="Times New Roman" w:cs="Times New Roman"/>
                <w:szCs w:val="28"/>
              </w:rPr>
              <w:t xml:space="preserve"> </w:t>
            </w:r>
            <w:r>
              <w:rPr>
                <w:rFonts w:eastAsia="Times New Roman" w:cs="Times New Roman"/>
                <w:sz w:val="24"/>
                <w:szCs w:val="24"/>
                <w:lang w:eastAsia="ru-RU"/>
              </w:rPr>
              <w:t xml:space="preserve">- </w:t>
            </w:r>
            <w:r w:rsidRPr="0003327B">
              <w:rPr>
                <w:rFonts w:eastAsia="Times New Roman" w:cs="Times New Roman"/>
                <w:szCs w:val="28"/>
                <w:lang w:eastAsia="ru-RU"/>
              </w:rPr>
              <w:t>здатність до логічного мислення, узагальнення, конкретизації, розкладення складних питань на складові, виділяти головне від другорядного, виявляти закономірності;</w:t>
            </w:r>
          </w:p>
          <w:p w:rsidR="0003327B" w:rsidRPr="0003327B" w:rsidRDefault="0003327B" w:rsidP="0003327B">
            <w:pPr>
              <w:ind w:left="142"/>
              <w:rPr>
                <w:rFonts w:eastAsia="Times New Roman" w:cs="Times New Roman"/>
                <w:szCs w:val="28"/>
                <w:lang w:eastAsia="ru-RU"/>
              </w:rPr>
            </w:pPr>
            <w:r w:rsidRPr="0003327B">
              <w:rPr>
                <w:rFonts w:eastAsia="Times New Roman" w:cs="Times New Roman"/>
                <w:szCs w:val="28"/>
                <w:lang w:eastAsia="ru-RU"/>
              </w:rPr>
              <w:t>-</w:t>
            </w:r>
            <w:r>
              <w:rPr>
                <w:rFonts w:eastAsia="Times New Roman" w:cs="Times New Roman"/>
                <w:szCs w:val="28"/>
                <w:lang w:eastAsia="ru-RU"/>
              </w:rPr>
              <w:t xml:space="preserve"> </w:t>
            </w:r>
            <w:r w:rsidRPr="0003327B">
              <w:rPr>
                <w:rFonts w:eastAsia="Times New Roman" w:cs="Times New Roman"/>
                <w:szCs w:val="28"/>
                <w:lang w:eastAsia="ru-RU"/>
              </w:rPr>
              <w:t>вміння встановлювати причинно-наслідкові зв’язки;</w:t>
            </w:r>
          </w:p>
          <w:p w:rsidR="0003327B" w:rsidRPr="0003327B" w:rsidRDefault="0003327B" w:rsidP="008F4E88">
            <w:pPr>
              <w:pStyle w:val="ad"/>
              <w:spacing w:after="0" w:line="240" w:lineRule="auto"/>
              <w:ind w:left="142" w:right="142"/>
              <w:rPr>
                <w:szCs w:val="28"/>
              </w:rPr>
            </w:pPr>
            <w:r>
              <w:rPr>
                <w:rFonts w:eastAsia="Calibri" w:cs="Times New Roman"/>
                <w:szCs w:val="28"/>
              </w:rPr>
              <w:t xml:space="preserve">- </w:t>
            </w:r>
            <w:r w:rsidRPr="0003327B">
              <w:rPr>
                <w:rFonts w:eastAsia="Calibri" w:cs="Times New Roman"/>
                <w:szCs w:val="28"/>
              </w:rPr>
              <w:t>вміння аналізувати інформацію та робити висновки, критично оцінювати ситуації</w:t>
            </w:r>
            <w:r w:rsidR="008F4E88">
              <w:rPr>
                <w:rFonts w:eastAsia="Calibri" w:cs="Times New Roman"/>
                <w:szCs w:val="28"/>
              </w:rPr>
              <w:t>, прогнозувати та робити власні висновки</w:t>
            </w:r>
          </w:p>
        </w:tc>
      </w:tr>
      <w:tr w:rsidR="008F4E88"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8F4E88" w:rsidRPr="008F4E88" w:rsidRDefault="008F4E88" w:rsidP="008F4E88">
            <w:pPr>
              <w:ind w:left="136"/>
              <w:rPr>
                <w:szCs w:val="28"/>
              </w:rPr>
            </w:pPr>
            <w:r w:rsidRPr="008F4E88">
              <w:rPr>
                <w:szCs w:val="28"/>
              </w:rPr>
              <w:t>Самоорганізація та самостійність у роботі</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8F4E88" w:rsidRPr="008F4E88" w:rsidRDefault="008F4E88" w:rsidP="008F4E88">
            <w:pPr>
              <w:ind w:left="142"/>
              <w:rPr>
                <w:rFonts w:eastAsia="Calibri" w:cs="Times New Roman"/>
                <w:szCs w:val="28"/>
              </w:rPr>
            </w:pPr>
            <w:r>
              <w:rPr>
                <w:rFonts w:eastAsia="Calibri" w:cs="Times New Roman"/>
                <w:szCs w:val="28"/>
              </w:rPr>
              <w:t xml:space="preserve">- </w:t>
            </w:r>
            <w:r w:rsidRPr="008F4E88">
              <w:rPr>
                <w:rFonts w:eastAsia="Calibri" w:cs="Times New Roman"/>
                <w:szCs w:val="28"/>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8F4E88" w:rsidRPr="008F4E88" w:rsidRDefault="008F4E88" w:rsidP="008F4E88">
            <w:pPr>
              <w:ind w:left="142"/>
              <w:rPr>
                <w:rFonts w:eastAsia="Calibri" w:cs="Times New Roman"/>
                <w:szCs w:val="28"/>
              </w:rPr>
            </w:pPr>
            <w:r w:rsidRPr="008F4E88">
              <w:rPr>
                <w:rFonts w:eastAsia="Calibri" w:cs="Times New Roman"/>
                <w:szCs w:val="28"/>
              </w:rPr>
              <w:t xml:space="preserve">- здатність до </w:t>
            </w:r>
            <w:proofErr w:type="spellStart"/>
            <w:r w:rsidRPr="008F4E88">
              <w:rPr>
                <w:rFonts w:eastAsia="Calibri" w:cs="Times New Roman"/>
                <w:szCs w:val="28"/>
              </w:rPr>
              <w:t>самомотивації</w:t>
            </w:r>
            <w:proofErr w:type="spellEnd"/>
            <w:r w:rsidRPr="008F4E88">
              <w:rPr>
                <w:rFonts w:eastAsia="Calibri" w:cs="Times New Roman"/>
                <w:szCs w:val="28"/>
              </w:rPr>
              <w:t xml:space="preserve"> (самоуправління);</w:t>
            </w:r>
          </w:p>
          <w:p w:rsidR="008F4E88" w:rsidRPr="008F4E88" w:rsidRDefault="008F4E88" w:rsidP="008F4E88">
            <w:pPr>
              <w:ind w:left="142"/>
              <w:rPr>
                <w:rFonts w:eastAsia="Times New Roman" w:cs="Times New Roman"/>
                <w:szCs w:val="28"/>
              </w:rPr>
            </w:pPr>
            <w:r w:rsidRPr="008F4E88">
              <w:rPr>
                <w:rFonts w:eastAsia="Calibri" w:cs="Times New Roman"/>
                <w:szCs w:val="28"/>
              </w:rPr>
              <w:t>- вміння самостійно приймати рішення і виконувати завдання у професійній діяльності</w:t>
            </w:r>
          </w:p>
        </w:tc>
      </w:tr>
      <w:tr w:rsidR="008F4E88" w:rsidRPr="00061F5A" w:rsidTr="00A94AB4">
        <w:tc>
          <w:tcPr>
            <w:tcW w:w="3261" w:type="dxa"/>
            <w:tcBorders>
              <w:top w:val="single" w:sz="2" w:space="0" w:color="auto"/>
              <w:left w:val="single" w:sz="2" w:space="0" w:color="auto"/>
              <w:bottom w:val="single" w:sz="2" w:space="0" w:color="auto"/>
              <w:right w:val="single" w:sz="2" w:space="0" w:color="auto"/>
            </w:tcBorders>
            <w:shd w:val="clear" w:color="auto" w:fill="auto"/>
          </w:tcPr>
          <w:p w:rsidR="008F4E88" w:rsidRPr="008F4E88" w:rsidRDefault="008F4E88" w:rsidP="008F4E88">
            <w:pPr>
              <w:rPr>
                <w:rFonts w:eastAsia="Calibri" w:cs="Times New Roman"/>
                <w:szCs w:val="28"/>
              </w:rPr>
            </w:pPr>
            <w:r w:rsidRPr="008F4E88">
              <w:rPr>
                <w:rFonts w:eastAsia="Calibri" w:cs="Times New Roman"/>
                <w:szCs w:val="28"/>
              </w:rPr>
              <w:t>Командна робота та взаємодія</w:t>
            </w:r>
          </w:p>
          <w:p w:rsidR="008F4E88" w:rsidRPr="008F4E88" w:rsidRDefault="008F4E88" w:rsidP="008F4E88">
            <w:pPr>
              <w:ind w:left="136"/>
              <w:rPr>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8F4E88" w:rsidRPr="008F4E88" w:rsidRDefault="008F4E88" w:rsidP="008F4E88">
            <w:pPr>
              <w:widowControl w:val="0"/>
              <w:ind w:left="142"/>
              <w:rPr>
                <w:rFonts w:eastAsia="Times New Roman" w:cs="Times New Roman"/>
                <w:szCs w:val="28"/>
                <w:lang w:eastAsia="ru-RU"/>
              </w:rPr>
            </w:pPr>
            <w:r>
              <w:rPr>
                <w:rFonts w:eastAsia="Times New Roman" w:cs="Times New Roman"/>
                <w:sz w:val="24"/>
                <w:szCs w:val="24"/>
                <w:lang w:eastAsia="ru-RU"/>
              </w:rPr>
              <w:t xml:space="preserve">- </w:t>
            </w:r>
            <w:r w:rsidRPr="008F4E88">
              <w:rPr>
                <w:rFonts w:eastAsia="Times New Roman" w:cs="Times New Roman"/>
                <w:szCs w:val="28"/>
                <w:lang w:eastAsia="ru-RU"/>
              </w:rPr>
              <w:t>розуміння ваги свого внеску у загальний результат (структурного підрозділу/державного органу);</w:t>
            </w:r>
          </w:p>
          <w:p w:rsidR="008F4E88" w:rsidRPr="008F4E88" w:rsidRDefault="008F4E88" w:rsidP="008F4E88">
            <w:pPr>
              <w:widowControl w:val="0"/>
              <w:ind w:left="142"/>
              <w:rPr>
                <w:rFonts w:eastAsia="Times New Roman" w:cs="Times New Roman"/>
                <w:szCs w:val="28"/>
                <w:lang w:eastAsia="ru-RU"/>
              </w:rPr>
            </w:pPr>
            <w:r w:rsidRPr="008F4E88">
              <w:rPr>
                <w:rFonts w:eastAsia="Times New Roman" w:cs="Times New Roman"/>
                <w:szCs w:val="28"/>
                <w:lang w:eastAsia="ru-RU"/>
              </w:rPr>
              <w:t>- орієнтація на командний результат;</w:t>
            </w:r>
          </w:p>
          <w:p w:rsidR="008F4E88" w:rsidRPr="008F4E88" w:rsidRDefault="008F4E88" w:rsidP="008F4E88">
            <w:pPr>
              <w:widowControl w:val="0"/>
              <w:ind w:left="142"/>
              <w:rPr>
                <w:rFonts w:eastAsia="Times New Roman" w:cs="Times New Roman"/>
                <w:szCs w:val="28"/>
                <w:lang w:eastAsia="ru-RU"/>
              </w:rPr>
            </w:pPr>
            <w:r w:rsidRPr="008F4E88">
              <w:rPr>
                <w:rFonts w:eastAsia="Times New Roman" w:cs="Times New Roman"/>
                <w:szCs w:val="28"/>
                <w:lang w:eastAsia="ru-RU"/>
              </w:rPr>
              <w:t xml:space="preserve">- готовність працювати у команді та сприяти колегам у їх професійні діяльності задля досягнення спільних цілей; </w:t>
            </w:r>
          </w:p>
          <w:p w:rsidR="008F4E88" w:rsidRDefault="008F4E88" w:rsidP="008F4E88">
            <w:pPr>
              <w:ind w:left="142"/>
              <w:rPr>
                <w:rFonts w:eastAsia="Calibri" w:cs="Times New Roman"/>
                <w:szCs w:val="28"/>
              </w:rPr>
            </w:pPr>
            <w:r w:rsidRPr="008F4E88">
              <w:rPr>
                <w:rFonts w:eastAsia="Times New Roman" w:cs="Times New Roman"/>
                <w:szCs w:val="28"/>
                <w:lang w:eastAsia="ru-RU"/>
              </w:rPr>
              <w:t>- відкритість в обміні інформацією</w:t>
            </w:r>
          </w:p>
        </w:tc>
      </w:tr>
      <w:tr w:rsidR="006A7956" w:rsidRPr="00EE7B47" w:rsidTr="00A94AB4">
        <w:trPr>
          <w:trHeight w:val="411"/>
        </w:trPr>
        <w:tc>
          <w:tcPr>
            <w:tcW w:w="10490"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885F31" w:rsidRDefault="006A7956" w:rsidP="0003327B">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sidR="007B09FB">
              <w:rPr>
                <w:rFonts w:eastAsia="Times New Roman" w:cs="Times New Roman"/>
                <w:b/>
                <w:szCs w:val="28"/>
              </w:rPr>
              <w:t xml:space="preserve"> </w:t>
            </w:r>
          </w:p>
        </w:tc>
      </w:tr>
      <w:tr w:rsidR="006A7956" w:rsidRPr="00C568A3" w:rsidTr="00A94AB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61"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Вимога</w:t>
            </w:r>
          </w:p>
        </w:tc>
        <w:tc>
          <w:tcPr>
            <w:tcW w:w="7229" w:type="dxa"/>
            <w:tcBorders>
              <w:top w:val="single" w:sz="4" w:space="0" w:color="000000"/>
              <w:left w:val="single" w:sz="4" w:space="0" w:color="000000"/>
              <w:bottom w:val="single" w:sz="4" w:space="0" w:color="000000"/>
              <w:right w:val="single" w:sz="4" w:space="0" w:color="000000"/>
            </w:tcBorders>
          </w:tcPr>
          <w:p w:rsidR="006A7956" w:rsidRPr="00885F31" w:rsidRDefault="006A7956" w:rsidP="006A7956">
            <w:pPr>
              <w:spacing w:after="0"/>
              <w:jc w:val="center"/>
              <w:rPr>
                <w:b/>
                <w:color w:val="000000"/>
                <w:szCs w:val="28"/>
              </w:rPr>
            </w:pPr>
            <w:r w:rsidRPr="00885F31">
              <w:rPr>
                <w:b/>
                <w:color w:val="000000"/>
                <w:szCs w:val="28"/>
              </w:rPr>
              <w:t>Компоненти вимоги</w:t>
            </w:r>
          </w:p>
        </w:tc>
      </w:tr>
      <w:tr w:rsidR="006A7956" w:rsidRPr="00EE7B47" w:rsidTr="00A94AB4">
        <w:trPr>
          <w:trHeight w:val="175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3E153D">
            <w:pPr>
              <w:spacing w:after="0"/>
              <w:ind w:left="144"/>
              <w:rPr>
                <w:color w:val="000000"/>
                <w:szCs w:val="28"/>
              </w:rPr>
            </w:pPr>
            <w:r w:rsidRPr="00C568A3">
              <w:rPr>
                <w:color w:val="000000"/>
                <w:szCs w:val="28"/>
              </w:rPr>
              <w:lastRenderedPageBreak/>
              <w:t>Знання законодавства</w:t>
            </w:r>
          </w:p>
          <w:p w:rsidR="007B09FB" w:rsidRPr="00C568A3" w:rsidRDefault="007B09FB" w:rsidP="003E153D">
            <w:pPr>
              <w:spacing w:after="0"/>
              <w:ind w:left="144"/>
              <w:rPr>
                <w:color w:val="000000"/>
                <w:szCs w:val="28"/>
              </w:rPr>
            </w:pP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6A7956" w:rsidRDefault="006A7956" w:rsidP="0099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szCs w:val="28"/>
              </w:rPr>
            </w:pPr>
            <w:r w:rsidRPr="000301AA">
              <w:rPr>
                <w:szCs w:val="28"/>
              </w:rPr>
              <w:t xml:space="preserve">- Закону України </w:t>
            </w:r>
            <w:r w:rsidR="00A94AB4">
              <w:rPr>
                <w:szCs w:val="28"/>
              </w:rPr>
              <w:t>«</w:t>
            </w:r>
            <w:r w:rsidRPr="000301AA">
              <w:rPr>
                <w:szCs w:val="28"/>
              </w:rPr>
              <w:t>Про державну службу</w:t>
            </w:r>
            <w:r w:rsidR="00A94AB4">
              <w:rPr>
                <w:szCs w:val="28"/>
              </w:rPr>
              <w:t>»</w:t>
            </w:r>
            <w:r w:rsidRPr="000301AA">
              <w:rPr>
                <w:szCs w:val="28"/>
              </w:rPr>
              <w:t>;</w:t>
            </w:r>
          </w:p>
          <w:p w:rsidR="006A7956" w:rsidRPr="000301AA" w:rsidRDefault="00A94AB4" w:rsidP="00A94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
              <w:jc w:val="both"/>
              <w:rPr>
                <w:color w:val="548DD4"/>
                <w:szCs w:val="28"/>
              </w:rPr>
            </w:pPr>
            <w:r>
              <w:rPr>
                <w:szCs w:val="28"/>
                <w:lang w:val="ru-RU"/>
              </w:rPr>
              <w:t>- </w:t>
            </w:r>
            <w:r w:rsidR="006A7956" w:rsidRPr="000301AA">
              <w:rPr>
                <w:szCs w:val="28"/>
              </w:rPr>
              <w:t xml:space="preserve">Закону України </w:t>
            </w:r>
            <w:r>
              <w:rPr>
                <w:szCs w:val="28"/>
              </w:rPr>
              <w:t>«</w:t>
            </w:r>
            <w:r w:rsidR="006A7956" w:rsidRPr="000301AA">
              <w:rPr>
                <w:szCs w:val="28"/>
              </w:rPr>
              <w:t>Про запобігання корупції</w:t>
            </w:r>
            <w:r>
              <w:rPr>
                <w:szCs w:val="28"/>
              </w:rPr>
              <w:t>»</w:t>
            </w:r>
            <w:r w:rsidR="006A7956" w:rsidRPr="000301AA">
              <w:rPr>
                <w:szCs w:val="28"/>
              </w:rPr>
              <w:br/>
            </w:r>
            <w:r w:rsidR="006A7956" w:rsidRPr="000301AA">
              <w:rPr>
                <w:rStyle w:val="st42"/>
                <w:szCs w:val="28"/>
              </w:rPr>
              <w:t>та іншого законодавства</w:t>
            </w:r>
          </w:p>
        </w:tc>
      </w:tr>
      <w:tr w:rsidR="002A0E18" w:rsidRPr="00EE7B47" w:rsidTr="00A94AB4">
        <w:trPr>
          <w:trHeight w:val="690"/>
        </w:trPr>
        <w:tc>
          <w:tcPr>
            <w:tcW w:w="3261" w:type="dxa"/>
            <w:tcBorders>
              <w:top w:val="single" w:sz="2" w:space="0" w:color="auto"/>
              <w:left w:val="single" w:sz="2" w:space="0" w:color="auto"/>
              <w:bottom w:val="single" w:sz="2" w:space="0" w:color="auto"/>
              <w:right w:val="single" w:sz="2" w:space="0" w:color="auto"/>
            </w:tcBorders>
            <w:shd w:val="clear" w:color="auto" w:fill="auto"/>
          </w:tcPr>
          <w:p w:rsidR="007B09FB" w:rsidRPr="0003327B" w:rsidRDefault="00D34812" w:rsidP="00D34812">
            <w:pPr>
              <w:spacing w:after="0"/>
              <w:ind w:left="144"/>
              <w:rPr>
                <w:rFonts w:eastAsia="Times New Roman" w:cs="Times New Roman"/>
                <w:szCs w:val="28"/>
                <w:highlight w:val="yellow"/>
              </w:rPr>
            </w:pPr>
            <w:r>
              <w:rPr>
                <w:bCs/>
                <w:szCs w:val="28"/>
              </w:rPr>
              <w:t>Знання, необхідні для виконання посадових обов’язків</w:t>
            </w:r>
          </w:p>
        </w:tc>
        <w:tc>
          <w:tcPr>
            <w:tcW w:w="7229" w:type="dxa"/>
            <w:tcBorders>
              <w:top w:val="single" w:sz="2" w:space="0" w:color="auto"/>
              <w:left w:val="single" w:sz="2" w:space="0" w:color="auto"/>
              <w:bottom w:val="single" w:sz="2" w:space="0" w:color="auto"/>
              <w:right w:val="single" w:sz="2" w:space="0" w:color="auto"/>
            </w:tcBorders>
            <w:shd w:val="clear" w:color="auto" w:fill="auto"/>
          </w:tcPr>
          <w:p w:rsidR="00854898" w:rsidRPr="0081095C" w:rsidRDefault="0003327B" w:rsidP="0081095C">
            <w:pPr>
              <w:tabs>
                <w:tab w:val="left" w:pos="610"/>
              </w:tabs>
              <w:spacing w:after="0"/>
              <w:rPr>
                <w:rFonts w:eastAsia="Times New Roman" w:cs="Times New Roman"/>
                <w:szCs w:val="28"/>
                <w:lang w:eastAsia="ru-RU"/>
              </w:rPr>
            </w:pPr>
            <w:r w:rsidRPr="0081095C">
              <w:rPr>
                <w:rFonts w:eastAsia="Calibri" w:cs="Times New Roman"/>
                <w:color w:val="000000"/>
                <w:szCs w:val="28"/>
              </w:rPr>
              <w:t xml:space="preserve">Господарського </w:t>
            </w:r>
            <w:r w:rsidR="0081095C">
              <w:rPr>
                <w:rFonts w:eastAsia="Calibri" w:cs="Times New Roman"/>
                <w:color w:val="000000"/>
                <w:szCs w:val="28"/>
              </w:rPr>
              <w:t xml:space="preserve">процесуального кодексу України, </w:t>
            </w:r>
            <w:r w:rsidRPr="0081095C">
              <w:rPr>
                <w:rFonts w:eastAsia="Calibri" w:cs="Times New Roman"/>
                <w:color w:val="000000"/>
                <w:szCs w:val="28"/>
              </w:rPr>
              <w:t>Кодексу адміні</w:t>
            </w:r>
            <w:r w:rsidR="0081095C">
              <w:rPr>
                <w:rFonts w:eastAsia="Calibri" w:cs="Times New Roman"/>
                <w:color w:val="000000"/>
                <w:szCs w:val="28"/>
              </w:rPr>
              <w:t xml:space="preserve">стративного судочинства України, Цивільного кодексу України, </w:t>
            </w:r>
            <w:r w:rsidRPr="0081095C">
              <w:rPr>
                <w:rFonts w:eastAsia="Calibri" w:cs="Times New Roman"/>
                <w:color w:val="000000"/>
                <w:szCs w:val="28"/>
              </w:rPr>
              <w:t>Цивільного</w:t>
            </w:r>
            <w:r w:rsidR="0081095C">
              <w:rPr>
                <w:rFonts w:eastAsia="Calibri" w:cs="Times New Roman"/>
                <w:color w:val="000000"/>
                <w:szCs w:val="28"/>
              </w:rPr>
              <w:t xml:space="preserve"> процесуального кодексу України, </w:t>
            </w:r>
            <w:r w:rsidRPr="0081095C">
              <w:rPr>
                <w:rFonts w:eastAsia="Calibri" w:cs="Times New Roman"/>
                <w:color w:val="000000"/>
                <w:szCs w:val="28"/>
              </w:rPr>
              <w:t>Кримінального</w:t>
            </w:r>
            <w:r w:rsidR="0081095C">
              <w:rPr>
                <w:rFonts w:eastAsia="Calibri" w:cs="Times New Roman"/>
                <w:color w:val="000000"/>
                <w:szCs w:val="28"/>
              </w:rPr>
              <w:t xml:space="preserve"> </w:t>
            </w:r>
            <w:r w:rsidR="008E5EB9">
              <w:rPr>
                <w:rFonts w:eastAsia="Calibri" w:cs="Times New Roman"/>
                <w:color w:val="000000"/>
                <w:szCs w:val="28"/>
              </w:rPr>
              <w:t>процесуального кодексу України;</w:t>
            </w:r>
          </w:p>
          <w:p w:rsidR="0081095C" w:rsidRPr="0081095C" w:rsidRDefault="0081095C" w:rsidP="0081095C">
            <w:pPr>
              <w:spacing w:after="0"/>
              <w:rPr>
                <w:rFonts w:eastAsia="Calibri" w:cs="Times New Roman"/>
                <w:color w:val="000000"/>
                <w:szCs w:val="28"/>
              </w:rPr>
            </w:pPr>
            <w:r>
              <w:rPr>
                <w:rFonts w:eastAsia="Calibri" w:cs="Times New Roman"/>
                <w:color w:val="000000"/>
                <w:szCs w:val="28"/>
              </w:rPr>
              <w:t>- з</w:t>
            </w:r>
            <w:r w:rsidR="00E6148F" w:rsidRPr="0081095C">
              <w:rPr>
                <w:rFonts w:eastAsia="Calibri" w:cs="Times New Roman"/>
                <w:color w:val="000000"/>
                <w:szCs w:val="28"/>
              </w:rPr>
              <w:t>нання стадій судового розгляду відповід</w:t>
            </w:r>
            <w:r w:rsidR="00657B0C" w:rsidRPr="0081095C">
              <w:rPr>
                <w:rFonts w:eastAsia="Calibri" w:cs="Times New Roman"/>
                <w:color w:val="000000"/>
                <w:szCs w:val="28"/>
              </w:rPr>
              <w:t>но до перелічених вище кодексів;</w:t>
            </w:r>
          </w:p>
          <w:p w:rsidR="0081095C" w:rsidRPr="0081095C" w:rsidRDefault="0081095C" w:rsidP="0081095C">
            <w:pPr>
              <w:spacing w:after="0"/>
              <w:rPr>
                <w:color w:val="000000"/>
                <w:szCs w:val="28"/>
                <w:shd w:val="clear" w:color="auto" w:fill="FFFFFF"/>
              </w:rPr>
            </w:pPr>
            <w:r w:rsidRPr="0081095C">
              <w:rPr>
                <w:rFonts w:eastAsia="Calibri" w:cs="Times New Roman"/>
                <w:color w:val="000000"/>
                <w:szCs w:val="28"/>
              </w:rPr>
              <w:t>-з</w:t>
            </w:r>
            <w:r w:rsidR="00657B0C" w:rsidRPr="0081095C">
              <w:rPr>
                <w:rFonts w:eastAsia="Calibri" w:cs="Times New Roman"/>
                <w:szCs w:val="28"/>
              </w:rPr>
              <w:t xml:space="preserve">нання стадій </w:t>
            </w:r>
            <w:r w:rsidR="00657B0C" w:rsidRPr="0081095C">
              <w:rPr>
                <w:szCs w:val="28"/>
                <w:shd w:val="clear" w:color="auto" w:fill="FFFFFF"/>
              </w:rPr>
              <w:t>примусового виконання судових рішень та рішень інших органів відповідно до Закону України «Про виконавче провадження»</w:t>
            </w:r>
            <w:r w:rsidRPr="0081095C">
              <w:rPr>
                <w:color w:val="000000"/>
                <w:szCs w:val="28"/>
                <w:shd w:val="clear" w:color="auto" w:fill="FFFFFF"/>
              </w:rPr>
              <w:t xml:space="preserve">  </w:t>
            </w:r>
          </w:p>
          <w:p w:rsidR="0081095C" w:rsidRPr="0081095C" w:rsidRDefault="0081095C" w:rsidP="0081095C">
            <w:pPr>
              <w:spacing w:after="0"/>
              <w:rPr>
                <w:color w:val="000000"/>
                <w:szCs w:val="28"/>
                <w:shd w:val="clear" w:color="auto" w:fill="FFFFFF"/>
              </w:rPr>
            </w:pPr>
            <w:r w:rsidRPr="0081095C">
              <w:rPr>
                <w:color w:val="000000"/>
                <w:szCs w:val="28"/>
                <w:shd w:val="clear" w:color="auto" w:fill="FFFFFF"/>
              </w:rPr>
              <w:t xml:space="preserve">- вміння застосовувати та реалізовувати повноваження надані відповідно </w:t>
            </w:r>
            <w:r w:rsidRPr="0081095C">
              <w:rPr>
                <w:szCs w:val="28"/>
              </w:rPr>
              <w:t>Загального положення про юридичну службу міністерства, іншого органу виконавчої влади, державного підприємства, установи та організації затвердженого постановою Кабінету Міністрів України від 26 листопада 2008 р. № 1040;</w:t>
            </w:r>
          </w:p>
          <w:p w:rsidR="002A0E18" w:rsidRPr="0081095C" w:rsidRDefault="0081095C" w:rsidP="0081095C">
            <w:pPr>
              <w:spacing w:after="0"/>
              <w:rPr>
                <w:color w:val="000000"/>
                <w:sz w:val="14"/>
                <w:szCs w:val="14"/>
                <w:shd w:val="clear" w:color="auto" w:fill="FFFFFF"/>
              </w:rPr>
            </w:pPr>
            <w:r w:rsidRPr="0081095C">
              <w:rPr>
                <w:color w:val="000000"/>
                <w:szCs w:val="28"/>
                <w:shd w:val="clear" w:color="auto" w:fill="FFFFFF"/>
              </w:rPr>
              <w:t>- в</w:t>
            </w:r>
            <w:r w:rsidR="00772CF1" w:rsidRPr="0081095C">
              <w:rPr>
                <w:color w:val="000000"/>
                <w:szCs w:val="28"/>
                <w:shd w:val="clear" w:color="auto" w:fill="FFFFFF"/>
              </w:rPr>
              <w:t>міння користуватися системою електронного документообіг</w:t>
            </w:r>
            <w:r w:rsidRPr="0081095C">
              <w:rPr>
                <w:color w:val="000000"/>
                <w:szCs w:val="28"/>
                <w:shd w:val="clear" w:color="auto" w:fill="FFFFFF"/>
              </w:rPr>
              <w:t>у, базами даних, реєстрами тощо</w:t>
            </w:r>
          </w:p>
        </w:tc>
      </w:tr>
    </w:tbl>
    <w:p w:rsidR="00B25185" w:rsidRDefault="00B25185" w:rsidP="00CE1E4D">
      <w:pPr>
        <w:spacing w:after="0" w:line="240" w:lineRule="auto"/>
        <w:jc w:val="both"/>
        <w:rPr>
          <w:rFonts w:cs="Times New Roman"/>
          <w:szCs w:val="28"/>
        </w:rPr>
      </w:pPr>
    </w:p>
    <w:p w:rsidR="002C1F56" w:rsidRDefault="002C1F56" w:rsidP="00CE1E4D">
      <w:pPr>
        <w:spacing w:after="0" w:line="240" w:lineRule="auto"/>
        <w:jc w:val="both"/>
        <w:rPr>
          <w:rFonts w:cs="Times New Roman"/>
          <w:szCs w:val="28"/>
        </w:rPr>
      </w:pPr>
      <w:bookmarkStart w:id="1" w:name="_GoBack"/>
      <w:bookmarkEnd w:id="1"/>
    </w:p>
    <w:sectPr w:rsidR="002C1F56" w:rsidSect="00A94AB4">
      <w:pgSz w:w="11906" w:h="16838"/>
      <w:pgMar w:top="993" w:right="850"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17925B5"/>
    <w:multiLevelType w:val="hybridMultilevel"/>
    <w:tmpl w:val="F3046E06"/>
    <w:lvl w:ilvl="0" w:tplc="F2AE869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4"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27C2A42"/>
    <w:multiLevelType w:val="hybridMultilevel"/>
    <w:tmpl w:val="117C0D78"/>
    <w:lvl w:ilvl="0" w:tplc="8C9CD97C">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7" w15:restartNumberingAfterBreak="0">
    <w:nsid w:val="528B7821"/>
    <w:multiLevelType w:val="hybridMultilevel"/>
    <w:tmpl w:val="F7F04892"/>
    <w:lvl w:ilvl="0" w:tplc="A0C087EC">
      <w:start w:val="5"/>
      <w:numFmt w:val="bullet"/>
      <w:lvlText w:val="-"/>
      <w:lvlJc w:val="left"/>
      <w:pPr>
        <w:ind w:left="1205" w:hanging="360"/>
      </w:pPr>
      <w:rPr>
        <w:rFonts w:ascii="Times New Roman" w:eastAsia="Times New Roman" w:hAnsi="Times New Roman" w:cs="Times New Roman" w:hint="default"/>
      </w:rPr>
    </w:lvl>
    <w:lvl w:ilvl="1" w:tplc="04220003" w:tentative="1">
      <w:start w:val="1"/>
      <w:numFmt w:val="bullet"/>
      <w:lvlText w:val="o"/>
      <w:lvlJc w:val="left"/>
      <w:pPr>
        <w:ind w:left="1925" w:hanging="360"/>
      </w:pPr>
      <w:rPr>
        <w:rFonts w:ascii="Courier New" w:hAnsi="Courier New" w:cs="Courier New" w:hint="default"/>
      </w:rPr>
    </w:lvl>
    <w:lvl w:ilvl="2" w:tplc="04220005" w:tentative="1">
      <w:start w:val="1"/>
      <w:numFmt w:val="bullet"/>
      <w:lvlText w:val=""/>
      <w:lvlJc w:val="left"/>
      <w:pPr>
        <w:ind w:left="2645" w:hanging="360"/>
      </w:pPr>
      <w:rPr>
        <w:rFonts w:ascii="Wingdings" w:hAnsi="Wingdings" w:hint="default"/>
      </w:rPr>
    </w:lvl>
    <w:lvl w:ilvl="3" w:tplc="04220001" w:tentative="1">
      <w:start w:val="1"/>
      <w:numFmt w:val="bullet"/>
      <w:lvlText w:val=""/>
      <w:lvlJc w:val="left"/>
      <w:pPr>
        <w:ind w:left="3365" w:hanging="360"/>
      </w:pPr>
      <w:rPr>
        <w:rFonts w:ascii="Symbol" w:hAnsi="Symbol" w:hint="default"/>
      </w:rPr>
    </w:lvl>
    <w:lvl w:ilvl="4" w:tplc="04220003" w:tentative="1">
      <w:start w:val="1"/>
      <w:numFmt w:val="bullet"/>
      <w:lvlText w:val="o"/>
      <w:lvlJc w:val="left"/>
      <w:pPr>
        <w:ind w:left="4085" w:hanging="360"/>
      </w:pPr>
      <w:rPr>
        <w:rFonts w:ascii="Courier New" w:hAnsi="Courier New" w:cs="Courier New" w:hint="default"/>
      </w:rPr>
    </w:lvl>
    <w:lvl w:ilvl="5" w:tplc="04220005" w:tentative="1">
      <w:start w:val="1"/>
      <w:numFmt w:val="bullet"/>
      <w:lvlText w:val=""/>
      <w:lvlJc w:val="left"/>
      <w:pPr>
        <w:ind w:left="4805" w:hanging="360"/>
      </w:pPr>
      <w:rPr>
        <w:rFonts w:ascii="Wingdings" w:hAnsi="Wingdings" w:hint="default"/>
      </w:rPr>
    </w:lvl>
    <w:lvl w:ilvl="6" w:tplc="04220001" w:tentative="1">
      <w:start w:val="1"/>
      <w:numFmt w:val="bullet"/>
      <w:lvlText w:val=""/>
      <w:lvlJc w:val="left"/>
      <w:pPr>
        <w:ind w:left="5525" w:hanging="360"/>
      </w:pPr>
      <w:rPr>
        <w:rFonts w:ascii="Symbol" w:hAnsi="Symbol" w:hint="default"/>
      </w:rPr>
    </w:lvl>
    <w:lvl w:ilvl="7" w:tplc="04220003" w:tentative="1">
      <w:start w:val="1"/>
      <w:numFmt w:val="bullet"/>
      <w:lvlText w:val="o"/>
      <w:lvlJc w:val="left"/>
      <w:pPr>
        <w:ind w:left="6245" w:hanging="360"/>
      </w:pPr>
      <w:rPr>
        <w:rFonts w:ascii="Courier New" w:hAnsi="Courier New" w:cs="Courier New" w:hint="default"/>
      </w:rPr>
    </w:lvl>
    <w:lvl w:ilvl="8" w:tplc="04220005" w:tentative="1">
      <w:start w:val="1"/>
      <w:numFmt w:val="bullet"/>
      <w:lvlText w:val=""/>
      <w:lvlJc w:val="left"/>
      <w:pPr>
        <w:ind w:left="6965" w:hanging="360"/>
      </w:pPr>
      <w:rPr>
        <w:rFonts w:ascii="Wingdings" w:hAnsi="Wingdings" w:hint="default"/>
      </w:rPr>
    </w:lvl>
  </w:abstractNum>
  <w:abstractNum w:abstractNumId="8" w15:restartNumberingAfterBreak="0">
    <w:nsid w:val="66F51571"/>
    <w:multiLevelType w:val="hybridMultilevel"/>
    <w:tmpl w:val="52169B82"/>
    <w:lvl w:ilvl="0" w:tplc="599ABB3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6C361A3F"/>
    <w:multiLevelType w:val="hybridMultilevel"/>
    <w:tmpl w:val="3210FADE"/>
    <w:lvl w:ilvl="0" w:tplc="0C0099A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9"/>
  </w:num>
  <w:num w:numId="7">
    <w:abstractNumId w:val="7"/>
  </w:num>
  <w:num w:numId="8">
    <w:abstractNumId w:val="6"/>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3327B"/>
    <w:rsid w:val="00036972"/>
    <w:rsid w:val="00042F12"/>
    <w:rsid w:val="00063C9B"/>
    <w:rsid w:val="000675A7"/>
    <w:rsid w:val="00097300"/>
    <w:rsid w:val="000D216B"/>
    <w:rsid w:val="000F13B6"/>
    <w:rsid w:val="0010097A"/>
    <w:rsid w:val="00122B97"/>
    <w:rsid w:val="001233DF"/>
    <w:rsid w:val="00124041"/>
    <w:rsid w:val="00136FFC"/>
    <w:rsid w:val="001440D6"/>
    <w:rsid w:val="001616D2"/>
    <w:rsid w:val="00170C82"/>
    <w:rsid w:val="00182DF7"/>
    <w:rsid w:val="00190E17"/>
    <w:rsid w:val="00193665"/>
    <w:rsid w:val="001A04F0"/>
    <w:rsid w:val="001B18CB"/>
    <w:rsid w:val="001B257B"/>
    <w:rsid w:val="001D72C6"/>
    <w:rsid w:val="00200EC0"/>
    <w:rsid w:val="002052E9"/>
    <w:rsid w:val="00243168"/>
    <w:rsid w:val="002734F3"/>
    <w:rsid w:val="002A0E18"/>
    <w:rsid w:val="002C1F56"/>
    <w:rsid w:val="002F1775"/>
    <w:rsid w:val="002F76AB"/>
    <w:rsid w:val="003279D5"/>
    <w:rsid w:val="0033116B"/>
    <w:rsid w:val="00352163"/>
    <w:rsid w:val="003B0FBC"/>
    <w:rsid w:val="003C0A9A"/>
    <w:rsid w:val="003C17D0"/>
    <w:rsid w:val="003E153D"/>
    <w:rsid w:val="003E3B0F"/>
    <w:rsid w:val="004204EB"/>
    <w:rsid w:val="00423C27"/>
    <w:rsid w:val="00463FCB"/>
    <w:rsid w:val="004B1132"/>
    <w:rsid w:val="004B22F4"/>
    <w:rsid w:val="004B3336"/>
    <w:rsid w:val="004D3657"/>
    <w:rsid w:val="00520749"/>
    <w:rsid w:val="00553D63"/>
    <w:rsid w:val="00575A90"/>
    <w:rsid w:val="00591B44"/>
    <w:rsid w:val="005B0D8E"/>
    <w:rsid w:val="005C0144"/>
    <w:rsid w:val="005D672D"/>
    <w:rsid w:val="00600BF2"/>
    <w:rsid w:val="00603065"/>
    <w:rsid w:val="00657B0C"/>
    <w:rsid w:val="00691A49"/>
    <w:rsid w:val="006A7956"/>
    <w:rsid w:val="006F302D"/>
    <w:rsid w:val="007164EA"/>
    <w:rsid w:val="00740EFF"/>
    <w:rsid w:val="00772CF1"/>
    <w:rsid w:val="00781460"/>
    <w:rsid w:val="007B09FB"/>
    <w:rsid w:val="007F2F3C"/>
    <w:rsid w:val="0081095C"/>
    <w:rsid w:val="008117C6"/>
    <w:rsid w:val="008414C4"/>
    <w:rsid w:val="00854898"/>
    <w:rsid w:val="00885F31"/>
    <w:rsid w:val="008A74D0"/>
    <w:rsid w:val="008B457A"/>
    <w:rsid w:val="008C4899"/>
    <w:rsid w:val="008E1E71"/>
    <w:rsid w:val="008E5EB9"/>
    <w:rsid w:val="008F4E88"/>
    <w:rsid w:val="00990EFC"/>
    <w:rsid w:val="009C314D"/>
    <w:rsid w:val="009E059D"/>
    <w:rsid w:val="009E0FAC"/>
    <w:rsid w:val="00A2452F"/>
    <w:rsid w:val="00A31191"/>
    <w:rsid w:val="00A46DBD"/>
    <w:rsid w:val="00A61527"/>
    <w:rsid w:val="00A67C49"/>
    <w:rsid w:val="00A70513"/>
    <w:rsid w:val="00A94AB4"/>
    <w:rsid w:val="00A9675E"/>
    <w:rsid w:val="00AB13B2"/>
    <w:rsid w:val="00AB2E7E"/>
    <w:rsid w:val="00AB5201"/>
    <w:rsid w:val="00B010E6"/>
    <w:rsid w:val="00B25185"/>
    <w:rsid w:val="00B67B51"/>
    <w:rsid w:val="00B7269D"/>
    <w:rsid w:val="00BF56CC"/>
    <w:rsid w:val="00C67583"/>
    <w:rsid w:val="00CB73C0"/>
    <w:rsid w:val="00CD21B3"/>
    <w:rsid w:val="00CE1E4D"/>
    <w:rsid w:val="00CE1E8D"/>
    <w:rsid w:val="00CE3B9D"/>
    <w:rsid w:val="00CF7063"/>
    <w:rsid w:val="00D10A4E"/>
    <w:rsid w:val="00D2461E"/>
    <w:rsid w:val="00D34812"/>
    <w:rsid w:val="00D57716"/>
    <w:rsid w:val="00D6003D"/>
    <w:rsid w:val="00D77829"/>
    <w:rsid w:val="00D905E6"/>
    <w:rsid w:val="00DA7725"/>
    <w:rsid w:val="00DD1675"/>
    <w:rsid w:val="00E11DF2"/>
    <w:rsid w:val="00E356D2"/>
    <w:rsid w:val="00E364E4"/>
    <w:rsid w:val="00E52CC2"/>
    <w:rsid w:val="00E6148F"/>
    <w:rsid w:val="00EC727D"/>
    <w:rsid w:val="00ED1E42"/>
    <w:rsid w:val="00EE7B47"/>
    <w:rsid w:val="00EF0B4D"/>
    <w:rsid w:val="00EF34E3"/>
    <w:rsid w:val="00F6581B"/>
    <w:rsid w:val="00F72217"/>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 w:type="paragraph" w:customStyle="1" w:styleId="rvps14">
    <w:name w:val="rvps14"/>
    <w:basedOn w:val="a"/>
    <w:rsid w:val="00854898"/>
    <w:pPr>
      <w:spacing w:before="100" w:beforeAutospacing="1" w:after="100" w:afterAutospacing="1" w:line="240" w:lineRule="auto"/>
    </w:pPr>
    <w:rPr>
      <w:rFonts w:eastAsia="Times New Roman" w:cs="Times New Roman"/>
      <w:sz w:val="24"/>
      <w:szCs w:val="24"/>
      <w:lang w:eastAsia="uk-UA"/>
    </w:rPr>
  </w:style>
  <w:style w:type="character" w:customStyle="1" w:styleId="rvts9">
    <w:name w:val="rvts9"/>
    <w:basedOn w:val="a0"/>
    <w:rsid w:val="00854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6265">
      <w:bodyDiv w:val="1"/>
      <w:marLeft w:val="0"/>
      <w:marRight w:val="0"/>
      <w:marTop w:val="0"/>
      <w:marBottom w:val="0"/>
      <w:divBdr>
        <w:top w:val="none" w:sz="0" w:space="0" w:color="auto"/>
        <w:left w:val="none" w:sz="0" w:space="0" w:color="auto"/>
        <w:bottom w:val="none" w:sz="0" w:space="0" w:color="auto"/>
        <w:right w:val="none" w:sz="0" w:space="0" w:color="auto"/>
      </w:divBdr>
    </w:div>
    <w:div w:id="145247671">
      <w:bodyDiv w:val="1"/>
      <w:marLeft w:val="0"/>
      <w:marRight w:val="0"/>
      <w:marTop w:val="0"/>
      <w:marBottom w:val="0"/>
      <w:divBdr>
        <w:top w:val="none" w:sz="0" w:space="0" w:color="auto"/>
        <w:left w:val="none" w:sz="0" w:space="0" w:color="auto"/>
        <w:bottom w:val="none" w:sz="0" w:space="0" w:color="auto"/>
        <w:right w:val="none" w:sz="0" w:space="0" w:color="auto"/>
      </w:divBdr>
    </w:div>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209004226">
      <w:bodyDiv w:val="1"/>
      <w:marLeft w:val="0"/>
      <w:marRight w:val="0"/>
      <w:marTop w:val="0"/>
      <w:marBottom w:val="0"/>
      <w:divBdr>
        <w:top w:val="none" w:sz="0" w:space="0" w:color="auto"/>
        <w:left w:val="none" w:sz="0" w:space="0" w:color="auto"/>
        <w:bottom w:val="none" w:sz="0" w:space="0" w:color="auto"/>
        <w:right w:val="none" w:sz="0" w:space="0" w:color="auto"/>
      </w:divBdr>
    </w:div>
    <w:div w:id="271404266">
      <w:bodyDiv w:val="1"/>
      <w:marLeft w:val="0"/>
      <w:marRight w:val="0"/>
      <w:marTop w:val="0"/>
      <w:marBottom w:val="0"/>
      <w:divBdr>
        <w:top w:val="none" w:sz="0" w:space="0" w:color="auto"/>
        <w:left w:val="none" w:sz="0" w:space="0" w:color="auto"/>
        <w:bottom w:val="none" w:sz="0" w:space="0" w:color="auto"/>
        <w:right w:val="none" w:sz="0" w:space="0" w:color="auto"/>
      </w:divBdr>
    </w:div>
    <w:div w:id="678585833">
      <w:bodyDiv w:val="1"/>
      <w:marLeft w:val="0"/>
      <w:marRight w:val="0"/>
      <w:marTop w:val="0"/>
      <w:marBottom w:val="0"/>
      <w:divBdr>
        <w:top w:val="none" w:sz="0" w:space="0" w:color="auto"/>
        <w:left w:val="none" w:sz="0" w:space="0" w:color="auto"/>
        <w:bottom w:val="none" w:sz="0" w:space="0" w:color="auto"/>
        <w:right w:val="none" w:sz="0" w:space="0" w:color="auto"/>
      </w:divBdr>
    </w:div>
    <w:div w:id="860631732">
      <w:bodyDiv w:val="1"/>
      <w:marLeft w:val="0"/>
      <w:marRight w:val="0"/>
      <w:marTop w:val="0"/>
      <w:marBottom w:val="0"/>
      <w:divBdr>
        <w:top w:val="none" w:sz="0" w:space="0" w:color="auto"/>
        <w:left w:val="none" w:sz="0" w:space="0" w:color="auto"/>
        <w:bottom w:val="none" w:sz="0" w:space="0" w:color="auto"/>
        <w:right w:val="none" w:sz="0" w:space="0" w:color="auto"/>
      </w:divBdr>
    </w:div>
    <w:div w:id="1177306426">
      <w:bodyDiv w:val="1"/>
      <w:marLeft w:val="0"/>
      <w:marRight w:val="0"/>
      <w:marTop w:val="0"/>
      <w:marBottom w:val="0"/>
      <w:divBdr>
        <w:top w:val="none" w:sz="0" w:space="0" w:color="auto"/>
        <w:left w:val="none" w:sz="0" w:space="0" w:color="auto"/>
        <w:bottom w:val="none" w:sz="0" w:space="0" w:color="auto"/>
        <w:right w:val="none" w:sz="0" w:space="0" w:color="auto"/>
      </w:divBdr>
    </w:div>
    <w:div w:id="1189835321">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89278">
      <w:bodyDiv w:val="1"/>
      <w:marLeft w:val="0"/>
      <w:marRight w:val="0"/>
      <w:marTop w:val="0"/>
      <w:marBottom w:val="0"/>
      <w:divBdr>
        <w:top w:val="none" w:sz="0" w:space="0" w:color="auto"/>
        <w:left w:val="none" w:sz="0" w:space="0" w:color="auto"/>
        <w:bottom w:val="none" w:sz="0" w:space="0" w:color="auto"/>
        <w:right w:val="none" w:sz="0" w:space="0" w:color="auto"/>
      </w:divBdr>
    </w:div>
    <w:div w:id="1882356698">
      <w:bodyDiv w:val="1"/>
      <w:marLeft w:val="0"/>
      <w:marRight w:val="0"/>
      <w:marTop w:val="0"/>
      <w:marBottom w:val="0"/>
      <w:divBdr>
        <w:top w:val="none" w:sz="0" w:space="0" w:color="auto"/>
        <w:left w:val="none" w:sz="0" w:space="0" w:color="auto"/>
        <w:bottom w:val="none" w:sz="0" w:space="0" w:color="auto"/>
        <w:right w:val="none" w:sz="0" w:space="0" w:color="auto"/>
      </w:divBdr>
    </w:div>
    <w:div w:id="1921864105">
      <w:bodyDiv w:val="1"/>
      <w:marLeft w:val="0"/>
      <w:marRight w:val="0"/>
      <w:marTop w:val="0"/>
      <w:marBottom w:val="0"/>
      <w:divBdr>
        <w:top w:val="none" w:sz="0" w:space="0" w:color="auto"/>
        <w:left w:val="none" w:sz="0" w:space="0" w:color="auto"/>
        <w:bottom w:val="none" w:sz="0" w:space="0" w:color="auto"/>
        <w:right w:val="none" w:sz="0" w:space="0" w:color="auto"/>
      </w:divBdr>
    </w:div>
    <w:div w:id="20128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622C-ED08-4A8F-BC70-945693E6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5129</Words>
  <Characters>2924</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Nastenko S.L.</cp:lastModifiedBy>
  <cp:revision>11</cp:revision>
  <cp:lastPrinted>2021-06-14T09:56:00Z</cp:lastPrinted>
  <dcterms:created xsi:type="dcterms:W3CDTF">2021-06-08T11:01:00Z</dcterms:created>
  <dcterms:modified xsi:type="dcterms:W3CDTF">2021-06-14T13:40:00Z</dcterms:modified>
</cp:coreProperties>
</file>