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pPr>
        <w:ind w:left="5527"/>
        <w:rPr>
          <w:sz w:val="28"/>
          <w:szCs w:val="28"/>
        </w:rPr>
      </w:pPr>
      <w:r w:rsidRPr="00C568A3">
        <w:rPr>
          <w:sz w:val="28"/>
          <w:szCs w:val="28"/>
        </w:rPr>
        <w:t xml:space="preserve">ЗАТВЕРДЖЕНО </w:t>
      </w:r>
    </w:p>
    <w:p w:rsidR="00B37370" w:rsidRPr="00C568A3" w:rsidRDefault="00B37370" w:rsidP="001B0A24">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B37370" w:rsidRPr="00C568A3" w:rsidRDefault="001B0A24" w:rsidP="001B0A24">
      <w:pPr>
        <w:keepNext/>
        <w:keepLines/>
        <w:ind w:left="4536"/>
        <w:jc w:val="center"/>
        <w:rPr>
          <w:color w:val="000000"/>
          <w:sz w:val="28"/>
          <w:szCs w:val="28"/>
        </w:rPr>
      </w:pPr>
      <w:r>
        <w:rPr>
          <w:sz w:val="28"/>
          <w:szCs w:val="28"/>
        </w:rPr>
        <w:t xml:space="preserve">від  </w:t>
      </w:r>
      <w:r>
        <w:rPr>
          <w:rFonts w:eastAsia="Calibri"/>
          <w:sz w:val="28"/>
          <w:szCs w:val="28"/>
          <w:lang w:val="en-US"/>
        </w:rPr>
        <w:t>06</w:t>
      </w:r>
      <w:r>
        <w:rPr>
          <w:rFonts w:eastAsia="Calibri"/>
          <w:sz w:val="28"/>
          <w:szCs w:val="28"/>
        </w:rPr>
        <w:t>.</w:t>
      </w:r>
      <w:r>
        <w:rPr>
          <w:rFonts w:eastAsia="Calibri"/>
          <w:sz w:val="28"/>
          <w:szCs w:val="28"/>
          <w:lang w:val="en-US"/>
        </w:rPr>
        <w:t xml:space="preserve">04.2021 </w:t>
      </w:r>
      <w:r>
        <w:rPr>
          <w:rFonts w:eastAsia="Calibri"/>
          <w:sz w:val="28"/>
          <w:szCs w:val="28"/>
          <w:lang w:val="ru-RU"/>
        </w:rPr>
        <w:t>р. № 154-</w:t>
      </w:r>
      <w:r>
        <w:rPr>
          <w:rFonts w:eastAsia="Calibri"/>
          <w:sz w:val="28"/>
          <w:szCs w:val="28"/>
        </w:rPr>
        <w:t>а</w:t>
      </w:r>
    </w:p>
    <w:p w:rsidR="001B0A24" w:rsidRDefault="001B0A24">
      <w:pPr>
        <w:keepNext/>
        <w:keepLines/>
        <w:spacing w:before="120" w:after="12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E003BA"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003BA" w:rsidRPr="00C568A3" w:rsidRDefault="00E003BA" w:rsidP="00E003BA">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E003BA" w:rsidRDefault="0017167B" w:rsidP="00E003BA">
            <w:pPr>
              <w:spacing w:before="150" w:after="150"/>
              <w:rPr>
                <w:sz w:val="28"/>
                <w:szCs w:val="28"/>
              </w:rPr>
            </w:pPr>
            <w:r w:rsidRPr="0017167B">
              <w:rPr>
                <w:sz w:val="28"/>
                <w:szCs w:val="28"/>
              </w:rPr>
              <w:t>Заступник начальника відділу контролю за виконанням ліцензійних умов департаменту атестації кадрів вищої кваліфікації Міністерства освіти і науки України, категорія Б3</w:t>
            </w:r>
          </w:p>
        </w:tc>
      </w:tr>
      <w:tr w:rsidR="00E003BA"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003BA" w:rsidRPr="00C568A3" w:rsidRDefault="00E003BA" w:rsidP="00E003BA">
            <w:pPr>
              <w:rPr>
                <w:color w:val="000000"/>
                <w:sz w:val="28"/>
                <w:szCs w:val="28"/>
              </w:rPr>
            </w:pPr>
            <w:r w:rsidRPr="00C568A3">
              <w:rPr>
                <w:color w:val="000000"/>
                <w:sz w:val="28"/>
                <w:szCs w:val="28"/>
              </w:rPr>
              <w:t xml:space="preserve">Посадові обов’язки </w:t>
            </w:r>
          </w:p>
        </w:tc>
        <w:tc>
          <w:tcPr>
            <w:tcW w:w="6255" w:type="dxa"/>
            <w:tcBorders>
              <w:top w:val="single" w:sz="4" w:space="0" w:color="000000"/>
              <w:left w:val="single" w:sz="4" w:space="0" w:color="000000"/>
              <w:bottom w:val="single" w:sz="4" w:space="0" w:color="000000"/>
              <w:right w:val="single" w:sz="4" w:space="0" w:color="000000"/>
            </w:tcBorders>
          </w:tcPr>
          <w:p w:rsidR="0017167B" w:rsidRPr="0017167B" w:rsidRDefault="0017167B" w:rsidP="0017167B">
            <w:pPr>
              <w:rPr>
                <w:sz w:val="28"/>
                <w:szCs w:val="28"/>
              </w:rPr>
            </w:pPr>
            <w:r w:rsidRPr="0017167B">
              <w:rPr>
                <w:sz w:val="28"/>
                <w:szCs w:val="28"/>
              </w:rPr>
              <w:t xml:space="preserve">Відповідно до основних завдань та обов’язків </w:t>
            </w:r>
            <w:r>
              <w:rPr>
                <w:sz w:val="28"/>
                <w:szCs w:val="28"/>
              </w:rPr>
              <w:t>з</w:t>
            </w:r>
            <w:r w:rsidRPr="0017167B">
              <w:rPr>
                <w:sz w:val="28"/>
                <w:szCs w:val="28"/>
              </w:rPr>
              <w:t>аступник начальника відділу контролю за виконанням ліцензійних умов департаменту атестації кадрів вищої кваліфікації:</w:t>
            </w:r>
          </w:p>
          <w:p w:rsidR="0017167B" w:rsidRPr="0017167B" w:rsidRDefault="0017167B" w:rsidP="0017167B">
            <w:pPr>
              <w:rPr>
                <w:sz w:val="28"/>
                <w:szCs w:val="28"/>
              </w:rPr>
            </w:pPr>
            <w:r w:rsidRPr="0017167B">
              <w:rPr>
                <w:sz w:val="28"/>
                <w:szCs w:val="28"/>
              </w:rPr>
              <w:t xml:space="preserve">- бере участь у планованих та позапланових перевірках додержання вимог ліцензійних умов провадження освітньої діяльності закладів освіти у сфері вищої освіти, післядипломної, фахової </w:t>
            </w:r>
            <w:proofErr w:type="spellStart"/>
            <w:r w:rsidRPr="0017167B">
              <w:rPr>
                <w:sz w:val="28"/>
                <w:szCs w:val="28"/>
              </w:rPr>
              <w:t>передвищої</w:t>
            </w:r>
            <w:proofErr w:type="spellEnd"/>
            <w:r w:rsidRPr="0017167B">
              <w:rPr>
                <w:sz w:val="28"/>
                <w:szCs w:val="28"/>
              </w:rPr>
              <w:t xml:space="preserve"> та професійної (професійно-технічної) з виїздом на місце впровадження освітньої діяльності;</w:t>
            </w:r>
          </w:p>
          <w:p w:rsidR="0017167B" w:rsidRPr="0017167B" w:rsidRDefault="0017167B" w:rsidP="0017167B">
            <w:pPr>
              <w:rPr>
                <w:sz w:val="28"/>
                <w:szCs w:val="28"/>
              </w:rPr>
            </w:pPr>
            <w:r w:rsidRPr="0017167B">
              <w:rPr>
                <w:sz w:val="28"/>
                <w:szCs w:val="28"/>
              </w:rPr>
              <w:t>- готує акти проведення планової/позапланової перевірки додержання ліцензіатом Ліцензійних умов провадження освітньої діяльності; акти про невиконання розпорядження про усунення порушень Ліцензійних умов провадження освітньої діяльності; акти про повторне порушення ліцензіатом Ліцензійних умов провадження освітньої діяльності; акти про виявлення недостовірних даних у документах, поданих ліцензіатом до органу ліцензування; акти про відмову ліцензіата в проведенні планової/позапланової перевірки тощо та відповідні проекти рішень;</w:t>
            </w:r>
          </w:p>
          <w:p w:rsidR="0017167B" w:rsidRPr="0017167B" w:rsidRDefault="0017167B" w:rsidP="0017167B">
            <w:pPr>
              <w:rPr>
                <w:sz w:val="28"/>
                <w:szCs w:val="28"/>
              </w:rPr>
            </w:pPr>
            <w:r w:rsidRPr="0017167B">
              <w:rPr>
                <w:sz w:val="28"/>
                <w:szCs w:val="28"/>
              </w:rPr>
              <w:t xml:space="preserve">- бере участь у проведенні виїзних ліцензійних експертиз у сферах фахової </w:t>
            </w:r>
            <w:proofErr w:type="spellStart"/>
            <w:r w:rsidRPr="0017167B">
              <w:rPr>
                <w:sz w:val="28"/>
                <w:szCs w:val="28"/>
              </w:rPr>
              <w:t>передвищої</w:t>
            </w:r>
            <w:proofErr w:type="spellEnd"/>
            <w:r w:rsidRPr="0017167B">
              <w:rPr>
                <w:sz w:val="28"/>
                <w:szCs w:val="28"/>
              </w:rPr>
              <w:t xml:space="preserve"> та вищої освіти;</w:t>
            </w:r>
          </w:p>
          <w:p w:rsidR="0017167B" w:rsidRPr="0017167B" w:rsidRDefault="0017167B" w:rsidP="0017167B">
            <w:pPr>
              <w:rPr>
                <w:sz w:val="28"/>
                <w:szCs w:val="28"/>
              </w:rPr>
            </w:pPr>
            <w:r w:rsidRPr="0017167B">
              <w:rPr>
                <w:sz w:val="28"/>
                <w:szCs w:val="28"/>
              </w:rPr>
              <w:t xml:space="preserve">- забезпечує внесення інформації щодо результатів проведення планових та </w:t>
            </w:r>
            <w:r w:rsidRPr="0017167B">
              <w:rPr>
                <w:sz w:val="28"/>
                <w:szCs w:val="28"/>
              </w:rPr>
              <w:lastRenderedPageBreak/>
              <w:t>позапланових заходів державного нагляду (контролю), а також Річних планів щодо здійснення планових заходів державного нагляду (контролю) до Інтегрованої автоматичної системи державного нагляду (контролю);</w:t>
            </w:r>
          </w:p>
          <w:p w:rsidR="0017167B" w:rsidRPr="0017167B" w:rsidRDefault="0017167B" w:rsidP="0017167B">
            <w:pPr>
              <w:rPr>
                <w:sz w:val="28"/>
                <w:szCs w:val="28"/>
              </w:rPr>
            </w:pPr>
            <w:r w:rsidRPr="0017167B">
              <w:rPr>
                <w:sz w:val="28"/>
                <w:szCs w:val="28"/>
              </w:rPr>
              <w:t xml:space="preserve">- бере участь у проведенні ліцензування провадження освітньої діяльності закладів освіти у сфері вищої освіти, післядипломної, фахової </w:t>
            </w:r>
            <w:proofErr w:type="spellStart"/>
            <w:r w:rsidRPr="0017167B">
              <w:rPr>
                <w:sz w:val="28"/>
                <w:szCs w:val="28"/>
              </w:rPr>
              <w:t>передвищої</w:t>
            </w:r>
            <w:proofErr w:type="spellEnd"/>
            <w:r w:rsidRPr="0017167B">
              <w:rPr>
                <w:sz w:val="28"/>
                <w:szCs w:val="28"/>
              </w:rPr>
              <w:t xml:space="preserve"> та професійної (професійно-технічної) освіти незалежно від форми власності та підпорядкування;</w:t>
            </w:r>
          </w:p>
          <w:p w:rsidR="00E003BA" w:rsidRDefault="0017167B" w:rsidP="0017167B">
            <w:pPr>
              <w:rPr>
                <w:sz w:val="28"/>
                <w:szCs w:val="28"/>
              </w:rPr>
            </w:pPr>
            <w:r w:rsidRPr="0017167B">
              <w:rPr>
                <w:sz w:val="28"/>
                <w:szCs w:val="28"/>
              </w:rPr>
              <w:t xml:space="preserve">- бере участь у розробці нормативних та </w:t>
            </w:r>
            <w:proofErr w:type="spellStart"/>
            <w:r w:rsidRPr="0017167B">
              <w:rPr>
                <w:sz w:val="28"/>
                <w:szCs w:val="28"/>
              </w:rPr>
              <w:t>методично</w:t>
            </w:r>
            <w:proofErr w:type="spellEnd"/>
            <w:r w:rsidRPr="0017167B">
              <w:rPr>
                <w:sz w:val="28"/>
                <w:szCs w:val="28"/>
              </w:rPr>
              <w:t>-інструктивних документів, критеріїв і вимог з питань нагляду (контролю) за виконанням вимог ліцензійних умов, ліцензування провадження освітньої діяльності, положень та інших нормативних документів, рекомендацій щодо якості освітньої діяльності закладів освіти</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17167B">
              <w:rPr>
                <w:sz w:val="28"/>
                <w:szCs w:val="28"/>
              </w:rPr>
              <w:t>12 100</w:t>
            </w:r>
            <w:r w:rsidRPr="007D77D9">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lastRenderedPageBreak/>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Pr="00C568A3"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B37370" w:rsidRPr="00C568A3" w:rsidRDefault="00B37370" w:rsidP="00B37370">
            <w:pPr>
              <w:widowControl w:val="0"/>
              <w:ind w:right="140"/>
              <w:jc w:val="both"/>
              <w:rPr>
                <w:sz w:val="28"/>
                <w:szCs w:val="28"/>
              </w:rPr>
            </w:pPr>
          </w:p>
          <w:p w:rsidR="00B37370" w:rsidRPr="00364FB7" w:rsidRDefault="007714BB" w:rsidP="00B37370">
            <w:pPr>
              <w:widowControl w:val="0"/>
              <w:ind w:right="140"/>
              <w:jc w:val="both"/>
              <w:rPr>
                <w:sz w:val="28"/>
                <w:szCs w:val="28"/>
              </w:rPr>
            </w:pPr>
            <w:r w:rsidRPr="00364FB7">
              <w:rPr>
                <w:sz w:val="28"/>
                <w:szCs w:val="28"/>
              </w:rPr>
              <w:t xml:space="preserve">Інформація приймається до 17:00 </w:t>
            </w:r>
          </w:p>
          <w:p w:rsidR="007714BB" w:rsidRPr="00C568A3" w:rsidRDefault="00364FB7" w:rsidP="001B0A24">
            <w:pPr>
              <w:widowControl w:val="0"/>
              <w:ind w:right="140"/>
              <w:jc w:val="both"/>
              <w:rPr>
                <w:sz w:val="28"/>
                <w:szCs w:val="28"/>
              </w:rPr>
            </w:pPr>
            <w:r w:rsidRPr="00364FB7">
              <w:rPr>
                <w:sz w:val="28"/>
                <w:szCs w:val="28"/>
              </w:rPr>
              <w:t>1</w:t>
            </w:r>
            <w:r w:rsidR="001B0A24">
              <w:rPr>
                <w:sz w:val="28"/>
                <w:szCs w:val="28"/>
              </w:rPr>
              <w:t>4</w:t>
            </w:r>
            <w:bookmarkStart w:id="0" w:name="_GoBack"/>
            <w:bookmarkEnd w:id="0"/>
            <w:r w:rsidRPr="00364FB7">
              <w:rPr>
                <w:sz w:val="28"/>
                <w:szCs w:val="28"/>
              </w:rPr>
              <w:t xml:space="preserve"> квітня </w:t>
            </w:r>
            <w:r w:rsidR="007714BB" w:rsidRPr="00364FB7">
              <w:rPr>
                <w:sz w:val="28"/>
                <w:szCs w:val="28"/>
              </w:rPr>
              <w:t>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D4394D"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D4394D" w:rsidRDefault="00D4394D" w:rsidP="00D4394D">
            <w:pPr>
              <w:pStyle w:val="aa"/>
              <w:spacing w:before="0" w:beforeAutospacing="0" w:after="0" w:afterAutospacing="0"/>
              <w:rPr>
                <w:sz w:val="28"/>
                <w:szCs w:val="28"/>
              </w:rPr>
            </w:pPr>
            <w:r>
              <w:rPr>
                <w:sz w:val="28"/>
                <w:szCs w:val="28"/>
              </w:rPr>
              <w:t>Дата і час початку проведення тестування кандидатів.</w:t>
            </w:r>
          </w:p>
          <w:p w:rsidR="00D4394D" w:rsidRDefault="00D4394D" w:rsidP="00D4394D">
            <w:pPr>
              <w:pStyle w:val="aa"/>
              <w:spacing w:before="0" w:beforeAutospacing="0" w:after="0" w:afterAutospacing="0"/>
              <w:rPr>
                <w:sz w:val="28"/>
                <w:szCs w:val="28"/>
              </w:rPr>
            </w:pPr>
          </w:p>
          <w:p w:rsidR="00D4394D" w:rsidRDefault="00D4394D" w:rsidP="00D4394D">
            <w:pPr>
              <w:pStyle w:val="aa"/>
              <w:spacing w:before="0" w:beforeAutospacing="0" w:after="0" w:afterAutospacing="0"/>
              <w:rPr>
                <w:sz w:val="28"/>
                <w:szCs w:val="28"/>
              </w:rPr>
            </w:pPr>
            <w:r>
              <w:rPr>
                <w:sz w:val="28"/>
                <w:szCs w:val="28"/>
              </w:rPr>
              <w:t>Місце або спосіб проведення тестування.</w:t>
            </w:r>
          </w:p>
          <w:p w:rsidR="00D4394D" w:rsidRDefault="00D4394D" w:rsidP="00D4394D">
            <w:pPr>
              <w:pStyle w:val="aa"/>
              <w:spacing w:before="0" w:beforeAutospacing="0" w:after="0" w:afterAutospacing="0"/>
              <w:rPr>
                <w:sz w:val="28"/>
                <w:szCs w:val="28"/>
              </w:rPr>
            </w:pPr>
          </w:p>
          <w:p w:rsidR="00D4394D" w:rsidRDefault="00D4394D" w:rsidP="00D4394D">
            <w:pPr>
              <w:pStyle w:val="aa"/>
              <w:spacing w:before="0" w:beforeAutospacing="0" w:after="0" w:afterAutospacing="0"/>
              <w:rPr>
                <w:sz w:val="28"/>
                <w:szCs w:val="28"/>
              </w:rPr>
            </w:pPr>
          </w:p>
          <w:p w:rsidR="00D4394D" w:rsidRDefault="00D4394D" w:rsidP="00D4394D">
            <w:pPr>
              <w:pStyle w:val="aa"/>
              <w:spacing w:before="0" w:beforeAutospacing="0" w:after="0" w:afterAutospacing="0"/>
              <w:rPr>
                <w:sz w:val="28"/>
                <w:szCs w:val="28"/>
              </w:rPr>
            </w:pPr>
            <w:r>
              <w:rPr>
                <w:sz w:val="28"/>
                <w:szCs w:val="28"/>
              </w:rPr>
              <w:t>Місце або спосіб проведення співбесіди (із зазначенням електронної платформи для комунікації дистанційно)</w:t>
            </w:r>
          </w:p>
          <w:p w:rsidR="00D4394D" w:rsidRDefault="00D4394D" w:rsidP="00D4394D">
            <w:pPr>
              <w:pStyle w:val="aa"/>
              <w:spacing w:before="0" w:beforeAutospacing="0" w:after="0" w:afterAutospacing="0"/>
              <w:rPr>
                <w:sz w:val="28"/>
                <w:szCs w:val="28"/>
              </w:rPr>
            </w:pPr>
          </w:p>
          <w:p w:rsidR="00D4394D" w:rsidRDefault="00D4394D" w:rsidP="00D4394D">
            <w:pPr>
              <w:pStyle w:val="aa"/>
              <w:spacing w:before="0" w:beforeAutospacing="0" w:after="0" w:afterAutospacing="0"/>
              <w:rPr>
                <w:sz w:val="28"/>
                <w:szCs w:val="28"/>
              </w:rPr>
            </w:pPr>
            <w:r>
              <w:rPr>
                <w:sz w:val="28"/>
                <w:szCs w:val="28"/>
              </w:rPr>
              <w:t xml:space="preserve">Місце або спосіб проведення співбесіди з </w:t>
            </w:r>
            <w:r>
              <w:rPr>
                <w:sz w:val="28"/>
                <w:szCs w:val="28"/>
              </w:rPr>
              <w:lastRenderedPageBreak/>
              <w:t>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D4394D" w:rsidRPr="00364FB7" w:rsidRDefault="003C46C7" w:rsidP="00D4394D">
            <w:pPr>
              <w:pStyle w:val="aa"/>
              <w:spacing w:before="0" w:beforeAutospacing="0" w:after="0" w:afterAutospacing="0"/>
              <w:jc w:val="both"/>
              <w:rPr>
                <w:sz w:val="28"/>
                <w:szCs w:val="28"/>
                <w:lang w:eastAsia="ru-RU"/>
              </w:rPr>
            </w:pPr>
            <w:r>
              <w:rPr>
                <w:sz w:val="28"/>
                <w:szCs w:val="28"/>
                <w:lang w:eastAsia="ru-RU"/>
              </w:rPr>
              <w:lastRenderedPageBreak/>
              <w:t>20</w:t>
            </w:r>
            <w:r w:rsidR="00364FB7" w:rsidRPr="00364FB7">
              <w:rPr>
                <w:sz w:val="28"/>
                <w:szCs w:val="28"/>
                <w:lang w:eastAsia="ru-RU"/>
              </w:rPr>
              <w:t xml:space="preserve"> </w:t>
            </w:r>
            <w:r w:rsidR="00D4394D" w:rsidRPr="00364FB7">
              <w:rPr>
                <w:sz w:val="28"/>
                <w:szCs w:val="28"/>
                <w:lang w:eastAsia="ru-RU"/>
              </w:rPr>
              <w:t>квітня  2021 року з 09 год. 00 хв.</w:t>
            </w:r>
          </w:p>
          <w:p w:rsidR="00D4394D" w:rsidRPr="00364FB7" w:rsidRDefault="00D4394D" w:rsidP="00D4394D">
            <w:pPr>
              <w:pStyle w:val="aa"/>
              <w:spacing w:before="0" w:beforeAutospacing="0" w:after="0" w:afterAutospacing="0"/>
              <w:jc w:val="both"/>
              <w:rPr>
                <w:sz w:val="28"/>
                <w:szCs w:val="28"/>
                <w:lang w:eastAsia="ru-RU"/>
              </w:rPr>
            </w:pPr>
          </w:p>
          <w:p w:rsidR="00D4394D" w:rsidRPr="00364FB7" w:rsidRDefault="00D4394D" w:rsidP="00D4394D">
            <w:pPr>
              <w:pStyle w:val="aa"/>
              <w:spacing w:before="0" w:beforeAutospacing="0" w:after="0" w:afterAutospacing="0"/>
              <w:jc w:val="both"/>
              <w:rPr>
                <w:sz w:val="28"/>
                <w:szCs w:val="28"/>
                <w:lang w:eastAsia="ru-RU"/>
              </w:rPr>
            </w:pPr>
          </w:p>
          <w:p w:rsidR="00D4394D" w:rsidRPr="00364FB7" w:rsidRDefault="00D4394D" w:rsidP="00D4394D">
            <w:pPr>
              <w:pStyle w:val="aa"/>
              <w:spacing w:before="0" w:beforeAutospacing="0" w:after="0" w:afterAutospacing="0"/>
              <w:jc w:val="both"/>
              <w:rPr>
                <w:sz w:val="28"/>
                <w:szCs w:val="28"/>
                <w:lang w:eastAsia="ru-RU"/>
              </w:rPr>
            </w:pPr>
            <w:r w:rsidRPr="00364FB7">
              <w:rPr>
                <w:sz w:val="28"/>
                <w:szCs w:val="28"/>
                <w:lang w:eastAsia="ru-RU"/>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rsidR="00D4394D" w:rsidRDefault="00D4394D" w:rsidP="00D4394D">
            <w:pPr>
              <w:pStyle w:val="aa"/>
              <w:spacing w:before="0" w:beforeAutospacing="0" w:after="0" w:afterAutospacing="0"/>
              <w:jc w:val="both"/>
              <w:rPr>
                <w:sz w:val="28"/>
                <w:szCs w:val="28"/>
                <w:lang w:eastAsia="ru-RU"/>
              </w:rPr>
            </w:pPr>
          </w:p>
          <w:p w:rsidR="00D4394D" w:rsidRDefault="00D4394D" w:rsidP="00D4394D">
            <w:pPr>
              <w:pStyle w:val="aa"/>
              <w:spacing w:before="0" w:beforeAutospacing="0" w:after="0" w:afterAutospacing="0"/>
              <w:jc w:val="both"/>
              <w:rPr>
                <w:sz w:val="28"/>
                <w:szCs w:val="28"/>
                <w:lang w:eastAsia="ru-RU"/>
              </w:rPr>
            </w:pPr>
          </w:p>
          <w:p w:rsidR="00D4394D" w:rsidRDefault="00D4394D" w:rsidP="00D4394D">
            <w:pPr>
              <w:pStyle w:val="aa"/>
              <w:spacing w:before="0" w:beforeAutospacing="0" w:after="0" w:afterAutospacing="0"/>
              <w:jc w:val="both"/>
              <w:rPr>
                <w:sz w:val="28"/>
                <w:szCs w:val="28"/>
                <w:lang w:eastAsia="ru-RU"/>
              </w:rPr>
            </w:pPr>
          </w:p>
          <w:p w:rsidR="00D4394D" w:rsidRDefault="00D4394D" w:rsidP="00D4394D">
            <w:pPr>
              <w:pStyle w:val="aa"/>
              <w:spacing w:before="0" w:beforeAutospacing="0" w:after="0" w:afterAutospacing="0"/>
              <w:jc w:val="both"/>
              <w:rPr>
                <w:sz w:val="28"/>
                <w:szCs w:val="28"/>
                <w:lang w:eastAsia="ru-RU"/>
              </w:rPr>
            </w:pPr>
          </w:p>
          <w:p w:rsidR="00D4394D" w:rsidRDefault="00D4394D" w:rsidP="00D4394D">
            <w:pPr>
              <w:pStyle w:val="aa"/>
              <w:spacing w:before="0" w:beforeAutospacing="0" w:after="0" w:afterAutospacing="0"/>
              <w:jc w:val="both"/>
              <w:rPr>
                <w:color w:val="FF0000"/>
                <w:sz w:val="28"/>
                <w:szCs w:val="28"/>
                <w:lang w:eastAsia="ru-RU"/>
              </w:rPr>
            </w:pPr>
          </w:p>
          <w:p w:rsidR="00D4394D" w:rsidRDefault="00D4394D" w:rsidP="003C46C7">
            <w:pPr>
              <w:rPr>
                <w:sz w:val="28"/>
                <w:szCs w:val="28"/>
                <w:lang w:eastAsia="ru-RU"/>
              </w:rPr>
            </w:pPr>
            <w:r w:rsidRPr="003C46C7">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3C46C7">
              <w:rPr>
                <w:color w:val="000000" w:themeColor="text1"/>
                <w:sz w:val="28"/>
                <w:szCs w:val="28"/>
              </w:rPr>
              <w:t>відеоконференції</w:t>
            </w:r>
            <w:proofErr w:type="spellEnd"/>
            <w:r w:rsidRPr="003C46C7">
              <w:rPr>
                <w:color w:val="000000" w:themeColor="text1"/>
                <w:sz w:val="28"/>
                <w:szCs w:val="28"/>
              </w:rPr>
              <w:t xml:space="preserve"> (п</w:t>
            </w:r>
            <w:r w:rsidRPr="003C46C7">
              <w:rPr>
                <w:color w:val="000000" w:themeColor="text1"/>
                <w:sz w:val="28"/>
                <w:szCs w:val="28"/>
                <w:lang w:eastAsia="ru-RU"/>
              </w:rPr>
              <w:t xml:space="preserve">латформа </w:t>
            </w:r>
            <w:r w:rsidR="003C46C7" w:rsidRPr="003C46C7">
              <w:rPr>
                <w:color w:val="000000" w:themeColor="text1"/>
                <w:sz w:val="28"/>
                <w:szCs w:val="28"/>
                <w:lang w:val="en-US" w:eastAsia="ru-RU"/>
              </w:rPr>
              <w:t>Microsoft Teams</w:t>
            </w:r>
            <w:r w:rsidRPr="003C46C7">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17167B" w:rsidRDefault="0017167B" w:rsidP="0017167B">
            <w:pPr>
              <w:rPr>
                <w:sz w:val="28"/>
                <w:szCs w:val="28"/>
              </w:rPr>
            </w:pPr>
            <w:r w:rsidRPr="0017167B">
              <w:rPr>
                <w:sz w:val="28"/>
                <w:szCs w:val="28"/>
              </w:rPr>
              <w:t>вища освіта за освітнім ступенем не нижче магістра</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166344" w:rsidRDefault="00166344" w:rsidP="00166344">
            <w:pPr>
              <w:rPr>
                <w:sz w:val="28"/>
                <w:szCs w:val="28"/>
              </w:rPr>
            </w:pPr>
            <w:r w:rsidRPr="00166344">
              <w:rPr>
                <w:sz w:val="28"/>
                <w:szCs w:val="28"/>
              </w:rPr>
              <w:t xml:space="preserve">- </w:t>
            </w:r>
            <w:r w:rsidR="0017167B" w:rsidRPr="00166344">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166344" w:rsidRPr="00166344" w:rsidRDefault="00166344" w:rsidP="00166344">
            <w:pPr>
              <w:rPr>
                <w:sz w:val="28"/>
                <w:szCs w:val="28"/>
              </w:rPr>
            </w:pPr>
            <w:r w:rsidRPr="00166344">
              <w:rPr>
                <w:sz w:val="28"/>
                <w:szCs w:val="28"/>
              </w:rPr>
              <w:t>- досвід роботи у сфері здійснення заходів державного нагляду (контролю) або ліцензування освітньої діяльності</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вільне володіння державною мовою</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Вимоги до компетентності</w:t>
            </w:r>
            <w:r w:rsidRPr="00C568A3">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jc w:val="center"/>
              <w:rPr>
                <w:color w:val="000000"/>
                <w:sz w:val="28"/>
                <w:szCs w:val="28"/>
              </w:rPr>
            </w:pPr>
            <w:r w:rsidRPr="00C568A3">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364FB7" w:rsidRDefault="0017167B" w:rsidP="0017167B">
            <w:pPr>
              <w:rPr>
                <w:sz w:val="28"/>
                <w:szCs w:val="28"/>
              </w:rPr>
            </w:pPr>
            <w:r w:rsidRPr="00364FB7">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17167B" w:rsidRPr="00364FB7" w:rsidRDefault="0017167B" w:rsidP="0017167B">
            <w:pPr>
              <w:rPr>
                <w:sz w:val="28"/>
                <w:szCs w:val="28"/>
              </w:rPr>
            </w:pPr>
            <w:r w:rsidRPr="00364FB7">
              <w:rPr>
                <w:sz w:val="28"/>
                <w:szCs w:val="28"/>
              </w:rPr>
              <w:t>- чітке бачення цілі;</w:t>
            </w:r>
          </w:p>
          <w:p w:rsidR="0017167B" w:rsidRPr="00364FB7" w:rsidRDefault="0017167B" w:rsidP="0017167B">
            <w:pPr>
              <w:rPr>
                <w:sz w:val="28"/>
                <w:szCs w:val="28"/>
              </w:rPr>
            </w:pPr>
            <w:r w:rsidRPr="00364FB7">
              <w:rPr>
                <w:sz w:val="28"/>
                <w:szCs w:val="28"/>
              </w:rPr>
              <w:t>- ефективне управління ресурсами;</w:t>
            </w:r>
          </w:p>
          <w:p w:rsidR="0017167B" w:rsidRPr="00364FB7" w:rsidRDefault="0017167B" w:rsidP="0017167B">
            <w:pPr>
              <w:rPr>
                <w:sz w:val="28"/>
                <w:szCs w:val="28"/>
              </w:rPr>
            </w:pPr>
            <w:r w:rsidRPr="00364FB7">
              <w:rPr>
                <w:sz w:val="28"/>
                <w:szCs w:val="28"/>
              </w:rPr>
              <w:t>- чітке планування реалізації;</w:t>
            </w:r>
          </w:p>
          <w:p w:rsidR="0017167B" w:rsidRPr="00364FB7" w:rsidRDefault="0017167B" w:rsidP="0017167B">
            <w:pPr>
              <w:rPr>
                <w:sz w:val="28"/>
                <w:szCs w:val="28"/>
              </w:rPr>
            </w:pPr>
            <w:r w:rsidRPr="00364FB7">
              <w:rPr>
                <w:sz w:val="28"/>
                <w:szCs w:val="28"/>
              </w:rPr>
              <w:t>- ефективне формування та управління процесами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364FB7" w:rsidRDefault="0017167B" w:rsidP="0017167B">
            <w:pPr>
              <w:rPr>
                <w:sz w:val="28"/>
                <w:szCs w:val="28"/>
              </w:rPr>
            </w:pPr>
            <w:r w:rsidRPr="00364FB7">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364FB7" w:rsidRDefault="00364FB7" w:rsidP="0017167B">
            <w:pPr>
              <w:rPr>
                <w:sz w:val="28"/>
                <w:szCs w:val="28"/>
              </w:rPr>
            </w:pPr>
            <w:r w:rsidRPr="00364FB7">
              <w:rPr>
                <w:sz w:val="28"/>
                <w:szCs w:val="28"/>
              </w:rPr>
              <w:t xml:space="preserve">- </w:t>
            </w:r>
            <w:r w:rsidR="0017167B" w:rsidRPr="00364FB7">
              <w:rPr>
                <w:sz w:val="28"/>
                <w:szCs w:val="28"/>
              </w:rPr>
              <w:t>здатність до чіткого бачення результатів діяльності;</w:t>
            </w:r>
          </w:p>
          <w:p w:rsidR="0017167B" w:rsidRPr="00364FB7" w:rsidRDefault="00364FB7" w:rsidP="0017167B">
            <w:pPr>
              <w:rPr>
                <w:sz w:val="28"/>
                <w:szCs w:val="28"/>
              </w:rPr>
            </w:pPr>
            <w:r w:rsidRPr="00364FB7">
              <w:rPr>
                <w:sz w:val="28"/>
                <w:szCs w:val="28"/>
              </w:rPr>
              <w:t xml:space="preserve">- </w:t>
            </w:r>
            <w:r w:rsidR="0017167B" w:rsidRPr="00364FB7">
              <w:rPr>
                <w:sz w:val="28"/>
                <w:szCs w:val="28"/>
              </w:rPr>
              <w:t>вміння фокусувати зусилля для досягнення результату діяльності;</w:t>
            </w:r>
          </w:p>
          <w:p w:rsidR="0017167B" w:rsidRPr="00364FB7" w:rsidRDefault="00364FB7" w:rsidP="0017167B">
            <w:pPr>
              <w:rPr>
                <w:sz w:val="28"/>
                <w:szCs w:val="28"/>
              </w:rPr>
            </w:pPr>
            <w:r w:rsidRPr="00364FB7">
              <w:rPr>
                <w:sz w:val="28"/>
                <w:szCs w:val="28"/>
              </w:rPr>
              <w:t xml:space="preserve">- </w:t>
            </w:r>
            <w:r w:rsidR="0017167B" w:rsidRPr="00364FB7">
              <w:rPr>
                <w:sz w:val="28"/>
                <w:szCs w:val="28"/>
              </w:rPr>
              <w:t>вміння запобігат</w:t>
            </w:r>
            <w:r w:rsidRPr="00364FB7">
              <w:rPr>
                <w:sz w:val="28"/>
                <w:szCs w:val="28"/>
              </w:rPr>
              <w:t>и та ефективно долати перешкоди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364FB7" w:rsidRDefault="0017167B" w:rsidP="0017167B">
            <w:pPr>
              <w:rPr>
                <w:sz w:val="28"/>
                <w:szCs w:val="28"/>
              </w:rPr>
            </w:pPr>
            <w:r w:rsidRPr="00364FB7">
              <w:rPr>
                <w:sz w:val="28"/>
                <w:szCs w:val="28"/>
              </w:rPr>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17167B" w:rsidRPr="00364FB7" w:rsidRDefault="0017167B" w:rsidP="0017167B">
            <w:pPr>
              <w:rPr>
                <w:sz w:val="28"/>
                <w:szCs w:val="28"/>
              </w:rPr>
            </w:pPr>
            <w:r w:rsidRPr="00364FB7">
              <w:rPr>
                <w:sz w:val="28"/>
                <w:szCs w:val="28"/>
              </w:rPr>
              <w:t>- вміння визначати заінтересовані і впливові сторони  та розбудовувати партнерські відносини;</w:t>
            </w:r>
          </w:p>
          <w:p w:rsidR="0017167B" w:rsidRPr="00364FB7" w:rsidRDefault="0017167B" w:rsidP="0017167B">
            <w:pPr>
              <w:rPr>
                <w:sz w:val="28"/>
                <w:szCs w:val="28"/>
              </w:rPr>
            </w:pPr>
            <w:r w:rsidRPr="00364FB7">
              <w:rPr>
                <w:sz w:val="28"/>
                <w:szCs w:val="28"/>
              </w:rPr>
              <w:t>- зд</w:t>
            </w:r>
            <w:r w:rsidR="00364FB7" w:rsidRPr="00364FB7">
              <w:rPr>
                <w:sz w:val="28"/>
                <w:szCs w:val="28"/>
              </w:rPr>
              <w:t xml:space="preserve">атність ефективно взаємодіяти - </w:t>
            </w:r>
            <w:r w:rsidRPr="00364FB7">
              <w:rPr>
                <w:sz w:val="28"/>
                <w:szCs w:val="28"/>
              </w:rPr>
              <w:t>дослухатися, сприймати та викладати думку;</w:t>
            </w:r>
          </w:p>
          <w:p w:rsidR="0017167B" w:rsidRPr="00364FB7" w:rsidRDefault="0017167B" w:rsidP="0017167B">
            <w:pPr>
              <w:rPr>
                <w:sz w:val="28"/>
                <w:szCs w:val="28"/>
              </w:rPr>
            </w:pPr>
            <w:r w:rsidRPr="00364FB7">
              <w:rPr>
                <w:sz w:val="28"/>
                <w:szCs w:val="28"/>
              </w:rPr>
              <w:lastRenderedPageBreak/>
              <w:t>- вміння публічно витупати перед аудиторією;</w:t>
            </w:r>
          </w:p>
          <w:p w:rsidR="0017167B" w:rsidRPr="00364FB7" w:rsidRDefault="0017167B" w:rsidP="0017167B">
            <w:pPr>
              <w:rPr>
                <w:sz w:val="28"/>
                <w:szCs w:val="28"/>
                <w:lang w:val="ru-RU"/>
              </w:rPr>
            </w:pPr>
            <w:r w:rsidRPr="00364FB7">
              <w:rPr>
                <w:sz w:val="28"/>
                <w:szCs w:val="28"/>
              </w:rPr>
              <w:t>- здатність переконувати інших за допомогою аргументів та послідовної комунікації</w:t>
            </w:r>
          </w:p>
          <w:p w:rsidR="0017167B" w:rsidRPr="00364FB7" w:rsidRDefault="0017167B" w:rsidP="0017167B">
            <w:pPr>
              <w:rPr>
                <w:sz w:val="28"/>
                <w:szCs w:val="28"/>
              </w:rPr>
            </w:pPr>
          </w:p>
        </w:tc>
      </w:tr>
      <w:tr w:rsidR="00C568A3"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Pr>
                <w:sz w:val="28"/>
                <w:szCs w:val="28"/>
              </w:rPr>
              <w:lastRenderedPageBreak/>
              <w:tab/>
            </w:r>
            <w:r w:rsidRPr="00C568A3">
              <w:rPr>
                <w:color w:val="000000"/>
                <w:sz w:val="28"/>
                <w:szCs w:val="28"/>
              </w:rPr>
              <w:t>Професійні знання</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jc w:val="center"/>
              <w:rPr>
                <w:color w:val="000000"/>
                <w:sz w:val="28"/>
                <w:szCs w:val="28"/>
              </w:rPr>
            </w:pPr>
            <w:r w:rsidRPr="00C568A3">
              <w:rPr>
                <w:color w:val="000000"/>
                <w:sz w:val="28"/>
                <w:szCs w:val="28"/>
              </w:rPr>
              <w:t>Компоненти вимоги</w:t>
            </w:r>
          </w:p>
        </w:tc>
      </w:tr>
      <w:tr w:rsidR="00C568A3" w:rsidRPr="00C568A3" w:rsidTr="00CD2818">
        <w:tc>
          <w:tcPr>
            <w:tcW w:w="3570" w:type="dxa"/>
            <w:tcBorders>
              <w:top w:val="single" w:sz="4" w:space="0" w:color="000000"/>
              <w:left w:val="single" w:sz="4" w:space="0" w:color="000000"/>
              <w:bottom w:val="single" w:sz="4" w:space="0" w:color="000000"/>
              <w:right w:val="single" w:sz="4" w:space="0" w:color="000000"/>
            </w:tcBorders>
          </w:tcPr>
          <w:p w:rsidR="00C568A3" w:rsidRPr="00C568A3" w:rsidRDefault="00C568A3" w:rsidP="00CD2818">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знання:</w:t>
            </w:r>
            <w:r w:rsidRPr="000301AA">
              <w:rPr>
                <w:sz w:val="28"/>
                <w:szCs w:val="28"/>
              </w:rPr>
              <w:br/>
              <w:t>-</w:t>
            </w:r>
            <w:r w:rsidRPr="000301AA">
              <w:rPr>
                <w:sz w:val="28"/>
                <w:szCs w:val="28"/>
                <w:lang w:val="ru-RU"/>
              </w:rPr>
              <w:t xml:space="preserve"> </w:t>
            </w:r>
            <w:r w:rsidRPr="000301AA">
              <w:rPr>
                <w:sz w:val="28"/>
                <w:szCs w:val="28"/>
              </w:rPr>
              <w:t>Конституції України;</w:t>
            </w:r>
          </w:p>
          <w:p w:rsid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 Закону України “Про державну службу”;</w:t>
            </w:r>
          </w:p>
          <w:p w:rsidR="00C568A3" w:rsidRPr="000301AA" w:rsidRDefault="000301AA" w:rsidP="00CD2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lang w:val="ru-RU"/>
              </w:rPr>
              <w:t xml:space="preserve">- </w:t>
            </w: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364FB7" w:rsidRPr="00C568A3" w:rsidTr="00CD2818">
        <w:tc>
          <w:tcPr>
            <w:tcW w:w="3570" w:type="dxa"/>
          </w:tcPr>
          <w:p w:rsidR="00364FB7" w:rsidRPr="00406B94" w:rsidRDefault="00364FB7" w:rsidP="00364FB7">
            <w:pPr>
              <w:spacing w:before="150" w:after="150"/>
              <w:ind w:left="149" w:right="141"/>
              <w:rPr>
                <w:color w:val="000000"/>
                <w:sz w:val="28"/>
                <w:szCs w:val="28"/>
              </w:rPr>
            </w:pPr>
            <w:r w:rsidRPr="00406B94">
              <w:rPr>
                <w:color w:val="000000"/>
                <w:sz w:val="28"/>
                <w:szCs w:val="28"/>
              </w:rPr>
              <w:t xml:space="preserve">Знання, необхідні для виконання посадових обов’язків  </w:t>
            </w:r>
          </w:p>
        </w:tc>
        <w:tc>
          <w:tcPr>
            <w:tcW w:w="6255" w:type="dxa"/>
          </w:tcPr>
          <w:p w:rsidR="00364FB7" w:rsidRPr="00406B94" w:rsidRDefault="00364FB7" w:rsidP="00364FB7">
            <w:pPr>
              <w:shd w:val="clear" w:color="auto" w:fill="FFFFFF"/>
              <w:ind w:left="135" w:right="132"/>
              <w:jc w:val="both"/>
              <w:rPr>
                <w:color w:val="000000"/>
                <w:sz w:val="28"/>
                <w:szCs w:val="28"/>
                <w:lang w:eastAsia="ru-RU"/>
              </w:rPr>
            </w:pPr>
            <w:r w:rsidRPr="00406B94">
              <w:rPr>
                <w:color w:val="000000"/>
                <w:sz w:val="28"/>
                <w:szCs w:val="28"/>
                <w:lang w:eastAsia="ru-RU"/>
              </w:rPr>
              <w:t>- знання законодавства України у сфері ліцензування освітньої діяльності та у сфері освіти;</w:t>
            </w:r>
          </w:p>
          <w:p w:rsidR="00364FB7" w:rsidRPr="00406B94" w:rsidRDefault="00364FB7" w:rsidP="00364FB7">
            <w:pPr>
              <w:shd w:val="clear" w:color="auto" w:fill="FFFFFF"/>
              <w:ind w:left="135" w:right="132"/>
              <w:jc w:val="both"/>
              <w:rPr>
                <w:color w:val="000000"/>
                <w:sz w:val="28"/>
                <w:szCs w:val="28"/>
              </w:rPr>
            </w:pPr>
            <w:r w:rsidRPr="00406B94">
              <w:rPr>
                <w:color w:val="000000"/>
                <w:sz w:val="28"/>
                <w:szCs w:val="28"/>
                <w:lang w:eastAsia="ru-RU"/>
              </w:rPr>
              <w:t xml:space="preserve">- наявність досвіду у здійсненні державного нагляду (контролю) </w:t>
            </w:r>
            <w:r w:rsidRPr="00406B94">
              <w:rPr>
                <w:color w:val="000000"/>
                <w:sz w:val="28"/>
                <w:szCs w:val="28"/>
              </w:rPr>
              <w:t xml:space="preserve">за дотриманням закладами освіти ліцензійних умов провадження освітньої діяльності у сферах вищої, післядипломної, фахової </w:t>
            </w:r>
            <w:proofErr w:type="spellStart"/>
            <w:r w:rsidRPr="00406B94">
              <w:rPr>
                <w:color w:val="000000"/>
                <w:sz w:val="28"/>
                <w:szCs w:val="28"/>
              </w:rPr>
              <w:t>передвищої</w:t>
            </w:r>
            <w:proofErr w:type="spellEnd"/>
            <w:r w:rsidRPr="00406B94">
              <w:rPr>
                <w:color w:val="000000"/>
                <w:sz w:val="28"/>
                <w:szCs w:val="28"/>
              </w:rPr>
              <w:t xml:space="preserve"> та професійної (професійно-технічної) освіти;</w:t>
            </w:r>
          </w:p>
          <w:p w:rsidR="00364FB7" w:rsidRPr="00406B94" w:rsidRDefault="00364FB7" w:rsidP="00364FB7">
            <w:pPr>
              <w:shd w:val="clear" w:color="auto" w:fill="FFFFFF"/>
              <w:ind w:left="135" w:right="132"/>
              <w:jc w:val="both"/>
              <w:rPr>
                <w:color w:val="000000"/>
                <w:sz w:val="28"/>
                <w:szCs w:val="28"/>
                <w:lang w:eastAsia="ru-RU"/>
              </w:rPr>
            </w:pPr>
            <w:r w:rsidRPr="00406B94">
              <w:rPr>
                <w:color w:val="000000"/>
                <w:sz w:val="28"/>
                <w:szCs w:val="28"/>
              </w:rPr>
              <w:t xml:space="preserve">- знання та практичні навички </w:t>
            </w:r>
            <w:r w:rsidRPr="00406B94">
              <w:rPr>
                <w:color w:val="000000"/>
                <w:sz w:val="28"/>
                <w:szCs w:val="28"/>
                <w:lang w:eastAsia="ru-RU"/>
              </w:rPr>
              <w:t>з підготовки аналітичних, інформаційних, звітних матеріалів у сфері ліцензування освітньої діяльності;</w:t>
            </w:r>
          </w:p>
          <w:p w:rsidR="00364FB7" w:rsidRPr="00406B94" w:rsidRDefault="00364FB7" w:rsidP="00364FB7">
            <w:pPr>
              <w:ind w:left="142" w:right="143"/>
              <w:jc w:val="both"/>
              <w:rPr>
                <w:color w:val="000000"/>
                <w:sz w:val="28"/>
                <w:szCs w:val="28"/>
              </w:rPr>
            </w:pPr>
            <w:r w:rsidRPr="00406B94">
              <w:rPr>
                <w:color w:val="000000"/>
                <w:sz w:val="28"/>
                <w:szCs w:val="28"/>
              </w:rPr>
              <w:t xml:space="preserve">- досвідчений користувач ПК (Microsoft Office, </w:t>
            </w:r>
            <w:proofErr w:type="spellStart"/>
            <w:r w:rsidRPr="00406B94">
              <w:rPr>
                <w:color w:val="000000"/>
                <w:sz w:val="28"/>
                <w:szCs w:val="28"/>
              </w:rPr>
              <w:t>Internet</w:t>
            </w:r>
            <w:proofErr w:type="spellEnd"/>
            <w:r w:rsidRPr="00406B94">
              <w:rPr>
                <w:color w:val="000000"/>
                <w:sz w:val="28"/>
                <w:szCs w:val="28"/>
              </w:rPr>
              <w:t>), вміння користуватися системою електронного документообігу, базами даних, відкритими реєстрами даних.</w:t>
            </w:r>
          </w:p>
        </w:tc>
      </w:tr>
    </w:tbl>
    <w:p w:rsidR="00E943D4" w:rsidRPr="00C568A3" w:rsidRDefault="00E943D4" w:rsidP="00C568A3">
      <w:pPr>
        <w:tabs>
          <w:tab w:val="left" w:pos="2040"/>
        </w:tabs>
        <w:rPr>
          <w:sz w:val="28"/>
          <w:szCs w:val="28"/>
        </w:rPr>
      </w:pPr>
    </w:p>
    <w:p w:rsidR="00E943D4" w:rsidRPr="00C568A3" w:rsidRDefault="00E943D4">
      <w:pPr>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Bahnschrift Light"/>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6DB02FD"/>
    <w:multiLevelType w:val="hybridMultilevel"/>
    <w:tmpl w:val="0AA80DD4"/>
    <w:lvl w:ilvl="0" w:tplc="7B7834E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82E89"/>
    <w:rsid w:val="000E64BD"/>
    <w:rsid w:val="00102E63"/>
    <w:rsid w:val="00166344"/>
    <w:rsid w:val="0017167B"/>
    <w:rsid w:val="001B0A24"/>
    <w:rsid w:val="001B2B74"/>
    <w:rsid w:val="002F6380"/>
    <w:rsid w:val="00364FB7"/>
    <w:rsid w:val="003C46C7"/>
    <w:rsid w:val="005C7EBF"/>
    <w:rsid w:val="006454F7"/>
    <w:rsid w:val="006D2EDC"/>
    <w:rsid w:val="007714BB"/>
    <w:rsid w:val="0079285C"/>
    <w:rsid w:val="007A6B69"/>
    <w:rsid w:val="007D77D9"/>
    <w:rsid w:val="00823101"/>
    <w:rsid w:val="00B03FB2"/>
    <w:rsid w:val="00B25104"/>
    <w:rsid w:val="00B37370"/>
    <w:rsid w:val="00C32C4F"/>
    <w:rsid w:val="00C568A3"/>
    <w:rsid w:val="00D4394D"/>
    <w:rsid w:val="00E003BA"/>
    <w:rsid w:val="00E943D4"/>
    <w:rsid w:val="00EE0B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8058"/>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semiHidden/>
    <w:locked/>
    <w:rsid w:val="00D4394D"/>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semiHidden/>
    <w:unhideWhenUsed/>
    <w:qFormat/>
    <w:rsid w:val="00D4394D"/>
    <w:pPr>
      <w:spacing w:before="100" w:beforeAutospacing="1" w:after="100" w:afterAutospacing="1"/>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Pages>
  <Words>4938</Words>
  <Characters>2815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Ращенко Анастасія Юріївна</cp:lastModifiedBy>
  <cp:revision>33</cp:revision>
  <dcterms:created xsi:type="dcterms:W3CDTF">2020-02-10T16:33:00Z</dcterms:created>
  <dcterms:modified xsi:type="dcterms:W3CDTF">2021-04-07T05:25:00Z</dcterms:modified>
</cp:coreProperties>
</file>