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ind w:left="4950" w:firstLine="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ЗАТВЕРДЖЕНО </w:t>
      </w:r>
    </w:p>
    <w:p w:rsidR="00000000" w:rsidDel="00000000" w:rsidP="00000000" w:rsidRDefault="00000000" w:rsidRPr="00000000" w14:paraId="00000002">
      <w:pPr>
        <w:spacing w:after="0" w:line="240" w:lineRule="auto"/>
        <w:ind w:left="495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постановою Кабінету Міністрів України від                  2026 р. №</w:t>
      </w:r>
      <w:r w:rsidDel="00000000" w:rsidR="00000000" w:rsidRPr="00000000">
        <w:rPr>
          <w:rtl w:val="0"/>
        </w:rPr>
      </w:r>
    </w:p>
    <w:p w:rsidR="00000000" w:rsidDel="00000000" w:rsidP="00000000" w:rsidRDefault="00000000" w:rsidRPr="00000000" w14:paraId="00000003">
      <w:pPr>
        <w:spacing w:after="0" w:line="24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4">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ФОРМУЛА</w:t>
      </w:r>
    </w:p>
    <w:p w:rsidR="00000000" w:rsidDel="00000000" w:rsidP="00000000" w:rsidRDefault="00000000" w:rsidRPr="00000000" w14:paraId="00000005">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розподілу видатків місцевих бюджетів для здобуття професійної освіти, професійних кваліфікацій між закладами професійної освіти</w:t>
      </w:r>
    </w:p>
    <w:p w:rsidR="00000000" w:rsidDel="00000000" w:rsidP="00000000" w:rsidRDefault="00000000" w:rsidRPr="00000000" w14:paraId="00000006">
      <w:pPr>
        <w:spacing w:after="0" w:line="240" w:lineRule="auto"/>
        <w:ind w:firstLine="720"/>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spacing w:after="0" w:line="240" w:lineRule="auto"/>
        <w:ind w:firstLine="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І. Загальні положення</w:t>
      </w:r>
      <w:r w:rsidDel="00000000" w:rsidR="00000000" w:rsidRPr="00000000">
        <w:rPr>
          <w:rtl w:val="0"/>
        </w:rPr>
      </w:r>
    </w:p>
    <w:p w:rsidR="00000000" w:rsidDel="00000000" w:rsidP="00000000" w:rsidRDefault="00000000" w:rsidRPr="00000000" w14:paraId="00000008">
      <w:pPr>
        <w:numPr>
          <w:ilvl w:val="0"/>
          <w:numId w:val="2"/>
        </w:numPr>
        <w:spacing w:after="240" w:before="240" w:line="240" w:lineRule="auto"/>
        <w:ind w:left="0"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Ця Формула розподілу видатків місцевих бюджетів для здобуття професійної освіти, професійних кваліфікацій між закладами професійної освіти (далі – Формула) розроблена відповідно до статті 62 Закону України «Про професійну освіту». </w:t>
      </w:r>
    </w:p>
    <w:p w:rsidR="00000000" w:rsidDel="00000000" w:rsidP="00000000" w:rsidRDefault="00000000" w:rsidRPr="00000000" w14:paraId="00000009">
      <w:pPr>
        <w:numPr>
          <w:ilvl w:val="0"/>
          <w:numId w:val="2"/>
        </w:numPr>
        <w:spacing w:after="240" w:before="240" w:line="240" w:lineRule="auto"/>
        <w:ind w:left="0"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Відповідно до цієї Формули здійснюється розподіл видатків загального фонду місцевих бюджетів між закладами професійної освіти державної та комунальної форми власності (далі – ЗПО), які отримують фінансування за рахунок коштів місцевих бюджетів для забезпечення здобуття професійної освіти та/або професійних кваліфікацій. </w:t>
      </w:r>
    </w:p>
    <w:p w:rsidR="00000000" w:rsidDel="00000000" w:rsidP="00000000" w:rsidRDefault="00000000" w:rsidRPr="00000000" w14:paraId="0000000A">
      <w:pPr>
        <w:numPr>
          <w:ilvl w:val="0"/>
          <w:numId w:val="2"/>
        </w:numPr>
        <w:spacing w:after="240" w:before="240" w:line="240" w:lineRule="auto"/>
        <w:ind w:left="0" w:firstLine="708"/>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Ця формула не поширюється на розподіл видатків на фінансування здобуття професійної освіти у закладах професійної освіти із специфічними умовами навчання, військових закладах професійної освіти, та закладах професійної освіти при установах виконання покарань, </w:t>
      </w:r>
      <w:r w:rsidDel="00000000" w:rsidR="00000000" w:rsidRPr="00000000">
        <w:rPr>
          <w:rFonts w:ascii="Times New Roman" w:cs="Times New Roman" w:eastAsia="Times New Roman" w:hAnsi="Times New Roman"/>
          <w:sz w:val="28"/>
          <w:szCs w:val="28"/>
          <w:rtl w:val="0"/>
        </w:rPr>
        <w:t xml:space="preserve">а також у разі фінансування освітніх послуг для здобуття професійної освіти, професійних кваліфікацій шляхом закупівлі освітніх послуг на підставі договору, укладеного між засновником або іншим органом державної влади чи органом місцевого самоврядування та закладом професійної освіти, що здійснюється відповідно до методики і в порядку, затверджених Кабінетом Міністрів України. </w:t>
      </w:r>
    </w:p>
    <w:p w:rsidR="00000000" w:rsidDel="00000000" w:rsidP="00000000" w:rsidRDefault="00000000" w:rsidRPr="00000000" w14:paraId="0000000B">
      <w:pPr>
        <w:numPr>
          <w:ilvl w:val="0"/>
          <w:numId w:val="2"/>
        </w:numPr>
        <w:spacing w:after="0" w:line="240"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Розподіл видатків місцевих бюджетів між ЗПО здійснюється на основі цієї Формули з урахуванням, зокрема: </w:t>
      </w:r>
    </w:p>
    <w:p w:rsidR="00000000" w:rsidDel="00000000" w:rsidP="00000000" w:rsidRDefault="00000000" w:rsidRPr="00000000" w14:paraId="0000000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0" w:firstLine="708.6614173228347"/>
        <w:jc w:val="both"/>
        <w:rPr>
          <w:sz w:val="28"/>
          <w:szCs w:val="28"/>
        </w:rPr>
      </w:pPr>
      <w:r w:rsidDel="00000000" w:rsidR="00000000" w:rsidRPr="00000000">
        <w:rPr>
          <w:rFonts w:ascii="Times New Roman" w:cs="Times New Roman" w:eastAsia="Times New Roman" w:hAnsi="Times New Roman"/>
          <w:sz w:val="28"/>
          <w:szCs w:val="28"/>
          <w:rtl w:val="0"/>
        </w:rPr>
        <w:t xml:space="preserve">базового обсягу фінансування; </w:t>
      </w:r>
    </w:p>
    <w:p w:rsidR="00000000" w:rsidDel="00000000" w:rsidP="00000000" w:rsidRDefault="00000000" w:rsidRPr="00000000" w14:paraId="0000000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0" w:firstLine="708.6614173228347"/>
        <w:jc w:val="both"/>
        <w:rPr>
          <w:sz w:val="28"/>
          <w:szCs w:val="28"/>
        </w:rPr>
      </w:pPr>
      <w:r w:rsidDel="00000000" w:rsidR="00000000" w:rsidRPr="00000000">
        <w:rPr>
          <w:rFonts w:ascii="Times New Roman" w:cs="Times New Roman" w:eastAsia="Times New Roman" w:hAnsi="Times New Roman"/>
          <w:sz w:val="28"/>
          <w:szCs w:val="28"/>
          <w:rtl w:val="0"/>
        </w:rPr>
        <w:t xml:space="preserve">кількості здобувачів професійної освіти, в тому числі із соціально вразливих верств населення та/або з особливими освітніми потребами; </w:t>
      </w:r>
    </w:p>
    <w:p w:rsidR="00000000" w:rsidDel="00000000" w:rsidP="00000000" w:rsidRDefault="00000000" w:rsidRPr="00000000" w14:paraId="0000000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0" w:firstLine="708.6614173228347"/>
        <w:jc w:val="both"/>
        <w:rPr>
          <w:sz w:val="28"/>
          <w:szCs w:val="28"/>
        </w:rPr>
      </w:pPr>
      <w:r w:rsidDel="00000000" w:rsidR="00000000" w:rsidRPr="00000000">
        <w:rPr>
          <w:rFonts w:ascii="Times New Roman" w:cs="Times New Roman" w:eastAsia="Times New Roman" w:hAnsi="Times New Roman"/>
          <w:sz w:val="28"/>
          <w:szCs w:val="28"/>
          <w:rtl w:val="0"/>
        </w:rPr>
        <w:t xml:space="preserve">пріоритетності професійних кваліфікацій, що визначається один раз на рік на основі досліджень ринку праці, здійснених центральним органом виконавчої влади, що реалізує державну політику у сфері зайнятості населення та трудової міграції; </w:t>
      </w:r>
    </w:p>
    <w:p w:rsidR="00000000" w:rsidDel="00000000" w:rsidP="00000000" w:rsidRDefault="00000000" w:rsidRPr="00000000" w14:paraId="0000000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0" w:firstLine="708.6614173228347"/>
        <w:jc w:val="both"/>
        <w:rPr>
          <w:sz w:val="28"/>
          <w:szCs w:val="28"/>
        </w:rPr>
      </w:pPr>
      <w:r w:rsidDel="00000000" w:rsidR="00000000" w:rsidRPr="00000000">
        <w:rPr>
          <w:rFonts w:ascii="Times New Roman" w:cs="Times New Roman" w:eastAsia="Times New Roman" w:hAnsi="Times New Roman"/>
          <w:sz w:val="28"/>
          <w:szCs w:val="28"/>
          <w:rtl w:val="0"/>
        </w:rPr>
        <w:t xml:space="preserve">відсотку виконання плану набору за попередній рік; </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0" w:firstLine="708.6614173228347"/>
        <w:jc w:val="both"/>
        <w:rPr>
          <w:sz w:val="28"/>
          <w:szCs w:val="28"/>
        </w:rPr>
      </w:pPr>
      <w:r w:rsidDel="00000000" w:rsidR="00000000" w:rsidRPr="00000000">
        <w:rPr>
          <w:rFonts w:ascii="Times New Roman" w:cs="Times New Roman" w:eastAsia="Times New Roman" w:hAnsi="Times New Roman"/>
          <w:sz w:val="28"/>
          <w:szCs w:val="28"/>
          <w:rtl w:val="0"/>
        </w:rPr>
        <w:t xml:space="preserve">відсотку випускників, яким професійні кваліфікації присвоєно кваліфікаційними центрами;</w:t>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0" w:right="0" w:firstLine="708.6614173228347"/>
        <w:jc w:val="both"/>
        <w:rPr>
          <w:sz w:val="28"/>
          <w:szCs w:val="28"/>
        </w:rPr>
      </w:pPr>
      <w:r w:rsidDel="00000000" w:rsidR="00000000" w:rsidRPr="00000000">
        <w:rPr>
          <w:rFonts w:ascii="Times New Roman" w:cs="Times New Roman" w:eastAsia="Times New Roman" w:hAnsi="Times New Roman"/>
          <w:sz w:val="28"/>
          <w:szCs w:val="28"/>
          <w:rtl w:val="0"/>
        </w:rPr>
        <w:t xml:space="preserve">відсотку працевлаштування випускників за здобутою професійною кваліфікацією;</w:t>
      </w:r>
      <w:r w:rsidDel="00000000" w:rsidR="00000000" w:rsidRPr="00000000">
        <w:rPr>
          <w:rtl w:val="0"/>
        </w:rPr>
      </w:r>
    </w:p>
    <w:p w:rsidR="00000000" w:rsidDel="00000000" w:rsidP="00000000" w:rsidRDefault="00000000" w:rsidRPr="00000000" w14:paraId="00000012">
      <w:pPr>
        <w:numPr>
          <w:ilvl w:val="0"/>
          <w:numId w:val="3"/>
        </w:numPr>
        <w:spacing w:after="0" w:line="240" w:lineRule="auto"/>
        <w:ind w:left="0" w:firstLine="708.6614173228347"/>
        <w:jc w:val="both"/>
        <w:rPr>
          <w:sz w:val="28"/>
          <w:szCs w:val="28"/>
        </w:rPr>
      </w:pPr>
      <w:r w:rsidDel="00000000" w:rsidR="00000000" w:rsidRPr="00000000">
        <w:rPr>
          <w:rFonts w:ascii="Times New Roman" w:cs="Times New Roman" w:eastAsia="Times New Roman" w:hAnsi="Times New Roman"/>
          <w:sz w:val="28"/>
          <w:szCs w:val="28"/>
          <w:rtl w:val="0"/>
        </w:rPr>
        <w:t xml:space="preserve">кількість осіб, які у попередньому році успішно завершили навчання за короткостроковими програмами навчання, перепідготовки/підвищення кваліфікації;</w:t>
      </w:r>
      <w:r w:rsidDel="00000000" w:rsidR="00000000" w:rsidRPr="00000000">
        <w:rPr>
          <w:rtl w:val="0"/>
        </w:rPr>
      </w:r>
    </w:p>
    <w:p w:rsidR="00000000" w:rsidDel="00000000" w:rsidP="00000000" w:rsidRDefault="00000000" w:rsidRPr="00000000" w14:paraId="00000013">
      <w:pPr>
        <w:numPr>
          <w:ilvl w:val="0"/>
          <w:numId w:val="3"/>
        </w:numPr>
        <w:spacing w:after="0" w:line="240" w:lineRule="auto"/>
        <w:ind w:left="0" w:firstLine="708.6614173228347"/>
        <w:jc w:val="both"/>
        <w:rPr>
          <w:sz w:val="28"/>
          <w:szCs w:val="28"/>
        </w:rPr>
      </w:pPr>
      <w:r w:rsidDel="00000000" w:rsidR="00000000" w:rsidRPr="00000000">
        <w:rPr>
          <w:rFonts w:ascii="Times New Roman" w:cs="Times New Roman" w:eastAsia="Times New Roman" w:hAnsi="Times New Roman"/>
          <w:sz w:val="28"/>
          <w:szCs w:val="28"/>
          <w:rtl w:val="0"/>
        </w:rPr>
        <w:t xml:space="preserve">обсяг залучених коштів з додаткових джерел фінансування, не заборонених законом;</w:t>
      </w:r>
      <w:r w:rsidDel="00000000" w:rsidR="00000000" w:rsidRPr="00000000">
        <w:rPr>
          <w:rtl w:val="0"/>
        </w:rPr>
      </w:r>
    </w:p>
    <w:p w:rsidR="00000000" w:rsidDel="00000000" w:rsidP="00000000" w:rsidRDefault="00000000" w:rsidRPr="00000000" w14:paraId="00000014">
      <w:pPr>
        <w:numPr>
          <w:ilvl w:val="0"/>
          <w:numId w:val="3"/>
        </w:numPr>
        <w:pBdr>
          <w:top w:space="0" w:sz="0" w:val="nil"/>
          <w:left w:space="0" w:sz="0" w:val="nil"/>
          <w:bottom w:space="0" w:sz="0" w:val="nil"/>
          <w:right w:space="0" w:sz="0" w:val="nil"/>
          <w:between w:space="0" w:sz="0" w:val="nil"/>
        </w:pBdr>
        <w:spacing w:after="0" w:line="240" w:lineRule="auto"/>
        <w:ind w:left="0" w:firstLine="708.661417322834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результатів діяльності ЗПО; </w:t>
      </w:r>
    </w:p>
    <w:p w:rsidR="00000000" w:rsidDel="00000000" w:rsidP="00000000" w:rsidRDefault="00000000" w:rsidRPr="00000000" w14:paraId="00000015">
      <w:pPr>
        <w:numPr>
          <w:ilvl w:val="0"/>
          <w:numId w:val="3"/>
        </w:numPr>
        <w:pBdr>
          <w:top w:space="0" w:sz="0" w:val="nil"/>
          <w:left w:space="0" w:sz="0" w:val="nil"/>
          <w:bottom w:space="0" w:sz="0" w:val="nil"/>
          <w:right w:space="0" w:sz="0" w:val="nil"/>
          <w:between w:space="0" w:sz="0" w:val="nil"/>
        </w:pBdr>
        <w:spacing w:after="0" w:line="240" w:lineRule="auto"/>
        <w:ind w:left="0" w:firstLine="708.661417322834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інших параметрів, визначених законодавством.</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0" w:line="240" w:lineRule="auto"/>
        <w:ind w:left="1440" w:firstLine="0"/>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17">
      <w:pPr>
        <w:numPr>
          <w:ilvl w:val="0"/>
          <w:numId w:val="2"/>
        </w:numPr>
        <w:spacing w:after="0" w:line="240"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Розподіл видатків за Формулою здійснюється з метою забезпечення прозорого та об’єктивного розподілу бюджетних коштів, підвищення якості професійної освіти, стимулювання результативності діяльності ЗПО, приведення обсягів прийому здобувачів освіти до потреб ринку праці. </w:t>
      </w:r>
    </w:p>
    <w:p w:rsidR="00000000" w:rsidDel="00000000" w:rsidP="00000000" w:rsidRDefault="00000000" w:rsidRPr="00000000" w14:paraId="00000018">
      <w:pPr>
        <w:spacing w:after="0" w:line="240" w:lineRule="auto"/>
        <w:ind w:firstLine="720"/>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19">
      <w:pPr>
        <w:spacing w:after="0" w:line="240" w:lineRule="auto"/>
        <w:ind w:firstLine="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ІІ. Визначення термінів</w:t>
      </w:r>
    </w:p>
    <w:p w:rsidR="00000000" w:rsidDel="00000000" w:rsidP="00000000" w:rsidRDefault="00000000" w:rsidRPr="00000000" w14:paraId="0000001A">
      <w:pPr>
        <w:spacing w:after="0" w:line="240" w:lineRule="auto"/>
        <w:ind w:firstLine="720"/>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1B">
      <w:pPr>
        <w:numPr>
          <w:ilvl w:val="0"/>
          <w:numId w:val="2"/>
        </w:numPr>
        <w:pBdr>
          <w:top w:space="0" w:sz="0" w:val="nil"/>
          <w:left w:space="0" w:sz="0" w:val="nil"/>
          <w:bottom w:space="0" w:sz="0" w:val="nil"/>
          <w:right w:space="0" w:sz="0" w:val="nil"/>
          <w:between w:space="0" w:sz="0" w:val="nil"/>
        </w:pBdr>
        <w:spacing w:after="0" w:line="240" w:lineRule="auto"/>
        <w:ind w:left="0" w:firstLine="72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У цій Формулі терміни вживаються у такому значенні:</w:t>
      </w:r>
    </w:p>
    <w:p w:rsidR="00000000" w:rsidDel="00000000" w:rsidP="00000000" w:rsidRDefault="00000000" w:rsidRPr="00000000" w14:paraId="0000001C">
      <w:pPr>
        <w:spacing w:after="0" w:line="276" w:lineRule="auto"/>
        <w:ind w:left="0" w:firstLine="708.6614173228347"/>
        <w:jc w:val="both"/>
        <w:rPr>
          <w:sz w:val="28"/>
          <w:szCs w:val="28"/>
        </w:rPr>
      </w:pPr>
      <w:r w:rsidDel="00000000" w:rsidR="00000000" w:rsidRPr="00000000">
        <w:rPr>
          <w:rFonts w:ascii="Times New Roman" w:cs="Times New Roman" w:eastAsia="Times New Roman" w:hAnsi="Times New Roman"/>
          <w:sz w:val="28"/>
          <w:szCs w:val="28"/>
          <w:rtl w:val="0"/>
        </w:rPr>
        <w:t xml:space="preserve">базовий обсяг фінансування (ФДБ</w:t>
      </w:r>
      <w:r w:rsidDel="00000000" w:rsidR="00000000" w:rsidRPr="00000000">
        <w:rPr>
          <w:rFonts w:ascii="Times New Roman" w:cs="Times New Roman" w:eastAsia="Times New Roman" w:hAnsi="Times New Roman"/>
          <w:sz w:val="28"/>
          <w:szCs w:val="28"/>
          <w:vertAlign w:val="subscript"/>
          <w:rtl w:val="0"/>
        </w:rPr>
        <w:t xml:space="preserve">і</w:t>
      </w:r>
      <w:r w:rsidDel="00000000" w:rsidR="00000000" w:rsidRPr="00000000">
        <w:rPr>
          <w:rFonts w:ascii="Times New Roman" w:cs="Times New Roman" w:eastAsia="Times New Roman" w:hAnsi="Times New Roman"/>
          <w:sz w:val="28"/>
          <w:szCs w:val="28"/>
          <w:rtl w:val="0"/>
        </w:rPr>
        <w:t xml:space="preserve">) – обсяг видатків на підготовку здобувачів освіти у відповідному ЗПО, що має забезпечувати базове функціонування ЗПО;</w:t>
      </w: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0" w:line="240" w:lineRule="auto"/>
        <w:ind w:left="0" w:firstLine="708.661417322834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коефіцієнт працевлаштування випускників (КПᵢ) – показник, що характеризує частку працевлаштованих випускників ЗПО;</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6614173228347"/>
        <w:jc w:val="both"/>
        <w:rPr>
          <w:rFonts w:ascii="Times New Roman" w:cs="Times New Roman" w:eastAsia="Times New Roman" w:hAnsi="Times New Roman"/>
          <w:b w:val="0"/>
          <w:bCs w:val="0"/>
          <w:i w:val="0"/>
          <w:iCs w:val="0"/>
          <w:smallCaps w:val="0"/>
          <w:strike w:val="0"/>
          <w:color w:val="000000"/>
          <w:sz w:val="28"/>
          <w:szCs w:val="28"/>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коефіцієнт працевлаштування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випускників за здобутою</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 професійною кваліфікацією (КПФᵢ) – показник,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що відображає відсоток</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 випускників, працевлаштованих за здобутою професійною кваліфікацією;</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6614173228347"/>
        <w:jc w:val="both"/>
        <w:rPr>
          <w:rFonts w:ascii="Times New Roman" w:cs="Times New Roman" w:eastAsia="Times New Roman" w:hAnsi="Times New Roman"/>
          <w:b w:val="0"/>
          <w:bCs w:val="0"/>
          <w:i w:val="0"/>
          <w:iCs w:val="0"/>
          <w:smallCaps w:val="0"/>
          <w:strike w:val="0"/>
          <w:color w:val="000000"/>
          <w:sz w:val="28"/>
          <w:szCs w:val="28"/>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vertAlign w:val="baseline"/>
          <w:rtl w:val="0"/>
        </w:rPr>
        <w:t xml:space="preserve">коефіцієнт виконання планових обсягів прийому (ПРЗᵢ) – показник, що відображає відсоток виконання планових обсягів прийому за попередній період;</w:t>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0" w:line="240" w:lineRule="auto"/>
        <w:ind w:left="0" w:firstLine="708.661417322834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коефіцієнт присвоєння професійних кваліфікацій (ПКЦᵢ) – показник, що </w:t>
      </w:r>
      <w:r w:rsidDel="00000000" w:rsidR="00000000" w:rsidRPr="00000000">
        <w:rPr>
          <w:rFonts w:ascii="Times New Roman" w:cs="Times New Roman" w:eastAsia="Times New Roman" w:hAnsi="Times New Roman"/>
          <w:color w:val="000000"/>
          <w:sz w:val="28"/>
          <w:szCs w:val="28"/>
          <w:rtl w:val="0"/>
        </w:rPr>
        <w:t xml:space="preserve">відображає відсоток здобувачів освіти, яким професійні кваліфікації присвоєно кваліфікаційними центрами;</w:t>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0" w:line="240" w:lineRule="auto"/>
        <w:ind w:left="0" w:firstLine="708.661417322834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коефіцієнт короткострокових програм (ПЧКᵢ) – показник, що характеризує кількість осіб, які завершили короткострокові програми навчання, перепідготовки або підвищення кваліфікації;</w:t>
      </w:r>
    </w:p>
    <w:p w:rsidR="00000000" w:rsidDel="00000000" w:rsidP="00000000" w:rsidRDefault="00000000" w:rsidRPr="00000000" w14:paraId="00000022">
      <w:pPr>
        <w:pBdr>
          <w:top w:space="0" w:sz="0" w:val="nil"/>
          <w:left w:space="0" w:sz="0" w:val="nil"/>
          <w:bottom w:space="0" w:sz="0" w:val="nil"/>
          <w:right w:space="0" w:sz="0" w:val="nil"/>
          <w:between w:space="0" w:sz="0" w:val="nil"/>
        </w:pBdr>
        <w:spacing w:after="0" w:line="240" w:lineRule="auto"/>
        <w:ind w:left="0" w:firstLine="708.661417322834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коефіцієнт додаткового фінансування (ПДФᵢ) – показник, що </w:t>
      </w:r>
      <w:r w:rsidDel="00000000" w:rsidR="00000000" w:rsidRPr="00000000">
        <w:rPr>
          <w:rFonts w:ascii="Times New Roman" w:cs="Times New Roman" w:eastAsia="Times New Roman" w:hAnsi="Times New Roman"/>
          <w:color w:val="000000"/>
          <w:sz w:val="28"/>
          <w:szCs w:val="28"/>
          <w:rtl w:val="0"/>
        </w:rPr>
        <w:t xml:space="preserve">характеризує обсяг коштів, залучених закладом професійної освіти з інших джерел, не заборонених законодавством;</w:t>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0" w:line="240" w:lineRule="auto"/>
        <w:ind w:left="0" w:firstLine="708.661417322834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комплексний показник діяльності ЗПО (Aᵢ) – узагальнений показник, що характеризує результативність діяльності ЗПО та визначається на основі сукупності показників діяльності із застосуванням вагових коефіцієнтів, визначених засновником або уповноваженим ним органом;</w:t>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0" w:line="240" w:lineRule="auto"/>
        <w:ind w:left="0" w:firstLine="708.661417322834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розрахункова кількість здобувачів освіти (НРКᵢ) – кількість здобувачів </w:t>
      </w:r>
      <w:r w:rsidDel="00000000" w:rsidR="00000000" w:rsidRPr="00000000">
        <w:rPr>
          <w:rFonts w:ascii="Times New Roman" w:cs="Times New Roman" w:eastAsia="Times New Roman" w:hAnsi="Times New Roman"/>
          <w:sz w:val="28"/>
          <w:szCs w:val="28"/>
          <w:rtl w:val="0"/>
        </w:rPr>
        <w:t xml:space="preserve">професійної </w:t>
      </w:r>
      <w:r w:rsidDel="00000000" w:rsidR="00000000" w:rsidRPr="00000000">
        <w:rPr>
          <w:rFonts w:ascii="Times New Roman" w:cs="Times New Roman" w:eastAsia="Times New Roman" w:hAnsi="Times New Roman"/>
          <w:color w:val="000000"/>
          <w:sz w:val="28"/>
          <w:szCs w:val="28"/>
          <w:rtl w:val="0"/>
        </w:rPr>
        <w:t xml:space="preserve">освіти, професійних кваліфікацій </w:t>
      </w:r>
      <w:r w:rsidDel="00000000" w:rsidR="00000000" w:rsidRPr="00000000">
        <w:rPr>
          <w:rFonts w:ascii="Times New Roman" w:cs="Times New Roman" w:eastAsia="Times New Roman" w:hAnsi="Times New Roman"/>
          <w:sz w:val="28"/>
          <w:szCs w:val="28"/>
          <w:rtl w:val="0"/>
        </w:rPr>
        <w:t xml:space="preserve">(далі - здобувачі освіти), </w:t>
      </w:r>
      <w:r w:rsidDel="00000000" w:rsidR="00000000" w:rsidRPr="00000000">
        <w:rPr>
          <w:rFonts w:ascii="Times New Roman" w:cs="Times New Roman" w:eastAsia="Times New Roman" w:hAnsi="Times New Roman"/>
          <w:color w:val="000000"/>
          <w:sz w:val="28"/>
          <w:szCs w:val="28"/>
          <w:rtl w:val="0"/>
        </w:rPr>
        <w:t xml:space="preserve">в тому числі </w:t>
      </w:r>
      <w:r w:rsidDel="00000000" w:rsidR="00000000" w:rsidRPr="00000000">
        <w:rPr>
          <w:rFonts w:ascii="Times New Roman" w:cs="Times New Roman" w:eastAsia="Times New Roman" w:hAnsi="Times New Roman"/>
          <w:sz w:val="28"/>
          <w:szCs w:val="28"/>
          <w:rtl w:val="0"/>
        </w:rPr>
        <w:t xml:space="preserve">із соціально вразливих верств населення та/або з особливими освітніми потребами, зокрема у спеціальних навчальних групах</w:t>
      </w:r>
      <w:r w:rsidDel="00000000" w:rsidR="00000000" w:rsidRPr="00000000">
        <w:rPr>
          <w:rFonts w:ascii="Times New Roman" w:cs="Times New Roman" w:eastAsia="Times New Roman" w:hAnsi="Times New Roman"/>
          <w:color w:val="000000"/>
          <w:sz w:val="28"/>
          <w:szCs w:val="28"/>
          <w:rtl w:val="0"/>
        </w:rPr>
        <w:t xml:space="preserve">, розрахована з урахуванням рівня освіти, форми здобуття освіти, особливостей організації освітнього процесу, професійної кваліфікації (професійних кваліфікацій), що здобуваються, пріоритетності цих професійних кваліфікацій, та/або інших чинників, що визначаються засновником або уповноваженим ним органом відповідно до методичних рекомендацій МОН;</w:t>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0" w:line="240" w:lineRule="auto"/>
        <w:ind w:left="0" w:firstLine="708.661417322834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пріоритетність професійних кваліфікацій – відповідність професійних кваліфікацій потребам регіонального ринку праці, що визначається один раз на рік на основі досліджень ринку праці, здійснених центральним органом виконавчої влади, що реалізує державну політику у сфері зайнятості населення та трудової міграції;</w:t>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0" w:line="240" w:lineRule="auto"/>
        <w:ind w:left="0" w:firstLine="708.661417322834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планові обсяги прийому для здобуття </w:t>
      </w:r>
      <w:r w:rsidDel="00000000" w:rsidR="00000000" w:rsidRPr="00000000">
        <w:rPr>
          <w:rFonts w:ascii="Times New Roman" w:cs="Times New Roman" w:eastAsia="Times New Roman" w:hAnsi="Times New Roman"/>
          <w:sz w:val="28"/>
          <w:szCs w:val="28"/>
          <w:rtl w:val="0"/>
        </w:rPr>
        <w:t xml:space="preserve">професійної</w:t>
      </w:r>
      <w:r w:rsidDel="00000000" w:rsidR="00000000" w:rsidRPr="00000000">
        <w:rPr>
          <w:rFonts w:ascii="Times New Roman" w:cs="Times New Roman" w:eastAsia="Times New Roman" w:hAnsi="Times New Roman"/>
          <w:color w:val="000000"/>
          <w:sz w:val="28"/>
          <w:szCs w:val="28"/>
          <w:rtl w:val="0"/>
        </w:rPr>
        <w:t xml:space="preserve"> освіти</w:t>
      </w:r>
      <w:r w:rsidDel="00000000" w:rsidR="00000000" w:rsidRPr="00000000">
        <w:rPr>
          <w:rFonts w:ascii="Times New Roman" w:cs="Times New Roman" w:eastAsia="Times New Roman" w:hAnsi="Times New Roman"/>
          <w:sz w:val="28"/>
          <w:szCs w:val="28"/>
          <w:rtl w:val="0"/>
        </w:rPr>
        <w:t xml:space="preserve">, професійних кваліфікацій (далі - обсяги прийому)</w:t>
      </w:r>
      <w:r w:rsidDel="00000000" w:rsidR="00000000" w:rsidRPr="00000000">
        <w:rPr>
          <w:rFonts w:ascii="Times New Roman" w:cs="Times New Roman" w:eastAsia="Times New Roman" w:hAnsi="Times New Roman"/>
          <w:color w:val="000000"/>
          <w:sz w:val="28"/>
          <w:szCs w:val="28"/>
          <w:rtl w:val="0"/>
        </w:rPr>
        <w:t xml:space="preserve"> – </w:t>
      </w:r>
      <w:r w:rsidDel="00000000" w:rsidR="00000000" w:rsidRPr="00000000">
        <w:rPr>
          <w:rFonts w:ascii="Times New Roman" w:cs="Times New Roman" w:eastAsia="Times New Roman" w:hAnsi="Times New Roman"/>
          <w:sz w:val="28"/>
          <w:szCs w:val="28"/>
          <w:rtl w:val="0"/>
        </w:rPr>
        <w:t xml:space="preserve">кількісні показники прийому здобувачів освіти до ЗПО, що фінансуються з відповідного місцевого бюджету, сформовані</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на відповідний навчальний рік </w:t>
      </w:r>
      <w:r w:rsidDel="00000000" w:rsidR="00000000" w:rsidRPr="00000000">
        <w:rPr>
          <w:rFonts w:ascii="Times New Roman" w:cs="Times New Roman" w:eastAsia="Times New Roman" w:hAnsi="Times New Roman"/>
          <w:color w:val="000000"/>
          <w:sz w:val="28"/>
          <w:szCs w:val="28"/>
          <w:rtl w:val="0"/>
        </w:rPr>
        <w:t xml:space="preserve">відповідно до законодавства;</w:t>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0" w:line="240" w:lineRule="auto"/>
        <w:ind w:left="0" w:firstLine="708.661417322834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показники діяльності ЗПО – характеристики діяльності ЗПО, що використовуються для розрахунку обсягу фінансування відповідно до цієї Формули.</w:t>
      </w:r>
    </w:p>
    <w:p w:rsidR="00000000" w:rsidDel="00000000" w:rsidP="00000000" w:rsidRDefault="00000000" w:rsidRPr="00000000" w14:paraId="00000028">
      <w:pPr>
        <w:spacing w:after="0" w:line="240" w:lineRule="auto"/>
        <w:ind w:firstLine="709"/>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Інші терміни вживаються у значеннях, наведених у Законах України «Про освіту», «Про професійну освіту» та інших нормативно-правових актах законодавства.</w:t>
      </w:r>
    </w:p>
    <w:p w:rsidR="00000000" w:rsidDel="00000000" w:rsidP="00000000" w:rsidRDefault="00000000" w:rsidRPr="00000000" w14:paraId="00000029">
      <w:pPr>
        <w:spacing w:after="0" w:line="240" w:lineRule="auto"/>
        <w:ind w:firstLine="720"/>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2A">
      <w:pPr>
        <w:spacing w:after="0" w:line="240" w:lineRule="auto"/>
        <w:ind w:firstLine="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III. Формула розподілу видатків місцевих бюджетів на фінансування професійної освіти</w:t>
      </w:r>
    </w:p>
    <w:p w:rsidR="00000000" w:rsidDel="00000000" w:rsidP="00000000" w:rsidRDefault="00000000" w:rsidRPr="00000000" w14:paraId="0000002B">
      <w:pPr>
        <w:spacing w:after="0" w:line="240" w:lineRule="auto"/>
        <w:ind w:firstLine="720"/>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2C">
      <w:pPr>
        <w:numPr>
          <w:ilvl w:val="0"/>
          <w:numId w:val="2"/>
        </w:numPr>
        <w:pBdr>
          <w:top w:space="0" w:sz="0" w:val="nil"/>
          <w:left w:space="0" w:sz="0" w:val="nil"/>
          <w:bottom w:space="0" w:sz="0" w:val="nil"/>
          <w:right w:space="0" w:sz="0" w:val="nil"/>
          <w:between w:space="0" w:sz="0" w:val="nil"/>
        </w:pBdr>
        <w:spacing w:after="0" w:line="240" w:lineRule="auto"/>
        <w:ind w:left="0" w:firstLine="54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Загальний обсяг видатків місцевого бюджету на відповідний рік (Ф), що спрямовується на фінансування професійної освіти відповідним засновником або уповноваженим ним органом, включає консолідовані видатки всіх ЗПО, що отримують фінансування за рахунок коштів місцевого бюджету за відповідними бюджетними програмами.</w:t>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0" w:line="240" w:lineRule="auto"/>
        <w:ind w:left="72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E">
      <w:pPr>
        <w:numPr>
          <w:ilvl w:val="0"/>
          <w:numId w:val="2"/>
        </w:numPr>
        <w:pBdr>
          <w:top w:space="0" w:sz="0" w:val="nil"/>
          <w:left w:space="0" w:sz="0" w:val="nil"/>
          <w:bottom w:space="0" w:sz="0" w:val="nil"/>
          <w:right w:space="0" w:sz="0" w:val="nil"/>
          <w:between w:space="0" w:sz="0" w:val="nil"/>
        </w:pBdr>
        <w:spacing w:after="0" w:line="240" w:lineRule="auto"/>
        <w:ind w:left="0" w:firstLine="54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Загальний обсяг фінансування на здобуття професійної освіти, професійних кваліфікацій (Ф) визначається за такою формулою:</w:t>
      </w:r>
      <w:r w:rsidDel="00000000" w:rsidR="00000000" w:rsidRPr="00000000">
        <w:rPr>
          <w:rtl w:val="0"/>
        </w:rPr>
      </w:r>
    </w:p>
    <w:p w:rsidR="00000000" w:rsidDel="00000000" w:rsidP="00000000" w:rsidRDefault="00000000" w:rsidRPr="00000000" w14:paraId="0000002F">
      <w:pPr>
        <w:spacing w:after="0" w:line="24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0">
      <w:pPr>
        <w:spacing w:after="0" w:line="240" w:lineRule="auto"/>
        <w:ind w:firstLine="72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 = ФДБ + ФДП</w:t>
      </w:r>
    </w:p>
    <w:p w:rsidR="00000000" w:rsidDel="00000000" w:rsidP="00000000" w:rsidRDefault="00000000" w:rsidRPr="00000000" w14:paraId="00000031">
      <w:pPr>
        <w:spacing w:after="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де:</w:t>
      </w:r>
    </w:p>
    <w:p w:rsidR="00000000" w:rsidDel="00000000" w:rsidP="00000000" w:rsidRDefault="00000000" w:rsidRPr="00000000" w14:paraId="00000032">
      <w:pPr>
        <w:spacing w:after="0" w:line="24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3">
      <w:pPr>
        <w:spacing w:after="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ФДБ – базовий обсяг фінансування ЗПО;</w:t>
      </w:r>
    </w:p>
    <w:p w:rsidR="00000000" w:rsidDel="00000000" w:rsidP="00000000" w:rsidRDefault="00000000" w:rsidRPr="00000000" w14:paraId="00000034">
      <w:pPr>
        <w:spacing w:after="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ФДП – обсяг фінансування, що надається залежно від показників діяльності ЗПО.</w:t>
      </w:r>
    </w:p>
    <w:p w:rsidR="00000000" w:rsidDel="00000000" w:rsidP="00000000" w:rsidRDefault="00000000" w:rsidRPr="00000000" w14:paraId="00000035">
      <w:pPr>
        <w:spacing w:after="0" w:line="24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6">
      <w:pPr>
        <w:numPr>
          <w:ilvl w:val="0"/>
          <w:numId w:val="2"/>
        </w:numPr>
        <w:pBdr>
          <w:top w:space="0" w:sz="0" w:val="nil"/>
          <w:left w:space="0" w:sz="0" w:val="nil"/>
          <w:bottom w:space="0" w:sz="0" w:val="nil"/>
          <w:right w:space="0" w:sz="0" w:val="nil"/>
          <w:between w:space="0" w:sz="0" w:val="nil"/>
        </w:pBdr>
        <w:spacing w:after="0" w:line="240" w:lineRule="auto"/>
        <w:ind w:left="0" w:firstLine="54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Базовий обсяг фінансування ЗПО (ФДБ) визначається засновником або уповноваженим ним органом відповідно до методичних рекомендацій МОН з урахуванням необхідності базового забезпечення функціонування мережі закладів професійної освіти.</w:t>
      </w:r>
    </w:p>
    <w:p w:rsidR="00000000" w:rsidDel="00000000" w:rsidP="00000000" w:rsidRDefault="00000000" w:rsidRPr="00000000" w14:paraId="00000037">
      <w:pPr>
        <w:spacing w:after="0" w:line="24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8">
      <w:pPr>
        <w:numPr>
          <w:ilvl w:val="0"/>
          <w:numId w:val="2"/>
        </w:numPr>
        <w:pBdr>
          <w:top w:space="0" w:sz="0" w:val="nil"/>
          <w:left w:space="0" w:sz="0" w:val="nil"/>
          <w:bottom w:space="0" w:sz="0" w:val="nil"/>
          <w:right w:space="0" w:sz="0" w:val="nil"/>
          <w:between w:space="0" w:sz="0" w:val="nil"/>
        </w:pBdr>
        <w:spacing w:after="0" w:line="240" w:lineRule="auto"/>
        <w:ind w:left="0" w:firstLine="54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Обсяг фінансування, що надається залежно від показників діяльності (ФДП), визначається засновником або уповноваженим ним органом як частка обсягу фінансування на здобуття професійної освіти, професійних кваліфікацій (Ф). Частка обсягу Ф, що спрямовується на ФДП, визначається засновником або уповноваженим ним органом з урахуванням необхідності забезпечення стабільної діяльності ЗПО та не може перевищувати однієї третини від загального обсягу фінансування, передбаченого за відповідною бюджетною програмою на здобуття професійної освіти, професійних кваліфікацій.</w:t>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0" w:line="240" w:lineRule="auto"/>
        <w:ind w:left="720" w:firstLine="0"/>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3A">
      <w:pPr>
        <w:numPr>
          <w:ilvl w:val="0"/>
          <w:numId w:val="2"/>
        </w:numPr>
        <w:pBdr>
          <w:top w:space="0" w:sz="0" w:val="nil"/>
          <w:left w:space="0" w:sz="0" w:val="nil"/>
          <w:bottom w:space="0" w:sz="0" w:val="nil"/>
          <w:right w:space="0" w:sz="0" w:val="nil"/>
          <w:between w:space="0" w:sz="0" w:val="nil"/>
        </w:pBdr>
        <w:spacing w:after="0" w:line="240" w:lineRule="auto"/>
        <w:ind w:left="0" w:firstLine="54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Загальний обсяг фінансування на здобуття професійної освіти, професійних кваліфікацій для відповідного ЗПО (Фᵢ) визначається за такою формулою:</w:t>
      </w:r>
    </w:p>
    <w:p w:rsidR="00000000" w:rsidDel="00000000" w:rsidP="00000000" w:rsidRDefault="00000000" w:rsidRPr="00000000" w14:paraId="0000003B">
      <w:pPr>
        <w:spacing w:after="0" w:line="240" w:lineRule="auto"/>
        <w:ind w:firstLine="72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Фᵢ = ФДБᵢ + ФДПᵢ </w:t>
      </w:r>
    </w:p>
    <w:p w:rsidR="00000000" w:rsidDel="00000000" w:rsidP="00000000" w:rsidRDefault="00000000" w:rsidRPr="00000000" w14:paraId="0000003C">
      <w:pPr>
        <w:spacing w:after="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де:</w:t>
      </w:r>
    </w:p>
    <w:p w:rsidR="00000000" w:rsidDel="00000000" w:rsidP="00000000" w:rsidRDefault="00000000" w:rsidRPr="00000000" w14:paraId="0000003D">
      <w:pPr>
        <w:spacing w:after="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ФДБᵢ – базовий обсяг фінансування відповідного ЗПО;</w:t>
      </w:r>
    </w:p>
    <w:p w:rsidR="00000000" w:rsidDel="00000000" w:rsidP="00000000" w:rsidRDefault="00000000" w:rsidRPr="00000000" w14:paraId="0000003E">
      <w:pPr>
        <w:spacing w:after="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ФДПᵢ – обсяг фінансування, що надається залежно від показників діяльності відповідного ЗПО.</w:t>
      </w:r>
    </w:p>
    <w:p w:rsidR="00000000" w:rsidDel="00000000" w:rsidP="00000000" w:rsidRDefault="00000000" w:rsidRPr="00000000" w14:paraId="0000003F">
      <w:pPr>
        <w:spacing w:after="0" w:line="24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0">
      <w:pPr>
        <w:numPr>
          <w:ilvl w:val="0"/>
          <w:numId w:val="2"/>
        </w:numPr>
        <w:pBdr>
          <w:top w:space="0" w:sz="0" w:val="nil"/>
          <w:left w:space="0" w:sz="0" w:val="nil"/>
          <w:bottom w:space="0" w:sz="0" w:val="nil"/>
          <w:right w:space="0" w:sz="0" w:val="nil"/>
          <w:between w:space="0" w:sz="0" w:val="nil"/>
        </w:pBdr>
        <w:spacing w:after="0" w:line="240" w:lineRule="auto"/>
        <w:ind w:left="0" w:firstLine="54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Обсяг фінансування, що надається залежно від показників діяльності відповідного ЗПО (ФДПᵢ), визначається за такою формулою: </w:t>
      </w:r>
    </w:p>
    <w:p w:rsidR="00000000" w:rsidDel="00000000" w:rsidP="00000000" w:rsidRDefault="00000000" w:rsidRPr="00000000" w14:paraId="00000041">
      <w:pPr>
        <w:spacing w:after="0" w:line="240" w:lineRule="auto"/>
        <w:ind w:firstLine="720"/>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42">
      <w:pPr>
        <w:spacing w:after="0" w:line="240" w:lineRule="auto"/>
        <w:ind w:firstLine="72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ФДПᵢ = (Aᵢ / ΣAᵢ) × ФДП</w:t>
      </w:r>
    </w:p>
    <w:p w:rsidR="00000000" w:rsidDel="00000000" w:rsidP="00000000" w:rsidRDefault="00000000" w:rsidRPr="00000000" w14:paraId="00000043">
      <w:pPr>
        <w:spacing w:after="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де:</w:t>
      </w:r>
    </w:p>
    <w:p w:rsidR="00000000" w:rsidDel="00000000" w:rsidP="00000000" w:rsidRDefault="00000000" w:rsidRPr="00000000" w14:paraId="00000044">
      <w:pPr>
        <w:spacing w:after="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ФДПᵢ – обсяг фінансування, що надається залежно від показників діяльності відповідного ЗПО;</w:t>
      </w:r>
    </w:p>
    <w:p w:rsidR="00000000" w:rsidDel="00000000" w:rsidP="00000000" w:rsidRDefault="00000000" w:rsidRPr="00000000" w14:paraId="00000045">
      <w:pPr>
        <w:spacing w:after="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ФДП – загальний обсяг видатків місцевого бюджету на професійну освіту, що надається залежно від показників діяльності відповідного ЗПО;</w:t>
      </w:r>
    </w:p>
    <w:p w:rsidR="00000000" w:rsidDel="00000000" w:rsidP="00000000" w:rsidRDefault="00000000" w:rsidRPr="00000000" w14:paraId="00000046">
      <w:pPr>
        <w:spacing w:after="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Aᵢ – комплексний показник діяльності відповідного ЗПО;</w:t>
      </w:r>
    </w:p>
    <w:p w:rsidR="00000000" w:rsidDel="00000000" w:rsidP="00000000" w:rsidRDefault="00000000" w:rsidRPr="00000000" w14:paraId="00000047">
      <w:pPr>
        <w:spacing w:after="0"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ΣAᵢ – сума значень комплексного показника діяльності за всіма ЗПО. </w:t>
      </w:r>
    </w:p>
    <w:p w:rsidR="00000000" w:rsidDel="00000000" w:rsidP="00000000" w:rsidRDefault="00000000" w:rsidRPr="00000000" w14:paraId="00000048">
      <w:pPr>
        <w:spacing w:after="0" w:line="24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9">
      <w:pPr>
        <w:numPr>
          <w:ilvl w:val="0"/>
          <w:numId w:val="2"/>
        </w:numPr>
        <w:pBdr>
          <w:top w:space="0" w:sz="0" w:val="nil"/>
          <w:left w:space="0" w:sz="0" w:val="nil"/>
          <w:bottom w:space="0" w:sz="0" w:val="nil"/>
          <w:right w:space="0" w:sz="0" w:val="nil"/>
          <w:between w:space="0" w:sz="0" w:val="nil"/>
        </w:pBdr>
        <w:spacing w:after="0" w:line="240" w:lineRule="auto"/>
        <w:ind w:left="0" w:firstLine="566"/>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 Комплексний показник діяльності ЗПО (Aᵢ) визначається за такою формулою: </w:t>
      </w:r>
      <w:r w:rsidDel="00000000" w:rsidR="00000000" w:rsidRPr="00000000">
        <w:rPr>
          <w:rtl w:val="0"/>
        </w:rPr>
      </w:r>
    </w:p>
    <w:p w:rsidR="00000000" w:rsidDel="00000000" w:rsidP="00000000" w:rsidRDefault="00000000" w:rsidRPr="00000000" w14:paraId="0000004A">
      <w:pPr>
        <w:spacing w:after="0" w:line="240" w:lineRule="auto"/>
        <w:ind w:left="72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B">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Aᵢ = (КПᵢ + КПФᵢ + ПКЦᵢ) × (ПРЗᵢ + ПЧКᵢ + ПДФᵢ) × НРКᵢ</w:t>
      </w:r>
    </w:p>
    <w:p w:rsidR="00000000" w:rsidDel="00000000" w:rsidP="00000000" w:rsidRDefault="00000000" w:rsidRPr="00000000" w14:paraId="0000004C">
      <w:pPr>
        <w:spacing w:after="0" w:line="24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D">
      <w:pPr>
        <w:numPr>
          <w:ilvl w:val="0"/>
          <w:numId w:val="2"/>
        </w:numPr>
        <w:pBdr>
          <w:top w:space="0" w:sz="0" w:val="nil"/>
          <w:left w:space="0" w:sz="0" w:val="nil"/>
          <w:bottom w:space="0" w:sz="0" w:val="nil"/>
          <w:right w:space="0" w:sz="0" w:val="nil"/>
          <w:between w:space="0" w:sz="0" w:val="nil"/>
        </w:pBdr>
        <w:spacing w:after="0" w:line="240" w:lineRule="auto"/>
        <w:ind w:left="0" w:firstLine="566"/>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До запровадження відповідних механізмів збору та верифікації даних окремі показники діяльності ЗПО можуть застосовуватися зі значенням </w:t>
      </w:r>
      <w:r w:rsidDel="00000000" w:rsidR="00000000" w:rsidRPr="00000000">
        <w:rPr>
          <w:rFonts w:ascii="Times New Roman" w:cs="Times New Roman" w:eastAsia="Times New Roman" w:hAnsi="Times New Roman"/>
          <w:sz w:val="28"/>
          <w:szCs w:val="28"/>
          <w:rtl w:val="0"/>
        </w:rPr>
        <w:t xml:space="preserve">0</w:t>
      </w:r>
      <w:r w:rsidDel="00000000" w:rsidR="00000000" w:rsidRPr="00000000">
        <w:rPr>
          <w:rtl w:val="0"/>
        </w:rPr>
        <w:t xml:space="preserve">.</w:t>
      </w:r>
      <w:r w:rsidDel="00000000" w:rsidR="00000000" w:rsidRPr="00000000">
        <w:rPr>
          <w:rFonts w:ascii="Times New Roman" w:cs="Times New Roman" w:eastAsia="Times New Roman" w:hAnsi="Times New Roman"/>
          <w:color w:val="000000"/>
          <w:sz w:val="28"/>
          <w:szCs w:val="28"/>
          <w:rtl w:val="0"/>
        </w:rPr>
        <w:t xml:space="preserve"> </w:t>
      </w:r>
    </w:p>
    <w:p w:rsidR="00000000" w:rsidDel="00000000" w:rsidP="00000000" w:rsidRDefault="00000000" w:rsidRPr="00000000" w14:paraId="0000004E">
      <w:pP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Перелік таких показників та порядок їх застосування визначаються засновником або уповноваженим ним органом відповідно до методичних рекомендацій МОН.</w:t>
      </w:r>
    </w:p>
    <w:p w:rsidR="00000000" w:rsidDel="00000000" w:rsidP="00000000" w:rsidRDefault="00000000" w:rsidRPr="00000000" w14:paraId="0000004F">
      <w:pPr>
        <w:spacing w:after="0" w:line="240" w:lineRule="auto"/>
        <w:ind w:firstLine="90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0">
      <w:pPr>
        <w:numPr>
          <w:ilvl w:val="0"/>
          <w:numId w:val="2"/>
        </w:numPr>
        <w:pBdr>
          <w:top w:space="0" w:sz="0" w:val="nil"/>
          <w:left w:space="0" w:sz="0" w:val="nil"/>
          <w:bottom w:space="0" w:sz="0" w:val="nil"/>
          <w:right w:space="0" w:sz="0" w:val="nil"/>
          <w:between w:space="0" w:sz="0" w:val="nil"/>
        </w:pBdr>
        <w:spacing w:after="0" w:line="240" w:lineRule="auto"/>
        <w:ind w:left="0" w:firstLine="566"/>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Для розрахунку показників, передбачених цією Формулою, використовуються дані:</w:t>
      </w:r>
    </w:p>
    <w:p w:rsidR="00000000" w:rsidDel="00000000" w:rsidP="00000000" w:rsidRDefault="00000000" w:rsidRPr="00000000" w14:paraId="00000051">
      <w:pPr>
        <w:numPr>
          <w:ilvl w:val="0"/>
          <w:numId w:val="1"/>
        </w:numPr>
        <w:pBdr>
          <w:top w:space="0" w:sz="0" w:val="nil"/>
          <w:left w:space="0" w:sz="0" w:val="nil"/>
          <w:bottom w:space="0" w:sz="0" w:val="nil"/>
          <w:right w:space="0" w:sz="0" w:val="nil"/>
          <w:between w:space="0" w:sz="0" w:val="nil"/>
        </w:pBdr>
        <w:tabs>
          <w:tab w:val="left" w:leader="none" w:pos="90"/>
        </w:tabs>
        <w:spacing w:after="0" w:line="240" w:lineRule="auto"/>
        <w:ind w:left="0" w:firstLine="90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Єдиної державної електронної бази з питань освіти;</w:t>
      </w:r>
    </w:p>
    <w:p w:rsidR="00000000" w:rsidDel="00000000" w:rsidP="00000000" w:rsidRDefault="00000000" w:rsidRPr="00000000" w14:paraId="00000052">
      <w:pPr>
        <w:numPr>
          <w:ilvl w:val="0"/>
          <w:numId w:val="1"/>
        </w:numPr>
        <w:pBdr>
          <w:top w:space="0" w:sz="0" w:val="nil"/>
          <w:left w:space="0" w:sz="0" w:val="nil"/>
          <w:bottom w:space="0" w:sz="0" w:val="nil"/>
          <w:right w:space="0" w:sz="0" w:val="nil"/>
          <w:between w:space="0" w:sz="0" w:val="nil"/>
        </w:pBdr>
        <w:tabs>
          <w:tab w:val="left" w:leader="none" w:pos="90"/>
        </w:tabs>
        <w:spacing w:after="0" w:line="240" w:lineRule="auto"/>
        <w:ind w:left="0" w:firstLine="90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державних реєстрів;</w:t>
      </w:r>
    </w:p>
    <w:p w:rsidR="00000000" w:rsidDel="00000000" w:rsidP="00000000" w:rsidRDefault="00000000" w:rsidRPr="00000000" w14:paraId="00000053">
      <w:pPr>
        <w:numPr>
          <w:ilvl w:val="0"/>
          <w:numId w:val="1"/>
        </w:numPr>
        <w:pBdr>
          <w:top w:space="0" w:sz="0" w:val="nil"/>
          <w:left w:space="0" w:sz="0" w:val="nil"/>
          <w:bottom w:space="0" w:sz="0" w:val="nil"/>
          <w:right w:space="0" w:sz="0" w:val="nil"/>
          <w:between w:space="0" w:sz="0" w:val="nil"/>
        </w:pBdr>
        <w:tabs>
          <w:tab w:val="left" w:leader="none" w:pos="90"/>
        </w:tabs>
        <w:spacing w:after="0" w:line="240" w:lineRule="auto"/>
        <w:ind w:left="0" w:firstLine="90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офіційної статистичної звітності;</w:t>
      </w:r>
    </w:p>
    <w:p w:rsidR="00000000" w:rsidDel="00000000" w:rsidP="00000000" w:rsidRDefault="00000000" w:rsidRPr="00000000" w14:paraId="00000054">
      <w:pPr>
        <w:numPr>
          <w:ilvl w:val="0"/>
          <w:numId w:val="1"/>
        </w:numPr>
        <w:pBdr>
          <w:top w:space="0" w:sz="0" w:val="nil"/>
          <w:left w:space="0" w:sz="0" w:val="nil"/>
          <w:bottom w:space="0" w:sz="0" w:val="nil"/>
          <w:right w:space="0" w:sz="0" w:val="nil"/>
          <w:between w:space="0" w:sz="0" w:val="nil"/>
        </w:pBdr>
        <w:tabs>
          <w:tab w:val="left" w:leader="none" w:pos="90"/>
        </w:tabs>
        <w:spacing w:after="0" w:line="240" w:lineRule="auto"/>
        <w:ind w:left="0" w:firstLine="90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інших інформаційних систем та джерел, визначених МОН.</w:t>
      </w:r>
    </w:p>
    <w:p w:rsidR="00000000" w:rsidDel="00000000" w:rsidP="00000000" w:rsidRDefault="00000000" w:rsidRPr="00000000" w14:paraId="00000055">
      <w:pPr>
        <w:pBdr>
          <w:top w:space="0" w:sz="0" w:val="nil"/>
          <w:left w:space="0" w:sz="0" w:val="nil"/>
          <w:bottom w:space="0" w:sz="0" w:val="nil"/>
          <w:right w:space="0" w:sz="0" w:val="nil"/>
          <w:between w:space="0" w:sz="0" w:val="nil"/>
        </w:pBdr>
        <w:tabs>
          <w:tab w:val="left" w:leader="none" w:pos="90"/>
        </w:tabs>
        <w:spacing w:after="0" w:line="240" w:lineRule="auto"/>
        <w:ind w:firstLine="900"/>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56">
      <w:pPr>
        <w:numPr>
          <w:ilvl w:val="0"/>
          <w:numId w:val="2"/>
        </w:numPr>
        <w:pBdr>
          <w:top w:space="0" w:sz="0" w:val="nil"/>
          <w:left w:space="0" w:sz="0" w:val="nil"/>
          <w:bottom w:space="0" w:sz="0" w:val="nil"/>
          <w:right w:space="0" w:sz="0" w:val="nil"/>
          <w:between w:space="0" w:sz="0" w:val="nil"/>
        </w:pBdr>
        <w:tabs>
          <w:tab w:val="left" w:leader="none" w:pos="90"/>
        </w:tabs>
        <w:spacing w:after="0" w:line="240" w:lineRule="auto"/>
        <w:ind w:left="0" w:firstLine="90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ЗПО, що отримують або планують отримувати бюджетне фінансування відповідно до цієї Формули, подають засновнику або уповноваженому ним органу інформацію, необхідну для проведення розрахунків, у повному обсязі, у строки та за формою, визначеними засновником, а також додаткову інформацію на його вимогу.</w:t>
      </w: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tabs>
          <w:tab w:val="left" w:leader="none" w:pos="90"/>
        </w:tabs>
        <w:spacing w:after="0" w:line="240" w:lineRule="auto"/>
        <w:ind w:firstLine="900"/>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58">
      <w:pPr>
        <w:numPr>
          <w:ilvl w:val="0"/>
          <w:numId w:val="2"/>
        </w:numPr>
        <w:pBdr>
          <w:top w:space="0" w:sz="0" w:val="nil"/>
          <w:left w:space="0" w:sz="0" w:val="nil"/>
          <w:bottom w:space="0" w:sz="0" w:val="nil"/>
          <w:right w:space="0" w:sz="0" w:val="nil"/>
          <w:between w:space="0" w:sz="0" w:val="nil"/>
        </w:pBdr>
        <w:tabs>
          <w:tab w:val="left" w:leader="none" w:pos="90"/>
        </w:tabs>
        <w:spacing w:after="0" w:line="240" w:lineRule="auto"/>
        <w:ind w:left="0" w:firstLine="90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цілей застосування цієї Формули ЗПО забезпечують ведення обліку, складання звітності та подання інформації, необхідної для розрахунку показників, зокрема окремо за відокремленими структурними підрозділами (за наявності).</w:t>
      </w:r>
    </w:p>
    <w:p w:rsidR="00000000" w:rsidDel="00000000" w:rsidP="00000000" w:rsidRDefault="00000000" w:rsidRPr="00000000" w14:paraId="00000059">
      <w:pPr>
        <w:pBdr>
          <w:top w:space="0" w:sz="0" w:val="nil"/>
          <w:left w:space="0" w:sz="0" w:val="nil"/>
          <w:bottom w:space="0" w:sz="0" w:val="nil"/>
          <w:right w:space="0" w:sz="0" w:val="nil"/>
          <w:between w:space="0" w:sz="0" w:val="nil"/>
        </w:pBdr>
        <w:tabs>
          <w:tab w:val="left" w:leader="none" w:pos="90"/>
        </w:tabs>
        <w:spacing w:after="0" w:line="240" w:lineRule="auto"/>
        <w:ind w:firstLine="900"/>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5A">
      <w:pPr>
        <w:numPr>
          <w:ilvl w:val="0"/>
          <w:numId w:val="2"/>
        </w:numPr>
        <w:pBdr>
          <w:top w:space="0" w:sz="0" w:val="nil"/>
          <w:left w:space="0" w:sz="0" w:val="nil"/>
          <w:bottom w:space="0" w:sz="0" w:val="nil"/>
          <w:right w:space="0" w:sz="0" w:val="nil"/>
          <w:between w:space="0" w:sz="0" w:val="nil"/>
        </w:pBdr>
        <w:tabs>
          <w:tab w:val="left" w:leader="none" w:pos="90"/>
        </w:tabs>
        <w:spacing w:after="0" w:line="240" w:lineRule="auto"/>
        <w:ind w:left="0" w:firstLine="90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Керівник ЗПО забезпечує повноту та достовірність інформації, що подається для розрахунку показників відповідно до цієї Формули.</w:t>
      </w: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after="0" w:lineRule="auto"/>
        <w:ind w:firstLine="900"/>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5C">
      <w:pPr>
        <w:numPr>
          <w:ilvl w:val="0"/>
          <w:numId w:val="2"/>
        </w:numPr>
        <w:pBdr>
          <w:top w:space="0" w:sz="0" w:val="nil"/>
          <w:left w:space="0" w:sz="0" w:val="nil"/>
          <w:bottom w:space="0" w:sz="0" w:val="nil"/>
          <w:right w:space="0" w:sz="0" w:val="nil"/>
          <w:between w:space="0" w:sz="0" w:val="nil"/>
        </w:pBdr>
        <w:tabs>
          <w:tab w:val="left" w:leader="none" w:pos="90"/>
        </w:tabs>
        <w:spacing w:after="0" w:line="240" w:lineRule="auto"/>
        <w:ind w:left="0" w:firstLine="90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У разі неподання, несвоєчасного подання або подання недостовірної інформації засновник або уповноважений ним орган має право враховувати наявні дані або не враховувати відповідні показники під час розрахунку обсягів фінансування ЗПО.</w:t>
      </w: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after="0" w:lineRule="auto"/>
        <w:ind w:firstLine="900"/>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5E">
      <w:pPr>
        <w:numPr>
          <w:ilvl w:val="0"/>
          <w:numId w:val="2"/>
        </w:numPr>
        <w:pBdr>
          <w:top w:space="0" w:sz="0" w:val="nil"/>
          <w:left w:space="0" w:sz="0" w:val="nil"/>
          <w:bottom w:space="0" w:sz="0" w:val="nil"/>
          <w:right w:space="0" w:sz="0" w:val="nil"/>
          <w:between w:space="0" w:sz="0" w:val="nil"/>
        </w:pBdr>
        <w:tabs>
          <w:tab w:val="left" w:leader="none" w:pos="90"/>
        </w:tabs>
        <w:spacing w:after="0" w:line="240" w:lineRule="auto"/>
        <w:ind w:left="0" w:firstLine="90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Методика розрахунку окремих показників цієї Формули, визначається методичними рекомендаціями МОН.</w:t>
      </w: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after="0" w:lineRule="auto"/>
        <w:ind w:firstLine="900"/>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60">
      <w:pPr>
        <w:numPr>
          <w:ilvl w:val="0"/>
          <w:numId w:val="2"/>
        </w:numPr>
        <w:pBdr>
          <w:top w:space="0" w:sz="0" w:val="nil"/>
          <w:left w:space="0" w:sz="0" w:val="nil"/>
          <w:bottom w:space="0" w:sz="0" w:val="nil"/>
          <w:right w:space="0" w:sz="0" w:val="nil"/>
          <w:between w:space="0" w:sz="0" w:val="nil"/>
        </w:pBdr>
        <w:tabs>
          <w:tab w:val="left" w:leader="none" w:pos="90"/>
        </w:tabs>
        <w:spacing w:after="0" w:line="240" w:lineRule="auto"/>
        <w:ind w:left="0" w:firstLine="90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Засновник може здійснювати коригування обсягів фінансування ЗПО протягом бюджетного періоду у разі потреби з урахуванням змін показників діяльності, обсягів бюджетних призначень або інших обставин, передбачених законодавством.</w:t>
      </w: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0" w:lineRule="auto"/>
        <w:ind w:firstLine="900"/>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62">
      <w:pPr>
        <w:numPr>
          <w:ilvl w:val="0"/>
          <w:numId w:val="2"/>
        </w:numPr>
        <w:pBdr>
          <w:top w:space="0" w:sz="0" w:val="nil"/>
          <w:left w:space="0" w:sz="0" w:val="nil"/>
          <w:bottom w:space="0" w:sz="0" w:val="nil"/>
          <w:right w:space="0" w:sz="0" w:val="nil"/>
          <w:between w:space="0" w:sz="0" w:val="nil"/>
        </w:pBdr>
        <w:tabs>
          <w:tab w:val="left" w:leader="none" w:pos="90"/>
        </w:tabs>
        <w:spacing w:after="0" w:line="240" w:lineRule="auto"/>
        <w:ind w:left="0" w:firstLine="90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color w:val="000000"/>
          <w:sz w:val="28"/>
          <w:szCs w:val="28"/>
          <w:rtl w:val="0"/>
        </w:rPr>
        <w:t xml:space="preserve">У разі зміни бюджетних призначень засновника обсяги фінансування ЗПО підлягають відповідному коригуванню.</w:t>
      </w: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after="0" w:lineRule="auto"/>
        <w:ind w:left="720" w:firstLine="0"/>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tabs>
          <w:tab w:val="left" w:leader="none" w:pos="90"/>
        </w:tabs>
        <w:spacing w:after="0" w:line="240" w:lineRule="auto"/>
        <w:ind w:left="907" w:firstLine="0"/>
        <w:jc w:val="center"/>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____________</w:t>
      </w:r>
    </w:p>
    <w:sectPr>
      <w:headerReference r:id="rId7" w:type="default"/>
      <w:headerReference r:id="rId8" w:type="first"/>
      <w:footerReference r:id="rId9" w:type="first"/>
      <w:pgSz w:h="16838" w:w="11906" w:orient="portrait"/>
      <w:pgMar w:bottom="850" w:top="850" w:left="1417" w:right="85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pBdr>
        <w:top w:space="0" w:sz="0" w:val="nil"/>
        <w:left w:space="0" w:sz="0" w:val="nil"/>
        <w:bottom w:space="0" w:sz="0" w:val="nil"/>
        <w:right w:space="0" w:sz="0" w:val="nil"/>
        <w:between w:space="0" w:sz="0" w:val="nil"/>
      </w:pBdr>
      <w:tabs>
        <w:tab w:val="center" w:leader="none" w:pos="4819"/>
        <w:tab w:val="right" w:leader="none" w:pos="9639"/>
      </w:tabs>
      <w:spacing w:after="0" w:line="240" w:lineRule="auto"/>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tabs>
        <w:tab w:val="center" w:leader="none" w:pos="4819"/>
        <w:tab w:val="right" w:leader="none" w:pos="9639"/>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1"/>
      <w:numFmt w:val="bullet"/>
      <w:lvlText w:val="-"/>
      <w:lvlJc w:val="left"/>
      <w:pPr>
        <w:ind w:left="1260" w:hanging="360"/>
      </w:pPr>
      <w:rPr>
        <w:rFonts w:ascii="Times New Roman" w:cs="Times New Roman" w:eastAsia="Times New Roman" w:hAnsi="Times New Roman"/>
      </w:rPr>
    </w:lvl>
    <w:lvl w:ilvl="1">
      <w:start w:val="1"/>
      <w:numFmt w:val="bullet"/>
      <w:lvlText w:val="o"/>
      <w:lvlJc w:val="left"/>
      <w:pPr>
        <w:ind w:left="1980" w:hanging="360"/>
      </w:pPr>
      <w:rPr>
        <w:rFonts w:ascii="Courier New" w:cs="Courier New" w:eastAsia="Courier New" w:hAnsi="Courier New"/>
      </w:rPr>
    </w:lvl>
    <w:lvl w:ilvl="2">
      <w:start w:val="1"/>
      <w:numFmt w:val="bullet"/>
      <w:lvlText w:val="▪"/>
      <w:lvlJc w:val="left"/>
      <w:pPr>
        <w:ind w:left="2700" w:hanging="360"/>
      </w:pPr>
      <w:rPr>
        <w:rFonts w:ascii="Noto Sans Symbols" w:cs="Noto Sans Symbols" w:eastAsia="Noto Sans Symbols" w:hAnsi="Noto Sans Symbols"/>
      </w:rPr>
    </w:lvl>
    <w:lvl w:ilvl="3">
      <w:start w:val="1"/>
      <w:numFmt w:val="bullet"/>
      <w:lvlText w:val="●"/>
      <w:lvlJc w:val="left"/>
      <w:pPr>
        <w:ind w:left="3420" w:hanging="360"/>
      </w:pPr>
      <w:rPr>
        <w:rFonts w:ascii="Noto Sans Symbols" w:cs="Noto Sans Symbols" w:eastAsia="Noto Sans Symbols" w:hAnsi="Noto Sans Symbols"/>
      </w:rPr>
    </w:lvl>
    <w:lvl w:ilvl="4">
      <w:start w:val="1"/>
      <w:numFmt w:val="bullet"/>
      <w:lvlText w:val="o"/>
      <w:lvlJc w:val="left"/>
      <w:pPr>
        <w:ind w:left="4140" w:hanging="360"/>
      </w:pPr>
      <w:rPr>
        <w:rFonts w:ascii="Courier New" w:cs="Courier New" w:eastAsia="Courier New" w:hAnsi="Courier New"/>
      </w:rPr>
    </w:lvl>
    <w:lvl w:ilvl="5">
      <w:start w:val="1"/>
      <w:numFmt w:val="bullet"/>
      <w:lvlText w:val="▪"/>
      <w:lvlJc w:val="left"/>
      <w:pPr>
        <w:ind w:left="4860" w:hanging="360"/>
      </w:pPr>
      <w:rPr>
        <w:rFonts w:ascii="Noto Sans Symbols" w:cs="Noto Sans Symbols" w:eastAsia="Noto Sans Symbols" w:hAnsi="Noto Sans Symbols"/>
      </w:rPr>
    </w:lvl>
    <w:lvl w:ilvl="6">
      <w:start w:val="1"/>
      <w:numFmt w:val="bullet"/>
      <w:lvlText w:val="●"/>
      <w:lvlJc w:val="left"/>
      <w:pPr>
        <w:ind w:left="5580" w:hanging="360"/>
      </w:pPr>
      <w:rPr>
        <w:rFonts w:ascii="Noto Sans Symbols" w:cs="Noto Sans Symbols" w:eastAsia="Noto Sans Symbols" w:hAnsi="Noto Sans Symbols"/>
      </w:rPr>
    </w:lvl>
    <w:lvl w:ilvl="7">
      <w:start w:val="1"/>
      <w:numFmt w:val="bullet"/>
      <w:lvlText w:val="o"/>
      <w:lvlJc w:val="left"/>
      <w:pPr>
        <w:ind w:left="6300" w:hanging="360"/>
      </w:pPr>
      <w:rPr>
        <w:rFonts w:ascii="Courier New" w:cs="Courier New" w:eastAsia="Courier New" w:hAnsi="Courier New"/>
      </w:rPr>
    </w:lvl>
    <w:lvl w:ilvl="8">
      <w:start w:val="1"/>
      <w:numFmt w:val="bullet"/>
      <w:lvlText w:val="▪"/>
      <w:lvlJc w:val="left"/>
      <w:pPr>
        <w:ind w:left="702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b w:val="0"/>
        <w:bCs w:val="0"/>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1"/>
      <w:numFmt w:val="bullet"/>
      <w:lvlText w:val="-"/>
      <w:lvlJc w:val="left"/>
      <w:pPr>
        <w:ind w:left="1440" w:hanging="360"/>
      </w:pPr>
      <w:rPr>
        <w:rFonts w:ascii="Times New Roman" w:cs="Times New Roman" w:eastAsia="Times New Roman" w:hAnsi="Times New Roman"/>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uk"/>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DMIvDMP9VFJAP+O3xDyEv/A88g==">CgMxLjA4AGpECjVzdWdnZXN0SWRJbXBvcnQzYWExZGU1My1jODM0LTQ3MjYtOGUzMS0wNzI1OGIxMGM4ODVfMRILTWF4IEJ1cmxha2FyITF4MTVRR3hRTDliemZGbVhxSm9GaW5temNtdFpPcUtYSg==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