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72B5D" w:rsidRDefault="00D72B5D" w:rsidP="00D72B5D">
      <w:pPr>
        <w:widowControl w:val="0"/>
        <w:pBdr>
          <w:top w:val="nil"/>
          <w:left w:val="nil"/>
          <w:bottom w:val="nil"/>
          <w:right w:val="nil"/>
          <w:between w:val="nil"/>
        </w:pBdr>
        <w:spacing w:after="0" w:line="240" w:lineRule="auto"/>
        <w:ind w:firstLine="567"/>
        <w:jc w:val="right"/>
        <w:rPr>
          <w:rFonts w:ascii="Times New Roman" w:eastAsia="Arial" w:hAnsi="Times New Roman" w:cs="Times New Roman"/>
          <w:lang w:val="uk-UA"/>
        </w:rPr>
      </w:pPr>
    </w:p>
    <w:p w:rsidR="001A7F05" w:rsidRPr="00D72B5D" w:rsidRDefault="00D72B5D" w:rsidP="00D72B5D">
      <w:pPr>
        <w:widowControl w:val="0"/>
        <w:pBdr>
          <w:top w:val="nil"/>
          <w:left w:val="nil"/>
          <w:bottom w:val="nil"/>
          <w:right w:val="nil"/>
          <w:between w:val="nil"/>
        </w:pBdr>
        <w:spacing w:after="0" w:line="240" w:lineRule="auto"/>
        <w:ind w:firstLine="567"/>
        <w:jc w:val="right"/>
        <w:rPr>
          <w:rFonts w:ascii="Times New Roman" w:eastAsia="Arial" w:hAnsi="Times New Roman" w:cs="Times New Roman"/>
          <w:lang w:val="uk-UA"/>
        </w:rPr>
      </w:pPr>
      <w:r w:rsidRPr="00D72B5D">
        <w:rPr>
          <w:rFonts w:ascii="Times New Roman" w:eastAsia="Arial" w:hAnsi="Times New Roman" w:cs="Times New Roman"/>
          <w:lang w:val="uk-UA"/>
        </w:rPr>
        <w:t>ПРОЄКТ</w:t>
      </w:r>
    </w:p>
    <w:tbl>
      <w:tblPr>
        <w:tblStyle w:val="a5"/>
        <w:tblW w:w="9638" w:type="dxa"/>
        <w:tblInd w:w="0" w:type="dxa"/>
        <w:tblLayout w:type="fixed"/>
        <w:tblLook w:val="0400" w:firstRow="0" w:lastRow="0" w:firstColumn="0" w:lastColumn="0" w:noHBand="0" w:noVBand="1"/>
      </w:tblPr>
      <w:tblGrid>
        <w:gridCol w:w="9638"/>
      </w:tblGrid>
      <w:tr w:rsidR="001A7F05">
        <w:tc>
          <w:tcPr>
            <w:tcW w:w="9638" w:type="dxa"/>
          </w:tcPr>
          <w:p w:rsidR="001A7F05" w:rsidRDefault="001A7F05">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tc>
      </w:tr>
      <w:tr w:rsidR="001A7F05">
        <w:tc>
          <w:tcPr>
            <w:tcW w:w="9638" w:type="dxa"/>
          </w:tcPr>
          <w:p w:rsidR="001A7F05" w:rsidRDefault="001A7F05">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lang w:val="uk-UA"/>
              </w:rPr>
            </w:pPr>
          </w:p>
          <w:p w:rsidR="00D72B5D" w:rsidRPr="00D72B5D" w:rsidRDefault="00D72B5D">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lang w:val="uk-UA"/>
              </w:rPr>
            </w:pPr>
          </w:p>
          <w:p w:rsidR="001A7F05" w:rsidRPr="00D72B5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36"/>
                <w:szCs w:val="36"/>
              </w:rPr>
            </w:pPr>
            <w:r w:rsidRPr="00D72B5D">
              <w:rPr>
                <w:rFonts w:ascii="Times New Roman" w:eastAsia="Times New Roman" w:hAnsi="Times New Roman" w:cs="Times New Roman"/>
                <w:color w:val="000000"/>
                <w:sz w:val="32"/>
                <w:szCs w:val="32"/>
              </w:rPr>
              <w:t>КАБІНЕТ МІНІСТРІВ УКРАЇНИ</w:t>
            </w:r>
            <w:r w:rsidRPr="00D72B5D">
              <w:rPr>
                <w:rFonts w:ascii="Times New Roman" w:eastAsia="Times New Roman" w:hAnsi="Times New Roman" w:cs="Times New Roman"/>
                <w:color w:val="000000"/>
              </w:rPr>
              <w:br/>
            </w:r>
          </w:p>
          <w:p w:rsidR="001A7F05" w:rsidRPr="00D72B5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D72B5D">
              <w:rPr>
                <w:rFonts w:ascii="Times New Roman" w:eastAsia="Times New Roman" w:hAnsi="Times New Roman" w:cs="Times New Roman"/>
                <w:color w:val="000000"/>
                <w:sz w:val="36"/>
                <w:szCs w:val="36"/>
              </w:rPr>
              <w:t>ПОСТАНОВА</w:t>
            </w:r>
          </w:p>
        </w:tc>
      </w:tr>
      <w:tr w:rsidR="001A7F05">
        <w:tc>
          <w:tcPr>
            <w:tcW w:w="9638" w:type="dxa"/>
          </w:tcPr>
          <w:p w:rsidR="001A7F05" w:rsidRPr="00D72B5D" w:rsidRDefault="001A7F05">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rsidR="001A7F05" w:rsidRPr="00D72B5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D72B5D">
              <w:rPr>
                <w:rFonts w:ascii="Times New Roman" w:eastAsia="Times New Roman" w:hAnsi="Times New Roman" w:cs="Times New Roman"/>
                <w:color w:val="000000"/>
              </w:rPr>
              <w:t>від __ ____________ 2026 р. № _____</w:t>
            </w:r>
            <w:r w:rsidRPr="00D72B5D">
              <w:rPr>
                <w:rFonts w:ascii="Times New Roman" w:eastAsia="Times New Roman" w:hAnsi="Times New Roman" w:cs="Times New Roman"/>
                <w:color w:val="000000"/>
              </w:rPr>
              <w:br/>
            </w:r>
          </w:p>
          <w:p w:rsidR="001A7F05" w:rsidRPr="00D72B5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D72B5D">
              <w:rPr>
                <w:rFonts w:ascii="Times New Roman" w:eastAsia="Times New Roman" w:hAnsi="Times New Roman" w:cs="Times New Roman"/>
                <w:color w:val="000000"/>
              </w:rPr>
              <w:t>Київ</w:t>
            </w:r>
          </w:p>
        </w:tc>
      </w:tr>
    </w:tbl>
    <w:p w:rsidR="001A7F05" w:rsidRDefault="001A7F05">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b/>
          <w:bCs/>
          <w:color w:val="333333"/>
          <w:sz w:val="32"/>
          <w:szCs w:val="32"/>
        </w:rPr>
      </w:pPr>
    </w:p>
    <w:p w:rsidR="001A7F05" w:rsidRDefault="00000000">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Про затвердження Порядку формування та затвердження узагальненого планового обсягу прийому до закладів професійної освіти, що фінансуються з  місцевих бюджетів, для здобуття професійної освіти, професійних кваліфікацій</w:t>
      </w:r>
    </w:p>
    <w:p w:rsidR="001A7F05" w:rsidRDefault="001A7F05">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333333"/>
        </w:rPr>
      </w:pPr>
    </w:p>
    <w:p w:rsidR="001A7F05" w:rsidRDefault="001A7F05">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333333"/>
        </w:rPr>
      </w:pPr>
    </w:p>
    <w:p w:rsidR="001A7F05"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b/>
          <w:bCs/>
          <w:color w:val="333333"/>
          <w:sz w:val="28"/>
          <w:szCs w:val="28"/>
        </w:rPr>
      </w:pPr>
      <w:r>
        <w:rPr>
          <w:rFonts w:ascii="Times New Roman" w:eastAsia="Times New Roman" w:hAnsi="Times New Roman" w:cs="Times New Roman"/>
          <w:color w:val="333333"/>
          <w:sz w:val="28"/>
          <w:szCs w:val="28"/>
        </w:rPr>
        <w:t xml:space="preserve">Відповідно до абзацу третього частини третьої та абзацу п’ятого частини четвертої статті 59 Закону України “Про професійну освіту” Кабінет Міністрів України </w:t>
      </w:r>
      <w:r>
        <w:rPr>
          <w:rFonts w:ascii="Times New Roman" w:eastAsia="Times New Roman" w:hAnsi="Times New Roman" w:cs="Times New Roman"/>
          <w:b/>
          <w:bCs/>
          <w:color w:val="333333"/>
          <w:sz w:val="28"/>
          <w:szCs w:val="28"/>
        </w:rPr>
        <w:t>постановляє:</w:t>
      </w:r>
    </w:p>
    <w:p w:rsidR="001A7F05" w:rsidRDefault="001A7F05">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rPr>
      </w:pPr>
    </w:p>
    <w:p w:rsidR="001A7F05"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 Затвердити Порядок формування та затвердження узагальненого планового обсягу прийому до закладів професійної освіти, що фінансуються з місцевих бюджетів, для здобуття професійної освіти, професійних кваліфікацій, що додається.</w:t>
      </w:r>
    </w:p>
    <w:p w:rsidR="001A7F05" w:rsidRDefault="001A7F05">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rPr>
      </w:pPr>
    </w:p>
    <w:p w:rsidR="001A7F05"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Міністерству освіти і науки України, іншим органам виконавчої влади та органам місцевого самоврядування протягом трьох місяців з дня набрання чинності цією постановою привести свої нормативно-правові акти у відповідність із цією постановою.</w:t>
      </w:r>
    </w:p>
    <w:p w:rsidR="001A7F05" w:rsidRDefault="001A7F05">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rPr>
      </w:pPr>
    </w:p>
    <w:p w:rsidR="001A7F05"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 Установити, що в кожному регіоні узагальнений плановий обсяг прийому до закладів професійної освіти щорічно формується та затверджується відповідно до Порядку, затвердженому пунктом 1 цієї постанови, у такому відсотковому співвідношенні до загальної кількості випускників, які у відповідному навчальному році здобудуть базову середню освіту та повну загальну середню освіту:</w:t>
      </w:r>
    </w:p>
    <w:p w:rsidR="001A7F05"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з 1 січня 2026 року – не менше 13 відсотків;</w:t>
      </w:r>
    </w:p>
    <w:p w:rsidR="001A7F05"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з 1 січня 2027 року – не менше 16 відсотків;</w:t>
      </w:r>
    </w:p>
    <w:p w:rsidR="001A7F05"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з 1 січня 2028 року – не менше 19 відсотків;</w:t>
      </w:r>
    </w:p>
    <w:p w:rsidR="001A7F05"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з 1 січня 2029 року – не менше 22 відсотків;</w:t>
      </w:r>
    </w:p>
    <w:p w:rsidR="001A7F05"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з 1 січня 2030 року – не менше 25 відсотків.</w:t>
      </w:r>
    </w:p>
    <w:p w:rsidR="001A7F05" w:rsidRDefault="001A7F05">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rPr>
      </w:pPr>
    </w:p>
    <w:p w:rsidR="001A7F05"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4. Визнати такими, що втратили чинність, акти Кабінету Міністрів України згідно з переліком, що додається.</w:t>
      </w:r>
    </w:p>
    <w:p w:rsidR="001A7F05" w:rsidRDefault="001A7F05">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highlight w:val="yellow"/>
        </w:rPr>
      </w:pPr>
    </w:p>
    <w:p w:rsidR="001A7F05"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 Ця постанова набирає чинності з 01 вересня 2026 року.</w:t>
      </w:r>
    </w:p>
    <w:p w:rsidR="001A7F05" w:rsidRDefault="001A7F05">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rPr>
      </w:pPr>
    </w:p>
    <w:p w:rsidR="001A7F05" w:rsidRDefault="001A7F05">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lang w:val="uk-UA"/>
        </w:rPr>
      </w:pPr>
    </w:p>
    <w:p w:rsidR="00D72B5D" w:rsidRDefault="00D72B5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lang w:val="uk-UA"/>
        </w:rPr>
      </w:pPr>
    </w:p>
    <w:p w:rsidR="00D72B5D" w:rsidRPr="00D72B5D" w:rsidRDefault="00D72B5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333333"/>
          <w:sz w:val="28"/>
          <w:szCs w:val="28"/>
          <w:lang w:val="uk-UA"/>
        </w:rPr>
      </w:pPr>
    </w:p>
    <w:tbl>
      <w:tblPr>
        <w:tblStyle w:val="a6"/>
        <w:tblW w:w="9638" w:type="dxa"/>
        <w:tblInd w:w="0" w:type="dxa"/>
        <w:tblLayout w:type="fixed"/>
        <w:tblLook w:val="0400" w:firstRow="0" w:lastRow="0" w:firstColumn="0" w:lastColumn="0" w:noHBand="0" w:noVBand="1"/>
      </w:tblPr>
      <w:tblGrid>
        <w:gridCol w:w="3402"/>
        <w:gridCol w:w="6236"/>
      </w:tblGrid>
      <w:tr w:rsidR="001A7F05">
        <w:tc>
          <w:tcPr>
            <w:tcW w:w="3402" w:type="dxa"/>
          </w:tcPr>
          <w:p w:rsidR="001A7F0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Прем’єр-міністр України</w:t>
            </w:r>
          </w:p>
        </w:tc>
        <w:tc>
          <w:tcPr>
            <w:tcW w:w="6236" w:type="dxa"/>
          </w:tcPr>
          <w:p w:rsidR="001A7F05" w:rsidRDefault="00000000">
            <w:pPr>
              <w:pBdr>
                <w:top w:val="nil"/>
                <w:left w:val="nil"/>
                <w:bottom w:val="nil"/>
                <w:right w:val="nil"/>
                <w:between w:val="nil"/>
              </w:pBdr>
              <w:spacing w:after="0" w:line="240" w:lineRule="auto"/>
              <w:ind w:firstLine="567"/>
              <w:jc w:val="righ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Ю. СВИРИДЕНКО</w:t>
            </w:r>
          </w:p>
        </w:tc>
      </w:tr>
      <w:tr w:rsidR="001A7F05">
        <w:tc>
          <w:tcPr>
            <w:tcW w:w="3402" w:type="dxa"/>
          </w:tcPr>
          <w:p w:rsidR="001A7F05" w:rsidRDefault="001A7F0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tc>
        <w:tc>
          <w:tcPr>
            <w:tcW w:w="6236" w:type="dxa"/>
          </w:tcPr>
          <w:p w:rsidR="001A7F05" w:rsidRDefault="001A7F0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tc>
      </w:tr>
    </w:tbl>
    <w:p w:rsidR="001A7F05" w:rsidRDefault="00000000">
      <w:r>
        <w:br w:type="page"/>
      </w:r>
    </w:p>
    <w:tbl>
      <w:tblPr>
        <w:tblStyle w:val="a7"/>
        <w:tblW w:w="9638" w:type="dxa"/>
        <w:tblInd w:w="0" w:type="dxa"/>
        <w:tblLayout w:type="fixed"/>
        <w:tblLook w:val="0400" w:firstRow="0" w:lastRow="0" w:firstColumn="0" w:lastColumn="0" w:noHBand="0" w:noVBand="1"/>
      </w:tblPr>
      <w:tblGrid>
        <w:gridCol w:w="3855"/>
        <w:gridCol w:w="5783"/>
      </w:tblGrid>
      <w:tr w:rsidR="001A7F05" w:rsidRPr="00B317F6">
        <w:tc>
          <w:tcPr>
            <w:tcW w:w="3855" w:type="dxa"/>
          </w:tcPr>
          <w:p w:rsidR="001A7F05" w:rsidRPr="00B317F6" w:rsidRDefault="001A7F0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p>
        </w:tc>
        <w:tc>
          <w:tcPr>
            <w:tcW w:w="5783" w:type="dxa"/>
          </w:tcPr>
          <w:p w:rsidR="001A7F05" w:rsidRPr="00B317F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B317F6">
              <w:rPr>
                <w:rFonts w:ascii="Times New Roman" w:eastAsia="Times New Roman" w:hAnsi="Times New Roman" w:cs="Times New Roman"/>
                <w:color w:val="000000"/>
                <w:sz w:val="28"/>
                <w:szCs w:val="28"/>
              </w:rPr>
              <w:t>ЗАТВЕРДЖЕНО</w:t>
            </w:r>
            <w:r w:rsidRPr="00B317F6">
              <w:rPr>
                <w:rFonts w:ascii="Times New Roman" w:eastAsia="Times New Roman" w:hAnsi="Times New Roman" w:cs="Times New Roman"/>
                <w:color w:val="000000"/>
                <w:sz w:val="28"/>
                <w:szCs w:val="28"/>
              </w:rPr>
              <w:br/>
              <w:t>постановою Кабінету Міністрів України</w:t>
            </w:r>
            <w:r w:rsidRPr="00B317F6">
              <w:rPr>
                <w:rFonts w:ascii="Times New Roman" w:eastAsia="Times New Roman" w:hAnsi="Times New Roman" w:cs="Times New Roman"/>
                <w:color w:val="000000"/>
                <w:sz w:val="28"/>
                <w:szCs w:val="28"/>
              </w:rPr>
              <w:br/>
              <w:t>від __ ___________ 2026 р. № ______</w:t>
            </w:r>
          </w:p>
        </w:tc>
      </w:tr>
    </w:tbl>
    <w:p w:rsidR="001A7F05" w:rsidRPr="00B317F6" w:rsidRDefault="001A7F05">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333333"/>
          <w:sz w:val="32"/>
          <w:szCs w:val="32"/>
        </w:rPr>
      </w:pPr>
    </w:p>
    <w:p w:rsidR="001A7F05" w:rsidRDefault="001A7F05">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bCs/>
          <w:color w:val="333333"/>
          <w:sz w:val="28"/>
          <w:szCs w:val="28"/>
        </w:rPr>
      </w:pPr>
    </w:p>
    <w:p w:rsidR="001A7F05" w:rsidRDefault="00000000">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ПОРЯДОК</w:t>
      </w:r>
    </w:p>
    <w:p w:rsidR="001A7F05" w:rsidRDefault="00000000">
      <w:pPr>
        <w:pBdr>
          <w:top w:val="nil"/>
          <w:left w:val="nil"/>
          <w:bottom w:val="nil"/>
          <w:right w:val="nil"/>
          <w:between w:val="nil"/>
        </w:pBdr>
        <w:shd w:val="clear" w:color="auto" w:fill="FFFFFF"/>
        <w:spacing w:after="0" w:line="240" w:lineRule="auto"/>
        <w:jc w:val="center"/>
        <w:rPr>
          <w:rFonts w:ascii="Arial" w:eastAsia="Arial" w:hAnsi="Arial" w:cs="Arial"/>
          <w:color w:val="000000"/>
          <w:sz w:val="28"/>
          <w:szCs w:val="28"/>
        </w:rPr>
      </w:pPr>
      <w:bookmarkStart w:id="0" w:name="_heading=h.54keze57f4z5" w:colFirst="0" w:colLast="0"/>
      <w:bookmarkEnd w:id="0"/>
      <w:r>
        <w:rPr>
          <w:rFonts w:ascii="Times New Roman" w:eastAsia="Times New Roman" w:hAnsi="Times New Roman" w:cs="Times New Roman"/>
          <w:b/>
          <w:bCs/>
          <w:color w:val="333333"/>
          <w:sz w:val="28"/>
          <w:szCs w:val="28"/>
        </w:rPr>
        <w:t>формування та затвердження узагальненого планового обсягу прийому до закладів професійної освіти, що фінансуються з  місцевих бюджетів, для здобуття професійної освіти, професійних кваліфікацій</w:t>
      </w:r>
    </w:p>
    <w:p w:rsidR="001A7F05" w:rsidRDefault="001A7F05">
      <w:pPr>
        <w:spacing w:after="0" w:line="240" w:lineRule="auto"/>
        <w:ind w:firstLine="567"/>
        <w:jc w:val="both"/>
        <w:rPr>
          <w:rFonts w:ascii="Times New Roman" w:eastAsia="Times New Roman" w:hAnsi="Times New Roman" w:cs="Times New Roman"/>
          <w:b/>
          <w:bCs/>
          <w:sz w:val="28"/>
          <w:szCs w:val="28"/>
        </w:rPr>
      </w:pPr>
    </w:p>
    <w:p w:rsidR="001A7F05"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Цей Порядок визначає механізм формування та затвердження узагальненого планового обсягу прийому до закладів професійної освіти, а також процедуру  його коригування.</w:t>
      </w:r>
    </w:p>
    <w:p w:rsidR="001A7F05" w:rsidRDefault="001A7F05">
      <w:pPr>
        <w:spacing w:after="0" w:line="240" w:lineRule="auto"/>
        <w:ind w:firstLine="567"/>
        <w:jc w:val="both"/>
        <w:rPr>
          <w:rFonts w:ascii="Times New Roman" w:eastAsia="Times New Roman" w:hAnsi="Times New Roman" w:cs="Times New Roman"/>
          <w:sz w:val="28"/>
          <w:szCs w:val="28"/>
        </w:rPr>
      </w:pP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У цьому Порядку терміни вживаються в такому значенні:</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пропозиції щодо планового обсягу прийому</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документ закладу професійної освіти, що містить кількісні показники прийому осіб до відповідного закладу професійної освіти для здобуття ними професійної освіти, професійних кваліфікацій за кошти відповідного місцевого бюджету у плановому навчальному році;</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узагальнений плановий обсяг прийому до закладів професійної освіти </w:t>
      </w:r>
      <w:r w:rsidR="00B317F6">
        <w:rPr>
          <w:rFonts w:ascii="Times New Roman" w:eastAsia="Times New Roman" w:hAnsi="Times New Roman" w:cs="Times New Roman"/>
          <w:sz w:val="28"/>
          <w:szCs w:val="28"/>
          <w:lang w:val="uk-UA"/>
        </w:rPr>
        <w:br/>
      </w:r>
      <w:r>
        <w:rPr>
          <w:rFonts w:ascii="Times New Roman" w:eastAsia="Times New Roman" w:hAnsi="Times New Roman" w:cs="Times New Roman"/>
          <w:sz w:val="28"/>
          <w:szCs w:val="28"/>
        </w:rPr>
        <w:t>(далі – узагальнений плановий обсяг прийому) – документ уповноваженого органу з узагальнення пропозицій щодо планового обсягу прийому, що містить кількісні показники прийому осіб до закладів професійної освіти для здобуття ними професійної освіти, професійних кваліфікацій у плановому навчальному році;</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уповноважений орган з узагальнення пропозицій щодо планового обсягу прийому (далі – уповноважений орган) – обласна, Київська та Севастопольська міська державна адміністрація, Рада міністрів Автономної Республіки Крим, міська рада територіальної громади з адміністративним центром у місті - обласному центрі.</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терміном «заклад професійної освіти» у цьому Порядку розуміється будь-який заклад освіти, що має ліцензію на провадження освітньої діяльності у сфері професійної освіти та подає пропозиції щодо планового обсягу прийому.</w:t>
      </w:r>
    </w:p>
    <w:p w:rsidR="001A7F05"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Інші терміни вживаються у значенні, наведеному у Бюджетному кодексі України, законах України </w:t>
      </w:r>
      <w:r w:rsidR="00B317F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Про освіту</w:t>
      </w:r>
      <w:r w:rsidR="00B317F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00B317F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Про професійну освіту</w:t>
      </w:r>
      <w:r w:rsidR="00B317F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та інших нормативно-правових актах.</w:t>
      </w:r>
    </w:p>
    <w:p w:rsidR="001A7F05" w:rsidRDefault="001A7F05">
      <w:pPr>
        <w:spacing w:after="0" w:line="240" w:lineRule="auto"/>
        <w:ind w:firstLine="567"/>
        <w:jc w:val="both"/>
        <w:rPr>
          <w:rFonts w:ascii="Times New Roman" w:eastAsia="Times New Roman" w:hAnsi="Times New Roman" w:cs="Times New Roman"/>
          <w:sz w:val="28"/>
          <w:szCs w:val="28"/>
        </w:rPr>
      </w:pPr>
    </w:p>
    <w:p w:rsidR="001A7F05"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Узагальнений плановий обсяг прийому формується уповноваженим органом на основі пропозицій наглядових рад закладів професійної освіти щодо планового обсягу прийому, наданих відповідними закладами професійної освіти. </w:t>
      </w:r>
    </w:p>
    <w:p w:rsidR="001A7F05" w:rsidRDefault="001A7F05">
      <w:pPr>
        <w:spacing w:after="0" w:line="240" w:lineRule="auto"/>
        <w:ind w:firstLine="567"/>
        <w:jc w:val="both"/>
        <w:rPr>
          <w:rFonts w:ascii="Times New Roman" w:eastAsia="Times New Roman" w:hAnsi="Times New Roman" w:cs="Times New Roman"/>
          <w:sz w:val="28"/>
          <w:szCs w:val="28"/>
        </w:rPr>
      </w:pP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Уповноважений орган щорічно до 15 вересня року, що передує плановому навчальному року, оприлюднює на своєму офіційному </w:t>
      </w:r>
      <w:proofErr w:type="spellStart"/>
      <w:r>
        <w:rPr>
          <w:rFonts w:ascii="Times New Roman" w:eastAsia="Times New Roman" w:hAnsi="Times New Roman" w:cs="Times New Roman"/>
          <w:sz w:val="28"/>
          <w:szCs w:val="28"/>
        </w:rPr>
        <w:t>вебсайті</w:t>
      </w:r>
      <w:proofErr w:type="spellEnd"/>
      <w:r>
        <w:rPr>
          <w:rFonts w:ascii="Times New Roman" w:eastAsia="Times New Roman" w:hAnsi="Times New Roman" w:cs="Times New Roman"/>
          <w:sz w:val="28"/>
          <w:szCs w:val="28"/>
        </w:rPr>
        <w:t>:</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проведених моніторингових досліджень, аналізу потреб регіонального ринку праці та складений середньостроковий прогноз таких потреб;</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плановий обсяг прийому до закладів професійної освіти у наступному навчальному році, який не може бути меншим, ніж визначений Законом України «Про професійну освіту», та включає орієнтовний перелік професійних кваліфікацій і кількість спеціалістів за кожною з них;</w:t>
      </w:r>
    </w:p>
    <w:p w:rsidR="001A7F05"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орієнтовний обсяг фінансування освітньої діяльності закладів професійної освіти з підготовки відповідних фахівців.</w:t>
      </w:r>
    </w:p>
    <w:p w:rsidR="001A7F05" w:rsidRDefault="001A7F05">
      <w:pPr>
        <w:spacing w:after="0" w:line="240" w:lineRule="auto"/>
        <w:ind w:firstLine="567"/>
        <w:jc w:val="both"/>
        <w:rPr>
          <w:rFonts w:ascii="Times New Roman" w:eastAsia="Times New Roman" w:hAnsi="Times New Roman" w:cs="Times New Roman"/>
          <w:sz w:val="28"/>
          <w:szCs w:val="28"/>
        </w:rPr>
      </w:pP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 урахуванням зазначеної у пункті 4 цього Порядку інформації наглядова рада формує, а заклад професійної освіти подає пропозиції до планового обсягу прийому за формою згідно з додатком 1 до цього Порядку.</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 і строки формування та затвердження наглядовою радою закладу професійної освіти пропозицій щодо планового обсягу прийому затверджуються керівником закладу професійної освіти  за погодженням з наглядовою радою.</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закладах професійної освіти, у яких наглядова рада може не створюватися відповідно до частини першої статті 42 Закону України </w:t>
      </w:r>
      <w:r w:rsidR="00B317F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Про професійну освіту</w:t>
      </w:r>
      <w:r w:rsidR="00B317F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пропозиції щодо планового обсягу затверджуються керівником закладу професійної освіти за погодженням з відповідним органом управління освітою.</w:t>
      </w:r>
    </w:p>
    <w:p w:rsidR="001A7F05"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1 грудня року, що передує плановому навчальному року, пропозиції щодо планового обсягу прийому надсилаються уповноваженому органу.</w:t>
      </w:r>
    </w:p>
    <w:p w:rsidR="001A7F05" w:rsidRDefault="001A7F05">
      <w:pPr>
        <w:spacing w:after="0" w:line="240" w:lineRule="auto"/>
        <w:ind w:firstLine="567"/>
        <w:jc w:val="both"/>
        <w:rPr>
          <w:rFonts w:ascii="Times New Roman" w:eastAsia="Times New Roman" w:hAnsi="Times New Roman" w:cs="Times New Roman"/>
          <w:sz w:val="28"/>
          <w:szCs w:val="28"/>
        </w:rPr>
      </w:pPr>
    </w:p>
    <w:p w:rsidR="001A7F05"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Уповноважений орган має право запитувати у закладів професійної освіти додаткову інформацію та/або документи, необхідні для формування узагальненого планового обсягу прийому, і проводити консультації з наглядовими радами відповідних закладів професійної освіти. Заклади професійної освіти зобов’язані надати уповноваженому органу запитувану інформацію та/або документи протягом десяти календарних днів з дня отримання відповідного запиту.</w:t>
      </w:r>
    </w:p>
    <w:p w:rsidR="001A7F05" w:rsidRDefault="001A7F05">
      <w:pPr>
        <w:spacing w:after="0" w:line="240" w:lineRule="auto"/>
        <w:ind w:firstLine="567"/>
        <w:jc w:val="both"/>
        <w:rPr>
          <w:rFonts w:ascii="Times New Roman" w:eastAsia="Times New Roman" w:hAnsi="Times New Roman" w:cs="Times New Roman"/>
          <w:sz w:val="28"/>
          <w:szCs w:val="28"/>
        </w:rPr>
      </w:pPr>
    </w:p>
    <w:p w:rsidR="001A7F05"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 Уповноважений орган узагальнює подані закладами професійної освіти пропозиції щодо планового обсягу прийому та до 1 лютого року, що передує плановому навчальному року, формує проект узагальненого планового обсягу прийому.</w:t>
      </w:r>
    </w:p>
    <w:p w:rsidR="001A7F05" w:rsidRDefault="001A7F05">
      <w:pPr>
        <w:spacing w:after="0" w:line="240" w:lineRule="auto"/>
        <w:ind w:firstLine="567"/>
        <w:jc w:val="both"/>
        <w:rPr>
          <w:rFonts w:ascii="Times New Roman" w:eastAsia="Times New Roman" w:hAnsi="Times New Roman" w:cs="Times New Roman"/>
          <w:sz w:val="28"/>
          <w:szCs w:val="28"/>
        </w:rPr>
      </w:pP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Якщо узагальнений плановий обсяг прийому не перевищує відсоток загальної кількості випускників, які у відповідному навчальному році здобудуть базову середню освіту та повну загальну середню освіту, визначений пунктом 3 цієї постанови, уповноважений орган може скоригувати зазначений узагальнений плановий обсяг прийому не більше ніж на 20 відсотків лише за таких умов:</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узагальнений плановий обсяг прийому містить професійні кваліфікації, не передбачені в середньостроковому прогнозі потреб регіонального ринку праці;</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узагальнений плановий обсяг прийому не містить професійні кваліфікації, передбачені в середньостроковому прогнозі потреб регіонального ринку праці, або обсяг їх прийому сформовано в недостатній кількості;</w:t>
      </w:r>
    </w:p>
    <w:p w:rsidR="001A7F05"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якщо плановий обсяг прийому за конкретною професійною кваліфікацією перевищує потребу регіонального ринку праці, яка визначена у середньостроковому прогнозі таких потреб (у разі дублювання підготовки відповідних спеціалістів у різних закладах професійної освіти відповідне скорочення відбувається в тих закладах професійної освіти, в яких менший відсоток працевлаштування випускників за здобутою ними відповідною професійною кваліфікацією).</w:t>
      </w:r>
    </w:p>
    <w:p w:rsidR="001A7F05" w:rsidRDefault="001A7F05">
      <w:pPr>
        <w:spacing w:after="0" w:line="240" w:lineRule="auto"/>
        <w:ind w:firstLine="567"/>
        <w:jc w:val="both"/>
        <w:rPr>
          <w:rFonts w:ascii="Times New Roman" w:eastAsia="Times New Roman" w:hAnsi="Times New Roman" w:cs="Times New Roman"/>
          <w:sz w:val="28"/>
          <w:szCs w:val="28"/>
        </w:rPr>
      </w:pP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За наявності умов, визначених підпунктами 1 і 3 пункту 8 цього Порядку, уповноважений орган може зменшити з урахуванням правил, визначених пунктами 10 і 11 цього Порядку, надані закладами професійної освіти пропозиції.</w:t>
      </w:r>
    </w:p>
    <w:p w:rsidR="001A7F05" w:rsidRDefault="00000000" w:rsidP="00B317F6">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За наявності умов, визначених підпунктом 2 пункту 8 цього Порядку, уповноважений орган може сформувати замовлення на підготовку відповідної кількості спеціалістів за тими професійними кваліфікаціями, які відсутні у проекті узагальненого планового обсягу прийому або обсяг за якими сформовано в недостатній кількості. У такому разі замовлення розміщується в закладах професійної освіти відповідно до порядку закупівлі освітніх послуг у сфері професійної освіти за кошти державного чи місцевого бюджету.</w:t>
      </w:r>
    </w:p>
    <w:p w:rsidR="00B317F6" w:rsidRPr="00B317F6" w:rsidRDefault="00B317F6" w:rsidP="00B317F6">
      <w:pPr>
        <w:spacing w:after="0" w:line="240" w:lineRule="auto"/>
        <w:ind w:firstLine="567"/>
        <w:jc w:val="both"/>
        <w:rPr>
          <w:rFonts w:ascii="Times New Roman" w:eastAsia="Times New Roman" w:hAnsi="Times New Roman" w:cs="Times New Roman"/>
          <w:color w:val="333333"/>
          <w:lang w:val="uk-UA"/>
        </w:rPr>
      </w:pP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Уповноважений орган може зменшити запропоновані закладом професійної освіти пропозиції за конкретною професійною кваліфікацією у разі:</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започаткування підготовки більш ніж за однією новою професійною кваліфікацією;</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збільшення плану обсягу підготовки за професійною кваліфікацією більш ніж на одну групу, порівняно з минулорічним набором;</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збільшення плану обсягу підготовки за професійною кваліфікацією, за якою невиконання планового обсягу прийому в попередньому навчальному році перевищило 20 </w:t>
      </w:r>
      <w:r w:rsidR="00B317F6">
        <w:rPr>
          <w:rFonts w:ascii="Times New Roman" w:eastAsia="Times New Roman" w:hAnsi="Times New Roman" w:cs="Times New Roman"/>
          <w:sz w:val="28"/>
          <w:szCs w:val="28"/>
          <w:lang w:val="uk-UA"/>
        </w:rPr>
        <w:t>відсотків</w:t>
      </w:r>
      <w:r>
        <w:rPr>
          <w:rFonts w:ascii="Times New Roman" w:eastAsia="Times New Roman" w:hAnsi="Times New Roman" w:cs="Times New Roman"/>
          <w:sz w:val="28"/>
          <w:szCs w:val="28"/>
        </w:rPr>
        <w:t>;</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започаткування підготовки за новою професійною кваліфікацією, яка відсутня в середньостроковому прогнозі потреб регіонального ринку праці;</w:t>
      </w:r>
    </w:p>
    <w:p w:rsidR="001A7F05"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надання закладом професійної освіти будь-якої завідомо недостовірної інформації.</w:t>
      </w:r>
    </w:p>
    <w:p w:rsidR="001A7F05" w:rsidRDefault="001A7F05">
      <w:pPr>
        <w:spacing w:after="0" w:line="240" w:lineRule="auto"/>
        <w:ind w:firstLine="567"/>
        <w:jc w:val="both"/>
        <w:rPr>
          <w:rFonts w:ascii="Times New Roman" w:eastAsia="Times New Roman" w:hAnsi="Times New Roman" w:cs="Times New Roman"/>
          <w:sz w:val="28"/>
          <w:szCs w:val="28"/>
        </w:rPr>
      </w:pP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Уповноважений орган не може зменшити запропоновані закладом професійної освіти пропозиції за конкретною професійною кваліфікацією за наявності однієї з таких умов:</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якщо заклад професійної освіти в минулому році виконав обсяги замовлення за цією професійною кваліфікацією більш ніж на 90 </w:t>
      </w:r>
      <w:r w:rsidR="00B317F6">
        <w:rPr>
          <w:rFonts w:ascii="Times New Roman" w:eastAsia="Times New Roman" w:hAnsi="Times New Roman" w:cs="Times New Roman"/>
          <w:sz w:val="28"/>
          <w:szCs w:val="28"/>
          <w:lang w:val="uk-UA"/>
        </w:rPr>
        <w:t>відсотків</w:t>
      </w:r>
      <w:r>
        <w:rPr>
          <w:rFonts w:ascii="Times New Roman" w:eastAsia="Times New Roman" w:hAnsi="Times New Roman" w:cs="Times New Roman"/>
          <w:sz w:val="28"/>
          <w:szCs w:val="28"/>
        </w:rPr>
        <w:t xml:space="preserve"> від планового обсягу прийому;</w:t>
      </w:r>
    </w:p>
    <w:p w:rsidR="001A7F05" w:rsidRDefault="00000000" w:rsidP="00B317F6">
      <w:pPr>
        <w:spacing w:after="120" w:line="240" w:lineRule="auto"/>
        <w:ind w:firstLine="567"/>
        <w:jc w:val="both"/>
        <w:rPr>
          <w:rFonts w:ascii="Times New Roman" w:eastAsia="Times New Roman" w:hAnsi="Times New Roman" w:cs="Times New Roman"/>
          <w:sz w:val="28"/>
          <w:szCs w:val="28"/>
        </w:rPr>
      </w:pPr>
      <w:bookmarkStart w:id="1" w:name="_heading=h.hegv6tx5tyz" w:colFirst="0" w:colLast="0"/>
      <w:bookmarkEnd w:id="1"/>
      <w:r>
        <w:rPr>
          <w:rFonts w:ascii="Times New Roman" w:eastAsia="Times New Roman" w:hAnsi="Times New Roman" w:cs="Times New Roman"/>
          <w:sz w:val="28"/>
          <w:szCs w:val="28"/>
        </w:rPr>
        <w:t>2) якщо здобуття професійної освіти за цією професійною кваліфікацією буде організоване за дуальною формою здобуття професійної освіти відповідно до затвердженої освітньою програмою, погодженою наглядовою радою закладу професійної освіти, та укладеного договору з відповідним суб’єктом господарювання;</w:t>
      </w:r>
    </w:p>
    <w:p w:rsidR="001A7F05" w:rsidRDefault="00000000" w:rsidP="00B317F6">
      <w:pPr>
        <w:spacing w:after="120" w:line="240" w:lineRule="auto"/>
        <w:ind w:firstLine="567"/>
        <w:jc w:val="both"/>
        <w:rPr>
          <w:rFonts w:ascii="Times New Roman" w:eastAsia="Times New Roman" w:hAnsi="Times New Roman" w:cs="Times New Roman"/>
          <w:sz w:val="28"/>
          <w:szCs w:val="28"/>
        </w:rPr>
      </w:pPr>
      <w:bookmarkStart w:id="2" w:name="_heading=h.gnox34efhi1t" w:colFirst="0" w:colLast="0"/>
      <w:bookmarkEnd w:id="2"/>
      <w:r>
        <w:rPr>
          <w:rFonts w:ascii="Times New Roman" w:eastAsia="Times New Roman" w:hAnsi="Times New Roman" w:cs="Times New Roman"/>
          <w:sz w:val="28"/>
          <w:szCs w:val="28"/>
        </w:rPr>
        <w:t>3) якщо за даними останнього опублікованого МОН моніторингу працевлаштування випускників закладу професійної освіти за здобутою ними відповідною професійною кваліфікацією перевищує 70 відсотків від загального обсягу випускників відповідного року, які здобули цю професійну кваліфікацію;</w:t>
      </w:r>
    </w:p>
    <w:p w:rsidR="001A7F05"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якщо ця професійна кваліфікація належить до професій загальнодержавного значення, перелік яких затверджений постановою Кабінету Міністрів України від 16 листопада 2016 р. № 818 (за наявності однієї з умов, визначених підпунктами 1-3 цього пункту).</w:t>
      </w:r>
    </w:p>
    <w:p w:rsidR="001A7F05" w:rsidRDefault="001A7F05">
      <w:pPr>
        <w:spacing w:after="0" w:line="240" w:lineRule="auto"/>
        <w:ind w:firstLine="567"/>
        <w:jc w:val="both"/>
        <w:rPr>
          <w:rFonts w:ascii="Times New Roman" w:eastAsia="Times New Roman" w:hAnsi="Times New Roman" w:cs="Times New Roman"/>
          <w:sz w:val="28"/>
          <w:szCs w:val="28"/>
        </w:rPr>
      </w:pPr>
    </w:p>
    <w:p w:rsidR="001A7F05" w:rsidRPr="00B317F6" w:rsidRDefault="00000000" w:rsidP="00B317F6">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12. Узагальнений плановий обсяг прийому, що перевищує визначений пунктом 3 цієї постанови відсоток загальної кількості випускників, які у відповідному навчальному році здобудуть базову середню освіту та повну загальну середню освіту,  може бути скоригований уповноваженим органом з урахуванням правил, визначених пунктами 8-11 цього Порядку, з метою приведення його у відповідність до пункту 3 цієї постанови.</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13. Уповноважений орган може відступити  від умов  коригування узагальненого планового обсягу прийому, визначених цим Порядком, і сформувати, затвердити та оприлюднити власний порядок коригування узагальненого планового обсягу прийому, що має включати зокрема, такі параметри:</w:t>
      </w:r>
    </w:p>
    <w:p w:rsidR="001A7F05" w:rsidRDefault="00000000" w:rsidP="00B317F6">
      <w:pPr>
        <w:spacing w:after="120" w:line="240" w:lineRule="auto"/>
        <w:ind w:firstLine="567"/>
        <w:jc w:val="both"/>
        <w:rPr>
          <w:rFonts w:ascii="Times New Roman" w:eastAsia="Times New Roman" w:hAnsi="Times New Roman" w:cs="Times New Roman"/>
          <w:sz w:val="28"/>
          <w:szCs w:val="28"/>
        </w:rPr>
      </w:pPr>
      <w:bookmarkStart w:id="3" w:name="_heading=h.41phc1x9t6c2" w:colFirst="0" w:colLast="0"/>
      <w:bookmarkEnd w:id="3"/>
      <w:r>
        <w:rPr>
          <w:rFonts w:ascii="Times New Roman" w:eastAsia="Times New Roman" w:hAnsi="Times New Roman" w:cs="Times New Roman"/>
          <w:sz w:val="28"/>
          <w:szCs w:val="28"/>
        </w:rPr>
        <w:t>відповідність пропозицій прогнозним показникам потреб регіонального ринку праці;</w:t>
      </w:r>
    </w:p>
    <w:p w:rsidR="001A7F05" w:rsidRDefault="00000000" w:rsidP="00B317F6">
      <w:pPr>
        <w:spacing w:after="120" w:line="240" w:lineRule="auto"/>
        <w:ind w:firstLine="567"/>
        <w:jc w:val="both"/>
        <w:rPr>
          <w:rFonts w:ascii="Times New Roman" w:eastAsia="Times New Roman" w:hAnsi="Times New Roman" w:cs="Times New Roman"/>
          <w:sz w:val="28"/>
          <w:szCs w:val="28"/>
        </w:rPr>
      </w:pPr>
      <w:bookmarkStart w:id="4" w:name="_heading=h.fawxzft1vyjw" w:colFirst="0" w:colLast="0"/>
      <w:bookmarkEnd w:id="4"/>
      <w:r>
        <w:rPr>
          <w:rFonts w:ascii="Times New Roman" w:eastAsia="Times New Roman" w:hAnsi="Times New Roman" w:cs="Times New Roman"/>
          <w:sz w:val="28"/>
          <w:szCs w:val="28"/>
        </w:rPr>
        <w:t>відповідність поданих пропозиції до планового обсягу прийому пріоритетності професійних кваліфікацій;</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відсоток виконання плану набору за попередній рік;</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відсоток випускників, яким професійні кваліфікації присвоєно кваліфікаційними центрами;</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відсоток працевлаштування випускників за здобутою професійною кваліфікацією;</w:t>
      </w:r>
    </w:p>
    <w:p w:rsidR="001A7F05" w:rsidRDefault="00000000" w:rsidP="00B317F6">
      <w:pPr>
        <w:spacing w:after="120" w:line="240" w:lineRule="auto"/>
        <w:ind w:firstLine="567"/>
        <w:jc w:val="both"/>
        <w:rPr>
          <w:rFonts w:ascii="Times New Roman" w:eastAsia="Times New Roman" w:hAnsi="Times New Roman" w:cs="Times New Roman"/>
          <w:sz w:val="28"/>
          <w:szCs w:val="28"/>
        </w:rPr>
      </w:pPr>
      <w:bookmarkStart w:id="5" w:name="_heading=h.pj100mojf6u" w:colFirst="0" w:colLast="0"/>
      <w:bookmarkEnd w:id="5"/>
      <w:r>
        <w:rPr>
          <w:rFonts w:ascii="Times New Roman" w:eastAsia="Times New Roman" w:hAnsi="Times New Roman" w:cs="Times New Roman"/>
          <w:sz w:val="28"/>
          <w:szCs w:val="28"/>
        </w:rPr>
        <w:t>кількість осіб, які у попередньому році успішно завершили навчання за короткостроковими програмами професійної підготовки/ перепідготовки/підвищення кваліфікації;</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гарантійних листів суб’єктів господарювання щодо забезпечення проходження практики та подальшого працевлаштування випускників;</w:t>
      </w: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базовий обсяг фінансування видатків на професійну освіту з відповідного місцевого бюджету;</w:t>
      </w:r>
    </w:p>
    <w:p w:rsidR="001A7F05"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інші об’єктивні кількісні параметри.</w:t>
      </w:r>
    </w:p>
    <w:p w:rsidR="001A7F05" w:rsidRDefault="001A7F05">
      <w:pPr>
        <w:spacing w:after="0" w:line="240" w:lineRule="auto"/>
        <w:ind w:firstLine="567"/>
        <w:jc w:val="both"/>
        <w:rPr>
          <w:rFonts w:ascii="Times New Roman" w:eastAsia="Times New Roman" w:hAnsi="Times New Roman" w:cs="Times New Roman"/>
          <w:sz w:val="28"/>
          <w:szCs w:val="28"/>
        </w:rPr>
      </w:pPr>
    </w:p>
    <w:p w:rsidR="001A7F05" w:rsidRDefault="00000000" w:rsidP="00B317F6">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Уповноважений орган, за потреби, надсилає проект узагальненого планового обсягу прийому разом із відповідними матеріалами на розгляд регіональної ради на будь-якому етапі його формування  та/або коригування.</w:t>
      </w:r>
    </w:p>
    <w:p w:rsidR="001A7F05" w:rsidRDefault="00000000" w:rsidP="00B317F6">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Регіональна рада розглядає проект узагальненого планового обсягу прийому та протягом одного місяця з дня його отримання подає уповноваженому органу  зауваження, рекомендації та пропозиції до нього.</w:t>
      </w:r>
    </w:p>
    <w:p w:rsidR="00B317F6" w:rsidRPr="00B317F6" w:rsidRDefault="00B317F6" w:rsidP="00B317F6">
      <w:pPr>
        <w:spacing w:after="0" w:line="240" w:lineRule="auto"/>
        <w:ind w:firstLine="567"/>
        <w:jc w:val="both"/>
        <w:rPr>
          <w:rFonts w:ascii="Times New Roman" w:eastAsia="Times New Roman" w:hAnsi="Times New Roman" w:cs="Times New Roman"/>
          <w:sz w:val="28"/>
          <w:szCs w:val="28"/>
          <w:lang w:val="uk-UA"/>
        </w:rPr>
      </w:pPr>
    </w:p>
    <w:p w:rsidR="001A7F05" w:rsidRDefault="00000000" w:rsidP="00B317F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Узагальнений плановий обсяг прийому на наступний плановий навчальний рік затверджується уповноваженим органом не пізніше 15 квітня року, що передує плановому навчальному року.</w:t>
      </w:r>
    </w:p>
    <w:p w:rsidR="001A7F05" w:rsidRDefault="001A7F05">
      <w:pPr>
        <w:spacing w:after="0" w:line="240" w:lineRule="auto"/>
        <w:ind w:firstLine="567"/>
        <w:jc w:val="both"/>
        <w:rPr>
          <w:rFonts w:ascii="Times New Roman" w:eastAsia="Times New Roman" w:hAnsi="Times New Roman" w:cs="Times New Roman"/>
          <w:sz w:val="28"/>
          <w:szCs w:val="28"/>
        </w:rPr>
      </w:pPr>
    </w:p>
    <w:p w:rsidR="001A7F05"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Зміни до затвердженого узагальненого планового обсягу прийому можуть вноситися уповноваженим органом на підставі нових даних про потреби </w:t>
      </w:r>
      <w:r>
        <w:rPr>
          <w:rFonts w:ascii="Times New Roman" w:eastAsia="Times New Roman" w:hAnsi="Times New Roman" w:cs="Times New Roman"/>
          <w:sz w:val="28"/>
          <w:szCs w:val="28"/>
        </w:rPr>
        <w:lastRenderedPageBreak/>
        <w:t>регіонального ринку праці, уточнених прогнозних показників та/або змін у відповідних бюджетах.</w:t>
      </w:r>
    </w:p>
    <w:p w:rsidR="001A7F05" w:rsidRDefault="001A7F05">
      <w:pPr>
        <w:spacing w:after="0" w:line="240" w:lineRule="auto"/>
        <w:ind w:firstLine="567"/>
        <w:jc w:val="both"/>
        <w:rPr>
          <w:rFonts w:ascii="Times New Roman" w:eastAsia="Times New Roman" w:hAnsi="Times New Roman" w:cs="Times New Roman"/>
          <w:sz w:val="28"/>
          <w:szCs w:val="28"/>
        </w:rPr>
      </w:pPr>
    </w:p>
    <w:p w:rsidR="001A7F05"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Департаменти (управління) освіти і науки обласних, Київської та Севастопольської міських державних адміністрацій, Міністерство освіти і науки Автономної Республіки Крим здійснюють облік виконання планового обсягу прийому у закладах професійної освіти, що фінансуються з відповідного бюджету.</w:t>
      </w:r>
    </w:p>
    <w:p w:rsidR="001A7F05" w:rsidRDefault="001A7F05">
      <w:pPr>
        <w:spacing w:after="0" w:line="240" w:lineRule="auto"/>
        <w:ind w:firstLine="567"/>
        <w:jc w:val="both"/>
        <w:rPr>
          <w:rFonts w:ascii="Times New Roman" w:eastAsia="Times New Roman" w:hAnsi="Times New Roman" w:cs="Times New Roman"/>
          <w:sz w:val="28"/>
          <w:szCs w:val="28"/>
        </w:rPr>
      </w:pPr>
    </w:p>
    <w:p w:rsidR="001A7F05" w:rsidRDefault="00000000">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18. Контроль за дотриманням вимог цього Порядку здійснюється Міністерством освіти і науки України та уповноваженими органами в межах їхніх повноважень.</w:t>
      </w:r>
    </w:p>
    <w:p w:rsidR="00B317F6" w:rsidRDefault="00B317F6">
      <w:pPr>
        <w:spacing w:after="0" w:line="240" w:lineRule="auto"/>
        <w:ind w:firstLine="567"/>
        <w:jc w:val="both"/>
        <w:rPr>
          <w:rFonts w:ascii="Times New Roman" w:eastAsia="Times New Roman" w:hAnsi="Times New Roman" w:cs="Times New Roman"/>
          <w:sz w:val="28"/>
          <w:szCs w:val="28"/>
          <w:lang w:val="uk-UA"/>
        </w:rPr>
      </w:pPr>
    </w:p>
    <w:p w:rsidR="00B317F6" w:rsidRPr="00B317F6" w:rsidRDefault="00B317F6" w:rsidP="00B317F6">
      <w:pPr>
        <w:spacing w:after="0" w:line="240" w:lineRule="auto"/>
        <w:ind w:firstLine="567"/>
        <w:jc w:val="center"/>
        <w:rPr>
          <w:rFonts w:ascii="Times New Roman" w:eastAsia="Times New Roman" w:hAnsi="Times New Roman" w:cs="Times New Roman"/>
          <w:sz w:val="28"/>
          <w:szCs w:val="28"/>
          <w:lang w:val="uk-UA"/>
        </w:rPr>
      </w:pPr>
    </w:p>
    <w:p w:rsidR="001A7F05" w:rsidRPr="00B317F6" w:rsidRDefault="00000000" w:rsidP="00B317F6">
      <w:pPr>
        <w:spacing w:after="0" w:line="240" w:lineRule="auto"/>
        <w:ind w:firstLine="567"/>
        <w:jc w:val="center"/>
        <w:rPr>
          <w:rFonts w:ascii="Times New Roman" w:eastAsia="Times New Roman" w:hAnsi="Times New Roman" w:cs="Times New Roman"/>
          <w:sz w:val="28"/>
          <w:szCs w:val="28"/>
          <w:lang w:val="uk-UA"/>
        </w:rPr>
        <w:sectPr w:rsidR="001A7F05" w:rsidRPr="00B317F6" w:rsidSect="00B317F6">
          <w:headerReference w:type="default" r:id="rId7"/>
          <w:pgSz w:w="11906" w:h="16838"/>
          <w:pgMar w:top="1134" w:right="567" w:bottom="2274" w:left="1701" w:header="709" w:footer="709" w:gutter="0"/>
          <w:pgNumType w:start="1"/>
          <w:cols w:space="720"/>
        </w:sectPr>
      </w:pPr>
      <w:r>
        <w:rPr>
          <w:rFonts w:ascii="Times New Roman" w:eastAsia="Times New Roman" w:hAnsi="Times New Roman" w:cs="Times New Roman"/>
          <w:sz w:val="28"/>
          <w:szCs w:val="28"/>
        </w:rPr>
        <w:t>________________</w:t>
      </w:r>
      <w:r w:rsidR="00B317F6">
        <w:rPr>
          <w:rFonts w:ascii="Times New Roman" w:eastAsia="Times New Roman" w:hAnsi="Times New Roman" w:cs="Times New Roman"/>
          <w:sz w:val="28"/>
          <w:szCs w:val="28"/>
          <w:lang w:val="uk-UA"/>
        </w:rPr>
        <w:t>____</w:t>
      </w:r>
    </w:p>
    <w:p w:rsidR="001A7F05" w:rsidRDefault="00000000">
      <w:pPr>
        <w:spacing w:after="0" w:line="24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Додаток 1 до Порядку</w:t>
      </w:r>
    </w:p>
    <w:p w:rsidR="001A7F05" w:rsidRDefault="001A7F05">
      <w:pPr>
        <w:spacing w:after="0" w:line="240" w:lineRule="auto"/>
        <w:ind w:firstLine="567"/>
        <w:jc w:val="both"/>
        <w:rPr>
          <w:rFonts w:ascii="Times New Roman" w:eastAsia="Times New Roman" w:hAnsi="Times New Roman" w:cs="Times New Roman"/>
          <w:sz w:val="28"/>
          <w:szCs w:val="28"/>
        </w:rPr>
      </w:pPr>
    </w:p>
    <w:tbl>
      <w:tblPr>
        <w:tblStyle w:val="a8"/>
        <w:tblW w:w="157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7"/>
        <w:gridCol w:w="7513"/>
      </w:tblGrid>
      <w:tr w:rsidR="001A7F05">
        <w:tc>
          <w:tcPr>
            <w:tcW w:w="8217" w:type="dxa"/>
          </w:tcPr>
          <w:p w:rsidR="001A7F05" w:rsidRDefault="001A7F05">
            <w:pPr>
              <w:jc w:val="both"/>
              <w:rPr>
                <w:rFonts w:ascii="Times New Roman" w:eastAsia="Times New Roman" w:hAnsi="Times New Roman" w:cs="Times New Roman"/>
                <w:sz w:val="28"/>
                <w:szCs w:val="28"/>
              </w:rPr>
            </w:pPr>
          </w:p>
        </w:tc>
        <w:tc>
          <w:tcPr>
            <w:tcW w:w="7513" w:type="dxa"/>
          </w:tcPr>
          <w:p w:rsidR="001A7F05" w:rsidRDefault="00000000">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w:t>
            </w:r>
          </w:p>
          <w:p w:rsidR="001A7F05" w:rsidRDefault="00000000">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w:t>
            </w:r>
          </w:p>
          <w:p w:rsidR="001A7F05" w:rsidRDefault="00000000">
            <w:pPr>
              <w:spacing w:before="120" w:after="120"/>
              <w:jc w:val="center"/>
              <w:rPr>
                <w:rFonts w:ascii="Times New Roman" w:eastAsia="Times New Roman" w:hAnsi="Times New Roman" w:cs="Times New Roman"/>
                <w:i/>
                <w:iCs/>
                <w:sz w:val="28"/>
                <w:szCs w:val="28"/>
                <w:vertAlign w:val="superscript"/>
              </w:rPr>
            </w:pPr>
            <w:r>
              <w:rPr>
                <w:rFonts w:ascii="Times New Roman" w:eastAsia="Times New Roman" w:hAnsi="Times New Roman" w:cs="Times New Roman"/>
                <w:i/>
                <w:iCs/>
                <w:sz w:val="28"/>
                <w:szCs w:val="28"/>
                <w:vertAlign w:val="superscript"/>
              </w:rPr>
              <w:t>(найменування уповноваженого органу)</w:t>
            </w:r>
          </w:p>
        </w:tc>
      </w:tr>
    </w:tbl>
    <w:p w:rsidR="001A7F05" w:rsidRDefault="001A7F05">
      <w:pPr>
        <w:spacing w:after="0" w:line="240" w:lineRule="auto"/>
        <w:ind w:firstLine="567"/>
        <w:jc w:val="both"/>
        <w:rPr>
          <w:rFonts w:ascii="Times New Roman" w:eastAsia="Times New Roman" w:hAnsi="Times New Roman" w:cs="Times New Roman"/>
          <w:sz w:val="28"/>
          <w:szCs w:val="28"/>
        </w:rPr>
      </w:pPr>
    </w:p>
    <w:p w:rsidR="001A7F05"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ПРОПОЗИЦІЇ</w:t>
      </w:r>
      <w:r>
        <w:t xml:space="preserve"> </w:t>
      </w:r>
    </w:p>
    <w:p w:rsidR="001A7F05"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w:t>
      </w:r>
    </w:p>
    <w:p w:rsidR="001A7F05"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i/>
          <w:iCs/>
        </w:rPr>
        <w:t>(повне найменування закладу професійної освіти)</w:t>
      </w:r>
    </w:p>
    <w:p w:rsidR="001A7F05"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щодо планового обсягу прийому до закладу професійної освіти на _________ навчальний рік</w:t>
      </w:r>
    </w:p>
    <w:p w:rsidR="001A7F05" w:rsidRDefault="001A7F05">
      <w:pPr>
        <w:spacing w:after="0" w:line="240" w:lineRule="auto"/>
        <w:ind w:firstLine="567"/>
        <w:jc w:val="both"/>
        <w:rPr>
          <w:rFonts w:ascii="Times New Roman" w:eastAsia="Times New Roman" w:hAnsi="Times New Roman" w:cs="Times New Roman"/>
          <w:b/>
          <w:bCs/>
          <w:sz w:val="26"/>
          <w:szCs w:val="26"/>
        </w:rPr>
      </w:pPr>
    </w:p>
    <w:p w:rsidR="001A7F05" w:rsidRDefault="001A7F05">
      <w:pPr>
        <w:spacing w:after="0" w:line="240" w:lineRule="auto"/>
        <w:ind w:firstLine="567"/>
        <w:jc w:val="both"/>
        <w:rPr>
          <w:rFonts w:ascii="Times New Roman" w:eastAsia="Times New Roman" w:hAnsi="Times New Roman" w:cs="Times New Roman"/>
          <w:b/>
          <w:bCs/>
          <w:sz w:val="26"/>
          <w:szCs w:val="26"/>
        </w:rPr>
      </w:pPr>
    </w:p>
    <w:tbl>
      <w:tblPr>
        <w:tblStyle w:val="a9"/>
        <w:tblW w:w="1572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1"/>
        <w:gridCol w:w="1985"/>
        <w:gridCol w:w="1984"/>
        <w:gridCol w:w="1560"/>
        <w:gridCol w:w="1455"/>
        <w:gridCol w:w="1663"/>
        <w:gridCol w:w="1472"/>
        <w:gridCol w:w="2355"/>
        <w:gridCol w:w="2694"/>
      </w:tblGrid>
      <w:tr w:rsidR="001A7F05">
        <w:trPr>
          <w:trHeight w:val="584"/>
        </w:trPr>
        <w:tc>
          <w:tcPr>
            <w:tcW w:w="561" w:type="dxa"/>
            <w:tcBorders>
              <w:top w:val="single" w:sz="5" w:space="0" w:color="000000"/>
              <w:left w:val="single" w:sz="5" w:space="0" w:color="000000"/>
              <w:bottom w:val="single" w:sz="5" w:space="0" w:color="000000"/>
              <w:right w:val="single" w:sz="5" w:space="0" w:color="000000"/>
            </w:tcBorders>
            <w:tcMar>
              <w:top w:w="20" w:type="dxa"/>
              <w:left w:w="0" w:type="dxa"/>
              <w:bottom w:w="20" w:type="dxa"/>
              <w:right w:w="20" w:type="dxa"/>
            </w:tcMar>
          </w:tcPr>
          <w:p w:rsidR="001A7F0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з/п</w:t>
            </w:r>
          </w:p>
        </w:tc>
        <w:tc>
          <w:tcPr>
            <w:tcW w:w="1985" w:type="dxa"/>
            <w:tcBorders>
              <w:top w:val="single" w:sz="5" w:space="0" w:color="000000"/>
              <w:left w:val="nil"/>
              <w:bottom w:val="single" w:sz="5" w:space="0" w:color="000000"/>
              <w:right w:val="single" w:sz="5" w:space="0" w:color="000000"/>
            </w:tcBorders>
            <w:tcMar>
              <w:top w:w="20" w:type="dxa"/>
              <w:left w:w="0" w:type="dxa"/>
              <w:bottom w:w="20" w:type="dxa"/>
              <w:right w:w="20" w:type="dxa"/>
            </w:tcMar>
          </w:tcPr>
          <w:p w:rsidR="001A7F0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Здобуття професійної освіти / професійної кваліфікації</w:t>
            </w:r>
          </w:p>
        </w:tc>
        <w:tc>
          <w:tcPr>
            <w:tcW w:w="1984" w:type="dxa"/>
            <w:tcBorders>
              <w:top w:val="single" w:sz="5" w:space="0" w:color="000000"/>
              <w:left w:val="nil"/>
              <w:bottom w:val="single" w:sz="5" w:space="0" w:color="000000"/>
              <w:right w:val="single" w:sz="5" w:space="0" w:color="000000"/>
            </w:tcBorders>
            <w:tcMar>
              <w:top w:w="20" w:type="dxa"/>
              <w:left w:w="0" w:type="dxa"/>
              <w:bottom w:w="20" w:type="dxa"/>
              <w:right w:w="20" w:type="dxa"/>
            </w:tcMar>
          </w:tcPr>
          <w:p w:rsidR="001A7F0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Напрям підготовки, професійна кваліфікація</w:t>
            </w:r>
          </w:p>
        </w:tc>
        <w:tc>
          <w:tcPr>
            <w:tcW w:w="1560" w:type="dxa"/>
            <w:tcBorders>
              <w:top w:val="single" w:sz="5" w:space="0" w:color="000000"/>
              <w:left w:val="nil"/>
              <w:bottom w:val="single" w:sz="5" w:space="0" w:color="000000"/>
              <w:right w:val="single" w:sz="5" w:space="0" w:color="000000"/>
            </w:tcBorders>
            <w:tcMar>
              <w:top w:w="20" w:type="dxa"/>
              <w:left w:w="20" w:type="dxa"/>
              <w:bottom w:w="20" w:type="dxa"/>
              <w:right w:w="20" w:type="dxa"/>
            </w:tcMar>
          </w:tcPr>
          <w:p w:rsidR="001A7F0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Кількість годин за навчальним планом</w:t>
            </w:r>
          </w:p>
        </w:tc>
        <w:tc>
          <w:tcPr>
            <w:tcW w:w="1455" w:type="dxa"/>
            <w:tcBorders>
              <w:top w:val="single" w:sz="5" w:space="0" w:color="000000"/>
              <w:left w:val="nil"/>
              <w:bottom w:val="single" w:sz="5" w:space="0" w:color="000000"/>
              <w:right w:val="single" w:sz="5" w:space="0" w:color="000000"/>
            </w:tcBorders>
            <w:tcMar>
              <w:top w:w="20" w:type="dxa"/>
              <w:left w:w="20" w:type="dxa"/>
              <w:bottom w:w="20" w:type="dxa"/>
              <w:right w:w="20" w:type="dxa"/>
            </w:tcMar>
          </w:tcPr>
          <w:p w:rsidR="001A7F0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Кількість місць у навчальній групі</w:t>
            </w:r>
          </w:p>
        </w:tc>
        <w:tc>
          <w:tcPr>
            <w:tcW w:w="1663" w:type="dxa"/>
            <w:tcBorders>
              <w:top w:val="single" w:sz="5" w:space="0" w:color="000000"/>
              <w:left w:val="nil"/>
              <w:bottom w:val="single" w:sz="5" w:space="0" w:color="000000"/>
              <w:right w:val="single" w:sz="5" w:space="0" w:color="000000"/>
            </w:tcBorders>
            <w:tcMar>
              <w:top w:w="20" w:type="dxa"/>
              <w:left w:w="0" w:type="dxa"/>
              <w:bottom w:w="20" w:type="dxa"/>
              <w:right w:w="20" w:type="dxa"/>
            </w:tcMar>
          </w:tcPr>
          <w:p w:rsidR="001A7F0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Плановий обсяг прийому (кількість місць)</w:t>
            </w:r>
          </w:p>
        </w:tc>
        <w:tc>
          <w:tcPr>
            <w:tcW w:w="1472" w:type="dxa"/>
            <w:tcBorders>
              <w:top w:val="single" w:sz="5" w:space="0" w:color="000000"/>
              <w:left w:val="nil"/>
              <w:bottom w:val="single" w:sz="5" w:space="0" w:color="000000"/>
              <w:right w:val="single" w:sz="5" w:space="0" w:color="000000"/>
            </w:tcBorders>
            <w:tcMar>
              <w:top w:w="20" w:type="dxa"/>
              <w:left w:w="0" w:type="dxa"/>
              <w:bottom w:w="20" w:type="dxa"/>
              <w:right w:w="20" w:type="dxa"/>
            </w:tcMar>
          </w:tcPr>
          <w:p w:rsidR="001A7F0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Строк підготовки</w:t>
            </w:r>
          </w:p>
        </w:tc>
        <w:tc>
          <w:tcPr>
            <w:tcW w:w="2355" w:type="dxa"/>
            <w:tcBorders>
              <w:top w:val="single" w:sz="5" w:space="0" w:color="000000"/>
              <w:left w:val="nil"/>
              <w:bottom w:val="single" w:sz="5" w:space="0" w:color="000000"/>
              <w:right w:val="single" w:sz="5" w:space="0" w:color="000000"/>
            </w:tcBorders>
            <w:tcMar>
              <w:top w:w="20" w:type="dxa"/>
              <w:left w:w="0" w:type="dxa"/>
              <w:bottom w:w="20" w:type="dxa"/>
              <w:right w:w="20" w:type="dxa"/>
            </w:tcMar>
          </w:tcPr>
          <w:p w:rsidR="001A7F0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Орієнтовна вартість підготовки навчальної групи за плановий навчальний рік, грн</w:t>
            </w:r>
          </w:p>
        </w:tc>
        <w:tc>
          <w:tcPr>
            <w:tcW w:w="2694" w:type="dxa"/>
            <w:tcBorders>
              <w:top w:val="single" w:sz="5" w:space="0" w:color="000000"/>
              <w:left w:val="nil"/>
              <w:bottom w:val="single" w:sz="5" w:space="0" w:color="000000"/>
              <w:right w:val="single" w:sz="5" w:space="0" w:color="000000"/>
            </w:tcBorders>
            <w:tcMar>
              <w:top w:w="20" w:type="dxa"/>
              <w:left w:w="0" w:type="dxa"/>
              <w:bottom w:w="20" w:type="dxa"/>
              <w:right w:w="20" w:type="dxa"/>
            </w:tcMar>
          </w:tcPr>
          <w:p w:rsidR="001A7F0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Загальна вартість підготовки (в тому числі за плановий навчальний рік), грн </w:t>
            </w:r>
          </w:p>
        </w:tc>
      </w:tr>
      <w:tr w:rsidR="001A7F05">
        <w:trPr>
          <w:trHeight w:val="315"/>
        </w:trPr>
        <w:tc>
          <w:tcPr>
            <w:tcW w:w="561" w:type="dxa"/>
            <w:tcBorders>
              <w:top w:val="nil"/>
              <w:left w:val="single" w:sz="5" w:space="0" w:color="000000"/>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jc w:val="center"/>
              <w:rPr>
                <w:rFonts w:ascii="Times New Roman" w:eastAsia="Times New Roman" w:hAnsi="Times New Roman" w:cs="Times New Roman"/>
              </w:rPr>
            </w:pPr>
          </w:p>
        </w:tc>
        <w:tc>
          <w:tcPr>
            <w:tcW w:w="1985"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984"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560" w:type="dxa"/>
            <w:tcBorders>
              <w:top w:val="nil"/>
              <w:left w:val="nil"/>
              <w:bottom w:val="single" w:sz="5" w:space="0" w:color="000000"/>
              <w:right w:val="single" w:sz="5" w:space="0" w:color="000000"/>
            </w:tcBorders>
            <w:tcMar>
              <w:top w:w="20" w:type="dxa"/>
              <w:left w:w="2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455" w:type="dxa"/>
            <w:tcBorders>
              <w:top w:val="nil"/>
              <w:left w:val="nil"/>
              <w:bottom w:val="single" w:sz="5" w:space="0" w:color="000000"/>
              <w:right w:val="single" w:sz="5" w:space="0" w:color="000000"/>
            </w:tcBorders>
            <w:tcMar>
              <w:top w:w="20" w:type="dxa"/>
              <w:left w:w="2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663"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472"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2355"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2694"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r>
      <w:tr w:rsidR="001A7F05">
        <w:trPr>
          <w:trHeight w:val="315"/>
        </w:trPr>
        <w:tc>
          <w:tcPr>
            <w:tcW w:w="561" w:type="dxa"/>
            <w:tcBorders>
              <w:top w:val="nil"/>
              <w:left w:val="single" w:sz="5" w:space="0" w:color="000000"/>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jc w:val="center"/>
              <w:rPr>
                <w:rFonts w:ascii="Times New Roman" w:eastAsia="Times New Roman" w:hAnsi="Times New Roman" w:cs="Times New Roman"/>
              </w:rPr>
            </w:pPr>
          </w:p>
        </w:tc>
        <w:tc>
          <w:tcPr>
            <w:tcW w:w="1985"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984"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560" w:type="dxa"/>
            <w:tcBorders>
              <w:top w:val="nil"/>
              <w:left w:val="nil"/>
              <w:bottom w:val="single" w:sz="5" w:space="0" w:color="000000"/>
              <w:right w:val="single" w:sz="5" w:space="0" w:color="000000"/>
            </w:tcBorders>
            <w:tcMar>
              <w:top w:w="20" w:type="dxa"/>
              <w:left w:w="2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455" w:type="dxa"/>
            <w:tcBorders>
              <w:top w:val="nil"/>
              <w:left w:val="nil"/>
              <w:bottom w:val="single" w:sz="5" w:space="0" w:color="000000"/>
              <w:right w:val="single" w:sz="5" w:space="0" w:color="000000"/>
            </w:tcBorders>
            <w:tcMar>
              <w:top w:w="20" w:type="dxa"/>
              <w:left w:w="2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663"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472"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2355"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2694"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r>
      <w:tr w:rsidR="001A7F05">
        <w:trPr>
          <w:trHeight w:val="315"/>
        </w:trPr>
        <w:tc>
          <w:tcPr>
            <w:tcW w:w="561" w:type="dxa"/>
            <w:tcBorders>
              <w:top w:val="nil"/>
              <w:left w:val="single" w:sz="5" w:space="0" w:color="000000"/>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jc w:val="center"/>
              <w:rPr>
                <w:rFonts w:ascii="Times New Roman" w:eastAsia="Times New Roman" w:hAnsi="Times New Roman" w:cs="Times New Roman"/>
              </w:rPr>
            </w:pPr>
          </w:p>
        </w:tc>
        <w:tc>
          <w:tcPr>
            <w:tcW w:w="1985"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984"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560" w:type="dxa"/>
            <w:tcBorders>
              <w:top w:val="nil"/>
              <w:left w:val="nil"/>
              <w:bottom w:val="single" w:sz="5" w:space="0" w:color="000000"/>
              <w:right w:val="single" w:sz="5" w:space="0" w:color="000000"/>
            </w:tcBorders>
            <w:tcMar>
              <w:top w:w="20" w:type="dxa"/>
              <w:left w:w="2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455" w:type="dxa"/>
            <w:tcBorders>
              <w:top w:val="nil"/>
              <w:left w:val="nil"/>
              <w:bottom w:val="single" w:sz="5" w:space="0" w:color="000000"/>
              <w:right w:val="single" w:sz="5" w:space="0" w:color="000000"/>
            </w:tcBorders>
            <w:tcMar>
              <w:top w:w="20" w:type="dxa"/>
              <w:left w:w="2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663"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472"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2355"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2694"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r>
      <w:tr w:rsidR="001A7F05">
        <w:trPr>
          <w:trHeight w:val="315"/>
        </w:trPr>
        <w:tc>
          <w:tcPr>
            <w:tcW w:w="561" w:type="dxa"/>
            <w:tcBorders>
              <w:top w:val="nil"/>
              <w:left w:val="single" w:sz="5" w:space="0" w:color="000000"/>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jc w:val="center"/>
              <w:rPr>
                <w:rFonts w:ascii="Times New Roman" w:eastAsia="Times New Roman" w:hAnsi="Times New Roman" w:cs="Times New Roman"/>
              </w:rPr>
            </w:pPr>
          </w:p>
        </w:tc>
        <w:tc>
          <w:tcPr>
            <w:tcW w:w="1985"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984"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560" w:type="dxa"/>
            <w:tcBorders>
              <w:top w:val="nil"/>
              <w:left w:val="nil"/>
              <w:bottom w:val="single" w:sz="5" w:space="0" w:color="000000"/>
              <w:right w:val="single" w:sz="5" w:space="0" w:color="000000"/>
            </w:tcBorders>
            <w:tcMar>
              <w:top w:w="20" w:type="dxa"/>
              <w:left w:w="2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455" w:type="dxa"/>
            <w:tcBorders>
              <w:top w:val="nil"/>
              <w:left w:val="nil"/>
              <w:bottom w:val="single" w:sz="5" w:space="0" w:color="000000"/>
              <w:right w:val="single" w:sz="5" w:space="0" w:color="000000"/>
            </w:tcBorders>
            <w:tcMar>
              <w:top w:w="20" w:type="dxa"/>
              <w:left w:w="2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663"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1472"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2355"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c>
          <w:tcPr>
            <w:tcW w:w="2694" w:type="dxa"/>
            <w:tcBorders>
              <w:top w:val="nil"/>
              <w:left w:val="nil"/>
              <w:bottom w:val="single" w:sz="5" w:space="0" w:color="000000"/>
              <w:right w:val="single" w:sz="5" w:space="0" w:color="000000"/>
            </w:tcBorders>
            <w:tcMar>
              <w:top w:w="20" w:type="dxa"/>
              <w:left w:w="0" w:type="dxa"/>
              <w:bottom w:w="20" w:type="dxa"/>
              <w:right w:w="20" w:type="dxa"/>
            </w:tcMar>
          </w:tcPr>
          <w:p w:rsidR="001A7F05" w:rsidRDefault="001A7F05">
            <w:pPr>
              <w:spacing w:after="0" w:line="240" w:lineRule="auto"/>
              <w:ind w:firstLine="567"/>
              <w:jc w:val="both"/>
              <w:rPr>
                <w:rFonts w:ascii="Times New Roman" w:eastAsia="Times New Roman" w:hAnsi="Times New Roman" w:cs="Times New Roman"/>
                <w:b/>
                <w:bCs/>
                <w:sz w:val="28"/>
                <w:szCs w:val="28"/>
              </w:rPr>
            </w:pPr>
          </w:p>
        </w:tc>
      </w:tr>
    </w:tbl>
    <w:p w:rsidR="001A7F05" w:rsidRDefault="001A7F05">
      <w:pPr>
        <w:spacing w:after="0" w:line="240" w:lineRule="auto"/>
        <w:ind w:firstLine="567"/>
        <w:jc w:val="both"/>
        <w:rPr>
          <w:rFonts w:ascii="Times New Roman" w:eastAsia="Times New Roman" w:hAnsi="Times New Roman" w:cs="Times New Roman"/>
          <w:sz w:val="28"/>
          <w:szCs w:val="28"/>
        </w:rPr>
      </w:pPr>
    </w:p>
    <w:p w:rsidR="001A7F0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рядок таблиці повинен містити інформацію окремо по кожній запропонованій навчальній групі.</w:t>
      </w:r>
    </w:p>
    <w:p w:rsidR="001A7F05" w:rsidRDefault="001A7F05">
      <w:pPr>
        <w:spacing w:after="0" w:line="240" w:lineRule="auto"/>
        <w:ind w:firstLine="567"/>
        <w:jc w:val="both"/>
        <w:rPr>
          <w:rFonts w:ascii="Times New Roman" w:eastAsia="Times New Roman" w:hAnsi="Times New Roman" w:cs="Times New Roman"/>
          <w:b/>
          <w:bCs/>
          <w:sz w:val="28"/>
          <w:szCs w:val="28"/>
        </w:rPr>
      </w:pPr>
    </w:p>
    <w:p w:rsidR="001A7F05" w:rsidRDefault="001A7F05">
      <w:pPr>
        <w:spacing w:after="0" w:line="240" w:lineRule="auto"/>
        <w:ind w:firstLine="567"/>
        <w:jc w:val="both"/>
        <w:rPr>
          <w:rFonts w:ascii="Times New Roman" w:eastAsia="Times New Roman" w:hAnsi="Times New Roman" w:cs="Times New Roman"/>
          <w:b/>
          <w:bCs/>
          <w:sz w:val="28"/>
          <w:szCs w:val="28"/>
        </w:rPr>
      </w:pPr>
    </w:p>
    <w:tbl>
      <w:tblPr>
        <w:tblStyle w:val="aa"/>
        <w:tblW w:w="15451" w:type="dxa"/>
        <w:jc w:val="center"/>
        <w:tblInd w:w="0" w:type="dxa"/>
        <w:tblLayout w:type="fixed"/>
        <w:tblLook w:val="0000" w:firstRow="0" w:lastRow="0" w:firstColumn="0" w:lastColumn="0" w:noHBand="0" w:noVBand="0"/>
      </w:tblPr>
      <w:tblGrid>
        <w:gridCol w:w="4582"/>
        <w:gridCol w:w="4171"/>
        <w:gridCol w:w="6698"/>
      </w:tblGrid>
      <w:tr w:rsidR="001A7F05">
        <w:trPr>
          <w:jc w:val="center"/>
        </w:trPr>
        <w:tc>
          <w:tcPr>
            <w:tcW w:w="4582" w:type="dxa"/>
            <w:vAlign w:val="center"/>
          </w:tcPr>
          <w:p w:rsidR="001A7F05" w:rsidRDefault="00000000">
            <w:pPr>
              <w:tabs>
                <w:tab w:val="left" w:pos="8100"/>
              </w:tabs>
              <w:spacing w:after="0" w:line="240" w:lineRule="auto"/>
              <w:rPr>
                <w:rFonts w:ascii="Times New Roman" w:eastAsia="Times New Roman" w:hAnsi="Times New Roman" w:cs="Times New Roman"/>
                <w:sz w:val="28"/>
                <w:szCs w:val="28"/>
              </w:rPr>
            </w:pPr>
            <w:hyperlink r:id="rId8">
              <w:r>
                <w:rPr>
                  <w:rFonts w:ascii="Times New Roman" w:eastAsia="Times New Roman" w:hAnsi="Times New Roman" w:cs="Times New Roman"/>
                  <w:sz w:val="28"/>
                  <w:szCs w:val="28"/>
                </w:rPr>
                <w:t>Керівник</w:t>
              </w:r>
            </w:hyperlink>
            <w:r>
              <w:rPr>
                <w:rFonts w:ascii="Times New Roman" w:eastAsia="Times New Roman" w:hAnsi="Times New Roman" w:cs="Times New Roman"/>
                <w:sz w:val="28"/>
                <w:szCs w:val="28"/>
              </w:rPr>
              <w:t xml:space="preserve"> закладу професійної освіти</w:t>
            </w:r>
          </w:p>
        </w:tc>
        <w:tc>
          <w:tcPr>
            <w:tcW w:w="4171" w:type="dxa"/>
            <w:vAlign w:val="center"/>
          </w:tcPr>
          <w:p w:rsidR="001A7F05" w:rsidRDefault="00000000">
            <w:pPr>
              <w:tabs>
                <w:tab w:val="left" w:pos="8100"/>
              </w:tabs>
              <w:spacing w:after="0" w:line="240" w:lineRule="auto"/>
              <w:jc w:val="center"/>
              <w:rPr>
                <w:rFonts w:ascii="Times New Roman" w:eastAsia="Times New Roman" w:hAnsi="Times New Roman" w:cs="Times New Roman"/>
                <w:sz w:val="28"/>
                <w:szCs w:val="28"/>
              </w:rPr>
            </w:pPr>
            <w:hyperlink r:id="rId9">
              <w:r>
                <w:rPr>
                  <w:rFonts w:ascii="Times New Roman" w:eastAsia="Times New Roman" w:hAnsi="Times New Roman" w:cs="Times New Roman"/>
                  <w:sz w:val="28"/>
                  <w:szCs w:val="28"/>
                </w:rPr>
                <w:t>__________________</w:t>
              </w:r>
            </w:hyperlink>
          </w:p>
        </w:tc>
        <w:tc>
          <w:tcPr>
            <w:tcW w:w="6698" w:type="dxa"/>
            <w:vAlign w:val="center"/>
          </w:tcPr>
          <w:p w:rsidR="001A7F05" w:rsidRDefault="00000000">
            <w:pPr>
              <w:tabs>
                <w:tab w:val="left" w:pos="810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p>
        </w:tc>
      </w:tr>
      <w:tr w:rsidR="001A7F05">
        <w:trPr>
          <w:jc w:val="center"/>
        </w:trPr>
        <w:tc>
          <w:tcPr>
            <w:tcW w:w="4582" w:type="dxa"/>
            <w:vAlign w:val="center"/>
          </w:tcPr>
          <w:p w:rsidR="001A7F05" w:rsidRDefault="001A7F05">
            <w:pPr>
              <w:tabs>
                <w:tab w:val="left" w:pos="8100"/>
              </w:tabs>
              <w:spacing w:after="0" w:line="240" w:lineRule="auto"/>
              <w:jc w:val="center"/>
              <w:rPr>
                <w:rFonts w:ascii="Times New Roman" w:eastAsia="Times New Roman" w:hAnsi="Times New Roman" w:cs="Times New Roman"/>
                <w:i/>
                <w:iCs/>
              </w:rPr>
            </w:pPr>
          </w:p>
        </w:tc>
        <w:tc>
          <w:tcPr>
            <w:tcW w:w="4171" w:type="dxa"/>
            <w:vAlign w:val="center"/>
          </w:tcPr>
          <w:p w:rsidR="001A7F05" w:rsidRDefault="00000000">
            <w:pPr>
              <w:tabs>
                <w:tab w:val="left" w:pos="8100"/>
              </w:tabs>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sz w:val="20"/>
                <w:szCs w:val="20"/>
              </w:rPr>
              <w:t>(підпис)</w:t>
            </w:r>
          </w:p>
        </w:tc>
        <w:tc>
          <w:tcPr>
            <w:tcW w:w="6698" w:type="dxa"/>
            <w:vAlign w:val="center"/>
          </w:tcPr>
          <w:p w:rsidR="001A7F05" w:rsidRDefault="00000000">
            <w:pPr>
              <w:tabs>
                <w:tab w:val="left" w:pos="8100"/>
              </w:tabs>
              <w:spacing w:after="0" w:line="240" w:lineRule="auto"/>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(прізвище ім’я та по батькові)</w:t>
            </w:r>
          </w:p>
        </w:tc>
      </w:tr>
    </w:tbl>
    <w:p w:rsidR="001A7F05" w:rsidRDefault="001A7F05">
      <w:pPr>
        <w:spacing w:after="0" w:line="240" w:lineRule="auto"/>
        <w:ind w:firstLine="567"/>
        <w:jc w:val="both"/>
        <w:rPr>
          <w:rFonts w:ascii="Times New Roman" w:eastAsia="Times New Roman" w:hAnsi="Times New Roman" w:cs="Times New Roman"/>
          <w:sz w:val="2"/>
          <w:szCs w:val="2"/>
        </w:rPr>
      </w:pPr>
    </w:p>
    <w:tbl>
      <w:tblPr>
        <w:tblStyle w:val="ab"/>
        <w:tblW w:w="15451" w:type="dxa"/>
        <w:jc w:val="center"/>
        <w:tblInd w:w="0" w:type="dxa"/>
        <w:tblLayout w:type="fixed"/>
        <w:tblLook w:val="0000" w:firstRow="0" w:lastRow="0" w:firstColumn="0" w:lastColumn="0" w:noHBand="0" w:noVBand="0"/>
      </w:tblPr>
      <w:tblGrid>
        <w:gridCol w:w="4582"/>
        <w:gridCol w:w="4171"/>
        <w:gridCol w:w="6698"/>
      </w:tblGrid>
      <w:tr w:rsidR="001A7F05">
        <w:trPr>
          <w:jc w:val="center"/>
        </w:trPr>
        <w:tc>
          <w:tcPr>
            <w:tcW w:w="4582" w:type="dxa"/>
            <w:vAlign w:val="center"/>
          </w:tcPr>
          <w:p w:rsidR="001A7F05" w:rsidRDefault="00000000">
            <w:pPr>
              <w:tabs>
                <w:tab w:val="left" w:pos="8100"/>
              </w:tabs>
              <w:spacing w:after="0" w:line="240" w:lineRule="auto"/>
              <w:rPr>
                <w:rFonts w:ascii="Times New Roman" w:eastAsia="Times New Roman" w:hAnsi="Times New Roman" w:cs="Times New Roman"/>
                <w:sz w:val="28"/>
                <w:szCs w:val="28"/>
              </w:rPr>
            </w:pPr>
            <w:hyperlink r:id="rId10">
              <w:r>
                <w:rPr>
                  <w:rFonts w:ascii="Times New Roman" w:eastAsia="Times New Roman" w:hAnsi="Times New Roman" w:cs="Times New Roman"/>
                  <w:sz w:val="28"/>
                  <w:szCs w:val="28"/>
                </w:rPr>
                <w:t>Голова наглядової ради</w:t>
              </w:r>
            </w:hyperlink>
          </w:p>
        </w:tc>
        <w:tc>
          <w:tcPr>
            <w:tcW w:w="4171" w:type="dxa"/>
            <w:vAlign w:val="center"/>
          </w:tcPr>
          <w:p w:rsidR="001A7F05" w:rsidRDefault="00000000">
            <w:pPr>
              <w:tabs>
                <w:tab w:val="left" w:pos="8100"/>
              </w:tabs>
              <w:spacing w:after="0" w:line="240" w:lineRule="auto"/>
              <w:jc w:val="center"/>
              <w:rPr>
                <w:rFonts w:ascii="Times New Roman" w:eastAsia="Times New Roman" w:hAnsi="Times New Roman" w:cs="Times New Roman"/>
                <w:sz w:val="28"/>
                <w:szCs w:val="28"/>
              </w:rPr>
            </w:pPr>
            <w:hyperlink r:id="rId11">
              <w:r>
                <w:rPr>
                  <w:rFonts w:ascii="Times New Roman" w:eastAsia="Times New Roman" w:hAnsi="Times New Roman" w:cs="Times New Roman"/>
                  <w:sz w:val="28"/>
                  <w:szCs w:val="28"/>
                </w:rPr>
                <w:t>__________________</w:t>
              </w:r>
            </w:hyperlink>
          </w:p>
        </w:tc>
        <w:tc>
          <w:tcPr>
            <w:tcW w:w="6698" w:type="dxa"/>
            <w:vAlign w:val="center"/>
          </w:tcPr>
          <w:p w:rsidR="001A7F05" w:rsidRDefault="00000000">
            <w:pPr>
              <w:tabs>
                <w:tab w:val="left" w:pos="810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p>
        </w:tc>
      </w:tr>
      <w:tr w:rsidR="001A7F05">
        <w:trPr>
          <w:jc w:val="center"/>
        </w:trPr>
        <w:tc>
          <w:tcPr>
            <w:tcW w:w="4582" w:type="dxa"/>
            <w:vAlign w:val="center"/>
          </w:tcPr>
          <w:p w:rsidR="001A7F05" w:rsidRDefault="001A7F05">
            <w:pPr>
              <w:tabs>
                <w:tab w:val="left" w:pos="8100"/>
              </w:tabs>
              <w:spacing w:after="0" w:line="240" w:lineRule="auto"/>
              <w:jc w:val="center"/>
              <w:rPr>
                <w:rFonts w:ascii="Times New Roman" w:eastAsia="Times New Roman" w:hAnsi="Times New Roman" w:cs="Times New Roman"/>
                <w:i/>
                <w:iCs/>
              </w:rPr>
            </w:pPr>
          </w:p>
        </w:tc>
        <w:tc>
          <w:tcPr>
            <w:tcW w:w="4171" w:type="dxa"/>
            <w:vAlign w:val="center"/>
          </w:tcPr>
          <w:p w:rsidR="001A7F05" w:rsidRDefault="00000000">
            <w:pPr>
              <w:tabs>
                <w:tab w:val="left" w:pos="8100"/>
              </w:tabs>
              <w:spacing w:after="0" w:line="240" w:lineRule="auto"/>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(підпис)</w:t>
            </w:r>
          </w:p>
        </w:tc>
        <w:tc>
          <w:tcPr>
            <w:tcW w:w="6698" w:type="dxa"/>
            <w:vAlign w:val="center"/>
          </w:tcPr>
          <w:p w:rsidR="001A7F05" w:rsidRDefault="00000000">
            <w:pPr>
              <w:tabs>
                <w:tab w:val="left" w:pos="8100"/>
              </w:tabs>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sz w:val="20"/>
                <w:szCs w:val="20"/>
              </w:rPr>
              <w:t>(прізвище ім’я та по батькові)</w:t>
            </w:r>
          </w:p>
        </w:tc>
      </w:tr>
    </w:tbl>
    <w:p w:rsidR="001A7F05" w:rsidRDefault="001A7F05">
      <w:pPr>
        <w:spacing w:after="0" w:line="240" w:lineRule="auto"/>
        <w:jc w:val="both"/>
        <w:rPr>
          <w:rFonts w:ascii="Times New Roman" w:eastAsia="Times New Roman" w:hAnsi="Times New Roman" w:cs="Times New Roman"/>
          <w:sz w:val="18"/>
          <w:szCs w:val="18"/>
        </w:rPr>
        <w:sectPr w:rsidR="001A7F05">
          <w:pgSz w:w="16838" w:h="11906" w:orient="landscape"/>
          <w:pgMar w:top="567" w:right="567" w:bottom="567" w:left="567" w:header="709" w:footer="709" w:gutter="0"/>
          <w:pgNumType w:start="9"/>
          <w:cols w:space="720"/>
        </w:sectPr>
      </w:pPr>
    </w:p>
    <w:p w:rsidR="001A7F05" w:rsidRDefault="001A7F05">
      <w:pPr>
        <w:spacing w:after="0" w:line="240" w:lineRule="auto"/>
        <w:jc w:val="both"/>
        <w:rPr>
          <w:rFonts w:ascii="Times New Roman" w:eastAsia="Times New Roman" w:hAnsi="Times New Roman" w:cs="Times New Roman"/>
          <w:sz w:val="18"/>
          <w:szCs w:val="18"/>
        </w:rPr>
      </w:pPr>
    </w:p>
    <w:tbl>
      <w:tblPr>
        <w:tblStyle w:val="ac"/>
        <w:tblW w:w="106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75"/>
        <w:gridCol w:w="5490"/>
      </w:tblGrid>
      <w:tr w:rsidR="001A7F05">
        <w:trPr>
          <w:trHeight w:val="1125"/>
        </w:trPr>
        <w:tc>
          <w:tcPr>
            <w:tcW w:w="5175" w:type="dxa"/>
            <w:tcBorders>
              <w:top w:val="nil"/>
              <w:left w:val="nil"/>
              <w:bottom w:val="nil"/>
              <w:right w:val="nil"/>
            </w:tcBorders>
            <w:tcMar>
              <w:top w:w="0" w:type="dxa"/>
              <w:left w:w="100" w:type="dxa"/>
              <w:bottom w:w="0" w:type="dxa"/>
              <w:right w:w="100" w:type="dxa"/>
            </w:tcMar>
          </w:tcPr>
          <w:p w:rsidR="001A7F05" w:rsidRDefault="00000000">
            <w:pPr>
              <w:spacing w:after="0" w:line="276"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tc>
        <w:tc>
          <w:tcPr>
            <w:tcW w:w="5490" w:type="dxa"/>
            <w:tcBorders>
              <w:top w:val="nil"/>
              <w:left w:val="nil"/>
              <w:bottom w:val="nil"/>
              <w:right w:val="nil"/>
            </w:tcBorders>
            <w:tcMar>
              <w:top w:w="0" w:type="dxa"/>
              <w:left w:w="100" w:type="dxa"/>
              <w:bottom w:w="0" w:type="dxa"/>
              <w:right w:w="100" w:type="dxa"/>
            </w:tcMar>
          </w:tcPr>
          <w:p w:rsidR="001A7F05" w:rsidRPr="004C5206" w:rsidRDefault="00000000">
            <w:pPr>
              <w:spacing w:after="0" w:line="276" w:lineRule="auto"/>
              <w:jc w:val="center"/>
              <w:rPr>
                <w:rFonts w:ascii="Times New Roman" w:eastAsia="Times New Roman" w:hAnsi="Times New Roman" w:cs="Times New Roman"/>
                <w:sz w:val="28"/>
                <w:szCs w:val="28"/>
              </w:rPr>
            </w:pPr>
            <w:r w:rsidRPr="004C5206">
              <w:rPr>
                <w:rFonts w:ascii="Times New Roman" w:eastAsia="Times New Roman" w:hAnsi="Times New Roman" w:cs="Times New Roman"/>
                <w:sz w:val="28"/>
                <w:szCs w:val="28"/>
              </w:rPr>
              <w:t>ЗАТВЕРДЖЕНО</w:t>
            </w:r>
          </w:p>
          <w:p w:rsidR="001A7F05" w:rsidRPr="004C5206" w:rsidRDefault="00000000">
            <w:pPr>
              <w:spacing w:after="0" w:line="276" w:lineRule="auto"/>
              <w:jc w:val="center"/>
              <w:rPr>
                <w:rFonts w:ascii="Times New Roman" w:eastAsia="Times New Roman" w:hAnsi="Times New Roman" w:cs="Times New Roman"/>
                <w:sz w:val="28"/>
                <w:szCs w:val="28"/>
              </w:rPr>
            </w:pPr>
            <w:r w:rsidRPr="004C5206">
              <w:rPr>
                <w:rFonts w:ascii="Times New Roman" w:eastAsia="Times New Roman" w:hAnsi="Times New Roman" w:cs="Times New Roman"/>
                <w:sz w:val="28"/>
                <w:szCs w:val="28"/>
              </w:rPr>
              <w:t>постановою Кабінету Міністрів України</w:t>
            </w:r>
          </w:p>
          <w:p w:rsidR="001A7F05" w:rsidRDefault="00000000">
            <w:pPr>
              <w:spacing w:after="0" w:line="276" w:lineRule="auto"/>
              <w:jc w:val="center"/>
              <w:rPr>
                <w:rFonts w:ascii="Times New Roman" w:eastAsia="Times New Roman" w:hAnsi="Times New Roman" w:cs="Times New Roman"/>
                <w:b/>
                <w:bCs/>
                <w:sz w:val="28"/>
                <w:szCs w:val="28"/>
              </w:rPr>
            </w:pPr>
            <w:r w:rsidRPr="004C5206">
              <w:rPr>
                <w:rFonts w:ascii="Times New Roman" w:eastAsia="Times New Roman" w:hAnsi="Times New Roman" w:cs="Times New Roman"/>
                <w:sz w:val="28"/>
                <w:szCs w:val="28"/>
              </w:rPr>
              <w:t>від __ ______________ 2026 р. № _____</w:t>
            </w:r>
          </w:p>
        </w:tc>
      </w:tr>
    </w:tbl>
    <w:p w:rsidR="001A7F05" w:rsidRDefault="00000000">
      <w:pPr>
        <w:spacing w:after="0" w:line="276" w:lineRule="auto"/>
        <w:jc w:val="both"/>
        <w:rPr>
          <w:rFonts w:ascii="Times New Roman" w:eastAsia="Times New Roman" w:hAnsi="Times New Roman" w:cs="Times New Roman"/>
          <w:b/>
          <w:bCs/>
          <w:color w:val="333333"/>
          <w:sz w:val="32"/>
          <w:szCs w:val="32"/>
        </w:rPr>
      </w:pPr>
      <w:r>
        <w:rPr>
          <w:rFonts w:ascii="Times New Roman" w:eastAsia="Times New Roman" w:hAnsi="Times New Roman" w:cs="Times New Roman"/>
          <w:b/>
          <w:bCs/>
          <w:color w:val="333333"/>
          <w:sz w:val="32"/>
          <w:szCs w:val="32"/>
        </w:rPr>
        <w:t xml:space="preserve"> </w:t>
      </w:r>
    </w:p>
    <w:p w:rsidR="001A7F05" w:rsidRDefault="00000000">
      <w:pPr>
        <w:spacing w:after="0" w:line="276" w:lineRule="auto"/>
        <w:jc w:val="both"/>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 xml:space="preserve"> </w:t>
      </w:r>
    </w:p>
    <w:p w:rsidR="001A7F05" w:rsidRDefault="00000000" w:rsidP="004C5206">
      <w:pPr>
        <w:spacing w:after="0" w:line="276" w:lineRule="auto"/>
        <w:ind w:left="709" w:right="140" w:firstLine="851"/>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ПЕРЕЛІК</w:t>
      </w:r>
    </w:p>
    <w:p w:rsidR="001A7F05" w:rsidRDefault="00000000" w:rsidP="004C5206">
      <w:pPr>
        <w:spacing w:after="0" w:line="276" w:lineRule="auto"/>
        <w:ind w:left="709" w:right="140" w:firstLine="851"/>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актів Кабінету Міністрів України, що втратили чинність</w:t>
      </w:r>
    </w:p>
    <w:p w:rsidR="001A7F05" w:rsidRDefault="00000000" w:rsidP="004C5206">
      <w:pPr>
        <w:spacing w:after="0" w:line="276" w:lineRule="auto"/>
        <w:ind w:left="709" w:right="140" w:firstLine="851"/>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 xml:space="preserve"> </w:t>
      </w:r>
    </w:p>
    <w:p w:rsidR="001A7F05" w:rsidRDefault="00000000" w:rsidP="004C5206">
      <w:pPr>
        <w:spacing w:after="0" w:line="276" w:lineRule="auto"/>
        <w:ind w:left="709" w:right="14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Розпорядження Кабінету Міністрів України від 14 грудня 2016 р. № 994 «Про схвалення методичних рекомендацій щодо формування та розміщення регіонального замовлення на підготовку фахівців та робітничих кадрів» (Офіційний вісник України, 2017 р., № 1, ст. 23).</w:t>
      </w:r>
    </w:p>
    <w:p w:rsidR="001A7F05" w:rsidRDefault="00000000" w:rsidP="004C5206">
      <w:pPr>
        <w:spacing w:after="0" w:line="276" w:lineRule="auto"/>
        <w:ind w:left="709" w:right="14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A7F05" w:rsidRDefault="00000000" w:rsidP="004C5206">
      <w:pPr>
        <w:spacing w:after="0" w:line="276" w:lineRule="auto"/>
        <w:ind w:left="709" w:right="14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Розпорядження Кабінету Міністрів України від 13 червня 2018 р. № 413-р «Про внесення змін до розпорядження Кабінету Міністрів України від 14 грудня 2016 р. № 994» (Офіційний вісник України, 2018 р., № 50, ст. 1760).</w:t>
      </w:r>
    </w:p>
    <w:p w:rsidR="001A7F05" w:rsidRDefault="00000000" w:rsidP="004C5206">
      <w:pPr>
        <w:spacing w:after="0" w:line="276" w:lineRule="auto"/>
        <w:ind w:left="709" w:right="14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A7F05" w:rsidRDefault="00000000" w:rsidP="004C5206">
      <w:pPr>
        <w:spacing w:after="0" w:line="276" w:lineRule="auto"/>
        <w:ind w:left="709" w:right="14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Розпорядження Кабінету Міністрів України від 10 червня 2020 р. № 656-р «Про внесення змін до методичних рекомендацій щодо формування та розміщення регіонального замовлення на підготовку фахівців та робітничих кадрів».</w:t>
      </w:r>
    </w:p>
    <w:p w:rsidR="001A7F05" w:rsidRDefault="00000000" w:rsidP="004C5206">
      <w:pPr>
        <w:spacing w:after="0" w:line="276" w:lineRule="auto"/>
        <w:ind w:left="709" w:right="14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A7F05" w:rsidRDefault="00000000" w:rsidP="004C5206">
      <w:pPr>
        <w:spacing w:after="0" w:line="276" w:lineRule="auto"/>
        <w:ind w:left="709" w:right="14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Розпорядження Кабінету Міністрів України від 29 квітня 2022 р. № 329-р «Про внесення змін до методичних рекомендацій щодо формування та розміщення регіонального замовлення на підготовку фахівців та робітничих кадрів» (Офіційний вісник України, 2022 р., № 39, ст. 2115).</w:t>
      </w:r>
    </w:p>
    <w:p w:rsidR="001A7F05" w:rsidRDefault="00000000" w:rsidP="004C5206">
      <w:pPr>
        <w:spacing w:after="0" w:line="276" w:lineRule="auto"/>
        <w:ind w:left="709" w:right="14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A7F05" w:rsidRDefault="00000000" w:rsidP="004C5206">
      <w:pPr>
        <w:spacing w:after="0" w:line="276" w:lineRule="auto"/>
        <w:ind w:left="709" w:right="14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Пункт 2 змін, що вносяться до постанови Кабінету Міністрів України від 14 січня 2015 р. № 6 і розпорядження Кабінету Міністрів України від 14 грудня 2016 р. № 994, затверджених постановою Кабінету Міністрів України від 3 грудня 2025 р. № 1590 (Офіційний вісник України, 2025 р., № 101, ст. 7143).</w:t>
      </w:r>
    </w:p>
    <w:p w:rsidR="001A7F05" w:rsidRDefault="001A7F05">
      <w:pPr>
        <w:spacing w:after="0" w:line="240" w:lineRule="auto"/>
        <w:jc w:val="both"/>
        <w:rPr>
          <w:rFonts w:ascii="Times New Roman" w:eastAsia="Times New Roman" w:hAnsi="Times New Roman" w:cs="Times New Roman"/>
          <w:sz w:val="28"/>
          <w:szCs w:val="28"/>
        </w:rPr>
      </w:pPr>
    </w:p>
    <w:sectPr w:rsidR="001A7F05">
      <w:pgSz w:w="11906" w:h="16838"/>
      <w:pgMar w:top="567" w:right="567" w:bottom="567" w:left="56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432F9" w:rsidRDefault="001432F9">
      <w:pPr>
        <w:spacing w:after="0" w:line="240" w:lineRule="auto"/>
      </w:pPr>
      <w:r>
        <w:separator/>
      </w:r>
    </w:p>
  </w:endnote>
  <w:endnote w:type="continuationSeparator" w:id="0">
    <w:p w:rsidR="001432F9" w:rsidRDefault="00143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6EBDE9F9-58AC-414F-9E30-FA01145F9133}"/>
    <w:embedItalic r:id="rId2" w:fontKey="{F2045010-E233-6B41-9D84-9A4AFB268BA2}"/>
  </w:font>
  <w:font w:name="Play">
    <w:panose1 w:val="020B0604020202020204"/>
    <w:charset w:val="00"/>
    <w:family w:val="auto"/>
    <w:pitch w:val="default"/>
    <w:embedRegular r:id="rId3" w:fontKey="{224214AB-7F31-C64F-B468-58F26016D2AF}"/>
  </w:font>
  <w:font w:name="Times New Roman">
    <w:panose1 w:val="02020603050405020304"/>
    <w:charset w:val="CC"/>
    <w:family w:val="roman"/>
    <w:pitch w:val="variable"/>
    <w:sig w:usb0="E0002EFF" w:usb1="C000785B" w:usb2="00000009" w:usb3="00000000" w:csb0="000001FF" w:csb1="00000000"/>
    <w:embedRegular r:id="rId4" w:fontKey="{0153CB61-50CD-A740-BDE6-3EC52D1BBDE8}"/>
    <w:embedBold r:id="rId5" w:fontKey="{2BC631BE-85DE-0A43-8BFB-2BC5FBA80564}"/>
    <w:embedItalic r:id="rId6" w:fontKey="{9DFB63E7-BE05-7F4C-9024-E03DB3B2DA04}"/>
  </w:font>
  <w:font w:name="Arial">
    <w:panose1 w:val="020B0604020202020204"/>
    <w:charset w:val="00"/>
    <w:family w:val="swiss"/>
    <w:pitch w:val="variable"/>
    <w:sig w:usb0="E0002EFF" w:usb1="C000785B" w:usb2="00000009" w:usb3="00000000" w:csb0="000001FF" w:csb1="00000000"/>
    <w:embedRegular r:id="rId7" w:fontKey="{AA4A1169-C523-0844-A78E-7CD83621EA6A}"/>
  </w:font>
  <w:font w:name="Calibri">
    <w:panose1 w:val="020F0502020204030204"/>
    <w:charset w:val="CC"/>
    <w:family w:val="swiss"/>
    <w:pitch w:val="variable"/>
    <w:sig w:usb0="E4002EFF" w:usb1="C000247B" w:usb2="00000009" w:usb3="00000000" w:csb0="000001FF" w:csb1="00000000"/>
    <w:embedRegular r:id="rId8" w:fontKey="{6C034D49-F520-9348-B880-52E2ABAC0E10}"/>
  </w:font>
  <w:font w:name="Cambria">
    <w:panose1 w:val="02040503050406030204"/>
    <w:charset w:val="CC"/>
    <w:family w:val="roman"/>
    <w:pitch w:val="variable"/>
    <w:sig w:usb0="E00006FF" w:usb1="420024FF" w:usb2="02000000" w:usb3="00000000" w:csb0="0000019F" w:csb1="00000000"/>
    <w:embedRegular r:id="rId9" w:fontKey="{AACDF64E-4E19-FE43-9B4A-9CA8740016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432F9" w:rsidRDefault="001432F9">
      <w:pPr>
        <w:spacing w:after="0" w:line="240" w:lineRule="auto"/>
      </w:pPr>
      <w:r>
        <w:separator/>
      </w:r>
    </w:p>
  </w:footnote>
  <w:footnote w:type="continuationSeparator" w:id="0">
    <w:p w:rsidR="001432F9" w:rsidRDefault="001432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A7F05" w:rsidRDefault="001A7F05">
    <w:pPr>
      <w:tabs>
        <w:tab w:val="center" w:pos="4819"/>
        <w:tab w:val="right" w:pos="9639"/>
      </w:tabs>
      <w:spacing w:after="0" w:line="240" w:lineRule="auto"/>
      <w:ind w:firstLine="567"/>
      <w:jc w:val="both"/>
      <w:rPr>
        <w:color w:val="000000"/>
      </w:rPr>
    </w:pPr>
  </w:p>
  <w:p w:rsidR="001A7F05" w:rsidRDefault="001A7F05">
    <w:pPr>
      <w:pBdr>
        <w:top w:val="nil"/>
        <w:left w:val="nil"/>
        <w:bottom w:val="nil"/>
        <w:right w:val="nil"/>
        <w:between w:val="nil"/>
      </w:pBdr>
      <w:tabs>
        <w:tab w:val="center" w:pos="4819"/>
        <w:tab w:val="right" w:pos="9639"/>
      </w:tabs>
      <w:spacing w:after="0" w:line="240" w:lineRule="auto"/>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F05"/>
    <w:rsid w:val="000A24DF"/>
    <w:rsid w:val="001432F9"/>
    <w:rsid w:val="001A7F05"/>
    <w:rsid w:val="004C5206"/>
    <w:rsid w:val="00B317F6"/>
    <w:rsid w:val="00D72B5D"/>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4:docId w14:val="7DDB043D"/>
  <w15:docId w15:val="{40D0EB55-A76D-0F42-8C7F-791838597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uk" w:eastAsia="ru-R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zakon-pro.ligazakon.net/document/KP210365?ed=2021_03_24&amp;an=197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zakon-pro.ligazakon.net/document/KP210365?ed=2021_03_24&amp;an=1974" TargetMode="External"/><Relationship Id="rId5" Type="http://schemas.openxmlformats.org/officeDocument/2006/relationships/footnotes" Target="footnotes.xml"/><Relationship Id="rId10" Type="http://schemas.openxmlformats.org/officeDocument/2006/relationships/hyperlink" Target="https://zakon-pro.ligazakon.net/document/KP210365?ed=2021_03_24&amp;an=1973" TargetMode="External"/><Relationship Id="rId4" Type="http://schemas.openxmlformats.org/officeDocument/2006/relationships/webSettings" Target="webSettings.xml"/><Relationship Id="rId9" Type="http://schemas.openxmlformats.org/officeDocument/2006/relationships/hyperlink" Target="https://zakon-pro.ligazakon.net/document/KP210365?ed=2021_03_24&amp;an=197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OHACELISGOjpakjdrSMSxYpJ5A==">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2340</Words>
  <Characters>13341</Characters>
  <Application>Microsoft Office Word</Application>
  <DocSecurity>0</DocSecurity>
  <Lines>111</Lines>
  <Paragraphs>31</Paragraphs>
  <ScaleCrop>false</ScaleCrop>
  <Company/>
  <LinksUpToDate>false</LinksUpToDate>
  <CharactersWithSpaces>15650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2026-06-17T09:39:00Z</dcterms:created>
  <dcterms:modified xsi:type="dcterms:W3CDTF">2026-06-17T09:51:00Z</dcterms:modified>
</cp:coreProperties>
</file>