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920"/>
        <w:gridCol w:w="3544"/>
      </w:tblGrid>
      <w:tr w:rsidR="00A67CF9" w:rsidRPr="00A67C3B" w:rsidTr="004939BA">
        <w:trPr>
          <w:trHeight w:val="1056"/>
        </w:trPr>
        <w:tc>
          <w:tcPr>
            <w:tcW w:w="5920" w:type="dxa"/>
          </w:tcPr>
          <w:p w:rsidR="00A67CF9" w:rsidRPr="00A67C3B" w:rsidRDefault="00A67CF9" w:rsidP="00A67C3B">
            <w:pPr>
              <w:shd w:val="clear" w:color="auto" w:fill="FFFFFF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67CF9" w:rsidRPr="00A67C3B" w:rsidRDefault="00A67CF9" w:rsidP="00A67C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:rsidR="00A67CF9" w:rsidRPr="00A67C3B" w:rsidRDefault="00A67CF9" w:rsidP="00A67C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 Міністерства</w:t>
            </w:r>
          </w:p>
          <w:p w:rsidR="00A67CF9" w:rsidRPr="00A67C3B" w:rsidRDefault="00A67CF9" w:rsidP="00A67C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освіти і науки України</w:t>
            </w:r>
          </w:p>
          <w:p w:rsidR="00A67CF9" w:rsidRPr="00A67C3B" w:rsidRDefault="00A67C3B" w:rsidP="00A67C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</w:t>
            </w:r>
            <w:r w:rsidR="00A67CF9"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 № ____</w:t>
            </w:r>
          </w:p>
        </w:tc>
      </w:tr>
    </w:tbl>
    <w:p w:rsidR="00A67CF9" w:rsidRPr="00A67C3B" w:rsidRDefault="00A67CF9" w:rsidP="00A6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7C3B" w:rsidRDefault="00A67CF9" w:rsidP="00A6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7C3B" w:rsidRDefault="00A67CF9" w:rsidP="00A6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7C3B" w:rsidRDefault="00A67CF9" w:rsidP="00A6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7C3B" w:rsidRDefault="00A67CF9" w:rsidP="00A6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7C3B" w:rsidRDefault="00A67CF9" w:rsidP="00A6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7C3B" w:rsidRDefault="00A67CF9" w:rsidP="00A6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 xml:space="preserve">СТАНДАРТ ВИЩОЇ ОСВІТИ </w:t>
      </w:r>
    </w:p>
    <w:p w:rsidR="00A67CF9" w:rsidRPr="00A67C3B" w:rsidRDefault="00A67CF9" w:rsidP="00A67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7C3B" w:rsidRDefault="00A67CF9" w:rsidP="00A67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7C3B" w:rsidRDefault="00A67CF9" w:rsidP="00A67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7C3B" w:rsidRDefault="00A67CF9" w:rsidP="00A67C3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 xml:space="preserve">РІВЕНЬ ВИЩОЇ </w:t>
      </w:r>
      <w:proofErr w:type="spellStart"/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D81C9F" w:rsidRPr="00A67C3B">
        <w:rPr>
          <w:rFonts w:ascii="Times New Roman" w:eastAsia="Times New Roman" w:hAnsi="Times New Roman" w:cs="Times New Roman"/>
          <w:sz w:val="28"/>
          <w:szCs w:val="28"/>
          <w:u w:val="single"/>
        </w:rPr>
        <w:t>другий</w:t>
      </w:r>
      <w:proofErr w:type="spellEnd"/>
      <w:r w:rsidR="00D81C9F" w:rsidRPr="00A67C3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(магістерський)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67CF9" w:rsidRPr="00A67C3B" w:rsidRDefault="00A67CF9" w:rsidP="00A67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</w:t>
      </w:r>
      <w:r w:rsidR="004939BA" w:rsidRPr="00A67C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A67C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(назва рівня вищої освіти)</w:t>
      </w:r>
    </w:p>
    <w:p w:rsidR="00A67CF9" w:rsidRPr="00A67C3B" w:rsidRDefault="00A67CF9" w:rsidP="00A67C3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7C3B" w:rsidRDefault="00A67CF9" w:rsidP="00A67C3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>СТУПІНЬ ВИЩОЇ ОСВІТИ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5B71EC"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1EC" w:rsidRPr="00A67C3B">
        <w:rPr>
          <w:rFonts w:ascii="Times New Roman" w:eastAsia="Times New Roman" w:hAnsi="Times New Roman" w:cs="Times New Roman"/>
          <w:sz w:val="28"/>
          <w:szCs w:val="28"/>
          <w:u w:val="single"/>
        </w:rPr>
        <w:t>магіст</w:t>
      </w:r>
      <w:r w:rsidR="00D81C9F" w:rsidRPr="00A67C3B">
        <w:rPr>
          <w:rFonts w:ascii="Times New Roman" w:eastAsia="Times New Roman" w:hAnsi="Times New Roman" w:cs="Times New Roman"/>
          <w:sz w:val="28"/>
          <w:szCs w:val="28"/>
          <w:u w:val="single"/>
        </w:rPr>
        <w:t>р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A67CF9" w:rsidRPr="00A67C3B" w:rsidRDefault="00A67CF9" w:rsidP="00A67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</w:t>
      </w:r>
      <w:r w:rsidR="004939BA" w:rsidRPr="00A67C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</w:t>
      </w:r>
      <w:r w:rsidRPr="00A67C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(назва ступеня вищої освіти)</w:t>
      </w:r>
    </w:p>
    <w:p w:rsidR="00A67CF9" w:rsidRPr="00A67C3B" w:rsidRDefault="00A67CF9" w:rsidP="00A67C3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39BA" w:rsidRPr="00A67C3B" w:rsidRDefault="00A67CF9" w:rsidP="00A67C3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>ГАЛУЗЬ ЗНАНЬ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39BA" w:rsidRPr="00A67C3B">
        <w:rPr>
          <w:rFonts w:ascii="Times New Roman" w:eastAsia="Times New Roman" w:hAnsi="Times New Roman" w:cs="Times New Roman"/>
          <w:sz w:val="28"/>
          <w:szCs w:val="28"/>
        </w:rPr>
        <w:t xml:space="preserve">Н Сільське, лісове, рибне господарство та </w:t>
      </w:r>
    </w:p>
    <w:p w:rsidR="00A67CF9" w:rsidRPr="00A67C3B" w:rsidRDefault="004939BA" w:rsidP="00A67C3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A67C3B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ветеринарна медицина</w:t>
      </w:r>
      <w:r w:rsidR="00A67CF9" w:rsidRPr="00A67C3B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A67CF9" w:rsidRPr="00A67C3B" w:rsidRDefault="00A67CF9" w:rsidP="00A67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A67C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(шифр та найменування галузі знань)</w:t>
      </w:r>
    </w:p>
    <w:p w:rsidR="00A67CF9" w:rsidRPr="00A67C3B" w:rsidRDefault="00A67CF9" w:rsidP="00A67C3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7C3B" w:rsidRDefault="00A67CF9" w:rsidP="00A67C3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>СПЕЦІАЛЬНІСТЬ____</w:t>
      </w:r>
      <w:r w:rsidR="004939BA" w:rsidRPr="00A67C3B">
        <w:rPr>
          <w:rFonts w:ascii="Times New Roman" w:eastAsia="Times New Roman" w:hAnsi="Times New Roman" w:cs="Times New Roman"/>
          <w:sz w:val="28"/>
          <w:szCs w:val="28"/>
          <w:u w:val="single"/>
        </w:rPr>
        <w:t>Н3 Садово-паркове господарство</w:t>
      </w: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="004939BA" w:rsidRPr="00A67C3B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</w:p>
    <w:p w:rsidR="00A67CF9" w:rsidRPr="00A67C3B" w:rsidRDefault="00A67CF9" w:rsidP="00A67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A67C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(код та найменування спеціальності)</w:t>
      </w:r>
    </w:p>
    <w:p w:rsidR="00A67CF9" w:rsidRPr="00A67C3B" w:rsidRDefault="00A67CF9" w:rsidP="00A6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CF9" w:rsidRPr="00A67C3B" w:rsidRDefault="00A67CF9" w:rsidP="00A6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CF9" w:rsidRPr="00A67C3B" w:rsidRDefault="00A67CF9" w:rsidP="00A6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CF9" w:rsidRPr="00A67C3B" w:rsidRDefault="00A67CF9" w:rsidP="00A6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i/>
          <w:sz w:val="28"/>
          <w:szCs w:val="28"/>
        </w:rPr>
        <w:t>Видання офіційне</w:t>
      </w:r>
    </w:p>
    <w:p w:rsidR="00A67CF9" w:rsidRPr="00A67C3B" w:rsidRDefault="00A67CF9" w:rsidP="00A6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7C3B" w:rsidRDefault="00A67CF9" w:rsidP="00A6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7C3B" w:rsidRDefault="00A67CF9" w:rsidP="00A6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>МІНІСТЕРСТВО  ОСВІТИ  І  НАУКИ  УКРАЇНИ</w:t>
      </w:r>
    </w:p>
    <w:p w:rsidR="00A67CF9" w:rsidRPr="00A67C3B" w:rsidRDefault="00A67CF9" w:rsidP="00A67C3B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7C3B" w:rsidRDefault="00A67CF9" w:rsidP="00A67C3B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7C3B" w:rsidRDefault="00A67CF9" w:rsidP="00A67C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>Київ</w:t>
      </w:r>
    </w:p>
    <w:p w:rsidR="00C63FC1" w:rsidRPr="00A67C3B" w:rsidRDefault="00A67CF9" w:rsidP="00A6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4939BA" w:rsidRPr="00A67C3B">
        <w:rPr>
          <w:rFonts w:ascii="Times New Roman" w:eastAsia="Times New Roman" w:hAnsi="Times New Roman" w:cs="Times New Roman"/>
          <w:b/>
          <w:sz w:val="28"/>
          <w:szCs w:val="28"/>
        </w:rPr>
        <w:t>26</w:t>
      </w:r>
    </w:p>
    <w:p w:rsidR="004939BA" w:rsidRPr="00A67C3B" w:rsidRDefault="004939BA" w:rsidP="00A67C3B">
      <w:pPr>
        <w:spacing w:after="0" w:line="240" w:lineRule="auto"/>
        <w:rPr>
          <w:rFonts w:ascii="Times New Roman" w:hAnsi="Times New Roman" w:cs="Times New Roman"/>
        </w:rPr>
      </w:pPr>
      <w:r w:rsidRPr="00A67C3B">
        <w:rPr>
          <w:rFonts w:ascii="Times New Roman" w:hAnsi="Times New Roman" w:cs="Times New Roman"/>
        </w:rPr>
        <w:br w:type="page"/>
      </w:r>
    </w:p>
    <w:p w:rsidR="00A67CF9" w:rsidRPr="00A67C3B" w:rsidRDefault="00A67CF9" w:rsidP="00A67C3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І. Преамбула</w:t>
      </w:r>
    </w:p>
    <w:p w:rsidR="00A67CF9" w:rsidRPr="00A67C3B" w:rsidRDefault="00A67CF9" w:rsidP="00A67C3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39BA" w:rsidRPr="00A67C3B" w:rsidRDefault="004939BA" w:rsidP="00A67C3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Стандарт вищої освіти України </w:t>
      </w:r>
      <w:r w:rsidR="00D81C9F"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другого</w:t>
      </w: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(</w:t>
      </w:r>
      <w:r w:rsidR="00D81C9F"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магістер</w:t>
      </w: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ського) рівня освіти</w:t>
      </w:r>
      <w:r w:rsid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(далі – Стандарт),</w:t>
      </w: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ступ</w:t>
      </w:r>
      <w:r w:rsid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інь</w:t>
      </w: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вищої освіти – бакалавр, галуз</w:t>
      </w:r>
      <w:r w:rsid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ь</w:t>
      </w: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знань – Н Сільське, лісове, рибне господарство та ветеринарна медицина</w:t>
      </w:r>
      <w:r w:rsid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спеціальн</w:t>
      </w:r>
      <w:r w:rsid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і</w:t>
      </w: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ст</w:t>
      </w:r>
      <w:r w:rsid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ь</w:t>
      </w: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– НЗ Садово-паркове господарство</w:t>
      </w:r>
      <w:r w:rsid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4939BA" w:rsidRPr="00A67C3B" w:rsidRDefault="004939BA" w:rsidP="00A67C3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39BA" w:rsidRPr="00A67C3B" w:rsidRDefault="004939BA" w:rsidP="00A67C3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Затверджено та введено в дію наказом Міністерства освіти і науки України від </w:t>
      </w:r>
      <w:r w:rsidR="005F5291"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</w:t>
      </w: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р. № </w:t>
      </w:r>
      <w:r w:rsidR="005F5291"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</w:t>
      </w: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5F5291" w:rsidRPr="00A67C3B" w:rsidRDefault="005F5291" w:rsidP="00A67C3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5F5291" w:rsidRPr="00A67C3B" w:rsidRDefault="005F5291" w:rsidP="00A67C3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Стандарт розроблено членами підкомісії зі спеціальності НЗ Садово-паркове господарство Науково-методичної комісії 8</w:t>
      </w:r>
      <w:r w:rsidRPr="00A67C3B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з сільського, лісового, рибного господарства та ветеринарної медицини</w:t>
      </w:r>
      <w:r w:rsidRPr="00A67C3B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A67C3B">
        <w:rPr>
          <w:rFonts w:ascii="Times New Roman" w:eastAsiaTheme="minorHAnsi" w:hAnsi="Times New Roman" w:cs="Times New Roman"/>
          <w:sz w:val="28"/>
          <w:szCs w:val="28"/>
          <w:lang w:eastAsia="en-US"/>
        </w:rPr>
        <w:t>сектору вищої освіти Науково-методичної ради Міністерства освіти і науки України:</w:t>
      </w:r>
    </w:p>
    <w:p w:rsidR="0004470D" w:rsidRPr="00A67C3B" w:rsidRDefault="0004470D" w:rsidP="00A67C3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7C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Бойко Тетяна Олексіївна</w:t>
      </w:r>
      <w:r w:rsidRPr="00A67C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67C3B">
        <w:rPr>
          <w:rFonts w:ascii="Times New Roman" w:eastAsiaTheme="minorHAnsi" w:hAnsi="Times New Roman" w:cs="Times New Roman"/>
          <w:sz w:val="28"/>
          <w:szCs w:val="28"/>
          <w:lang w:eastAsia="en-US"/>
        </w:rPr>
        <w:sym w:font="Symbol" w:char="F02D"/>
      </w:r>
      <w:r w:rsidRPr="00A67C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кандидат біологічних наук, доцент в.</w:t>
      </w:r>
      <w:r w:rsidR="00A67C3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67C3B">
        <w:rPr>
          <w:rFonts w:ascii="Times New Roman" w:eastAsiaTheme="minorHAnsi" w:hAnsi="Times New Roman" w:cs="Times New Roman"/>
          <w:sz w:val="28"/>
          <w:szCs w:val="28"/>
          <w:lang w:eastAsia="en-US"/>
        </w:rPr>
        <w:t>о.</w:t>
      </w:r>
      <w:r w:rsidR="00A67C3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67C3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завідувача кафедри лісового та садово-паркового господарства Херсонського державного аграрно-економічного університету, заступник голови підкомісії;</w:t>
      </w:r>
    </w:p>
    <w:p w:rsidR="0004470D" w:rsidRPr="00A67C3B" w:rsidRDefault="0004470D" w:rsidP="00A67C3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A67C3B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Дудин</w:t>
      </w:r>
      <w:proofErr w:type="spellEnd"/>
      <w:r w:rsidRPr="00A67C3B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 Роман Богданович</w:t>
      </w:r>
      <w:r w:rsidRPr="00A67C3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A67C3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sym w:font="Symbol" w:char="F02D"/>
      </w:r>
      <w:r w:rsidRPr="00A67C3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кандидат сільськогосподарських наук, доцент, завідувач кафедри ландшафтної архітектури, садово-паркового господарства та </w:t>
      </w:r>
      <w:proofErr w:type="spellStart"/>
      <w:r w:rsidRPr="00A67C3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урбоекології</w:t>
      </w:r>
      <w:proofErr w:type="spellEnd"/>
      <w:r w:rsidRPr="00A67C3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Національного лісотехнічного університету України, член підкомісії;</w:t>
      </w:r>
    </w:p>
    <w:p w:rsidR="0004470D" w:rsidRPr="00A67C3B" w:rsidRDefault="0004470D" w:rsidP="00A67C3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7C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Мельник Тетяна Іванівна</w:t>
      </w:r>
      <w:r w:rsidRPr="00A67C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67C3B">
        <w:rPr>
          <w:rFonts w:ascii="Times New Roman" w:eastAsiaTheme="minorHAnsi" w:hAnsi="Times New Roman" w:cs="Times New Roman"/>
          <w:sz w:val="28"/>
          <w:szCs w:val="28"/>
          <w:lang w:eastAsia="en-US"/>
        </w:rPr>
        <w:sym w:font="Symbol" w:char="F02D"/>
      </w:r>
      <w:r w:rsidRPr="00A67C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кандидат біологічних наук, професор, професор кафедри садово-паркового та лісового господарства Сумського національного аграрного університету, голова підкомісії;</w:t>
      </w:r>
    </w:p>
    <w:p w:rsidR="0004470D" w:rsidRPr="00A67C3B" w:rsidRDefault="0004470D" w:rsidP="00A67C3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A67C3B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Піхало</w:t>
      </w:r>
      <w:proofErr w:type="spellEnd"/>
      <w:r w:rsidRPr="00A67C3B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 Олеся Віталіївна</w:t>
      </w:r>
      <w:r w:rsidRPr="00A67C3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A67C3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sym w:font="Symbol" w:char="F02D"/>
      </w:r>
      <w:r w:rsidRPr="00A67C3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кандидат сільськогосподарських наук, доцент, доцент кафедри ландшафтної архітектури та фітодизайну Національного університету біоресурсів і природокористування України, секретар підкомісії;</w:t>
      </w:r>
    </w:p>
    <w:p w:rsidR="0004470D" w:rsidRPr="00A67C3B" w:rsidRDefault="0004470D" w:rsidP="00A67C3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A67C3B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Циганська Олена Іванівна</w:t>
      </w:r>
      <w:r w:rsidRPr="00A67C3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A67C3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sym w:font="Symbol" w:char="F02D"/>
      </w:r>
      <w:r w:rsidRPr="00A67C3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кандидат сільськогосподарських наук, доцент, доцент кафедри лісового та садово-паркового господарства Вінницького національного аграрного університету, член підкомісії.</w:t>
      </w:r>
    </w:p>
    <w:p w:rsidR="005F5291" w:rsidRPr="00A67C3B" w:rsidRDefault="005F5291" w:rsidP="00A67C3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5F5291" w:rsidRPr="00A67C3B" w:rsidRDefault="005F5291" w:rsidP="00A67C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Стандарт розглянуто і схвалено на засіданні Науково-методичної комісії </w:t>
      </w:r>
      <w:r w:rsidR="001B5C02"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Науково-методичної комісії 8</w:t>
      </w:r>
      <w:r w:rsidR="001B5C02" w:rsidRPr="00A67C3B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з сільського, лісового, рибного господарства та ветеринарної медицини</w:t>
      </w: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протокол № ____ від __________ р</w:t>
      </w:r>
      <w:r w:rsidR="001B5C02"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оку</w:t>
      </w: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:rsidR="005F5291" w:rsidRPr="00A67C3B" w:rsidRDefault="005F5291" w:rsidP="00A67C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5F5291" w:rsidRPr="00A67C3B" w:rsidRDefault="005F5291" w:rsidP="00A67C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Стандарт розглянуто та схвалено на засіданні сектору вищої освіти Науково</w:t>
      </w:r>
      <w:r w:rsidR="001B5C02"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</w:t>
      </w: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методичної ради Міністерства освіти і науки України, протокол </w:t>
      </w:r>
      <w:r w:rsidR="001B5C02"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№____ </w:t>
      </w: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від </w:t>
      </w:r>
      <w:r w:rsidR="001B5C02"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 року.</w:t>
      </w:r>
    </w:p>
    <w:p w:rsidR="001B5C02" w:rsidRPr="00A67C3B" w:rsidRDefault="001B5C02" w:rsidP="00A67C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A67CF9" w:rsidRPr="00A67C3B" w:rsidRDefault="001B5C02" w:rsidP="00A67C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Погоджено р</w:t>
      </w:r>
      <w:r w:rsidR="005F5291"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ішення</w:t>
      </w: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</w:t>
      </w:r>
      <w:r w:rsidR="005F5291"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Національного агентства із за</w:t>
      </w:r>
      <w:r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безпечення якості вищої освіти №_____ від ___________ року.</w:t>
      </w:r>
    </w:p>
    <w:p w:rsidR="00A67CF9" w:rsidRPr="00A67C3B" w:rsidRDefault="00A67CF9" w:rsidP="00A67C3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5C02" w:rsidRPr="00A67C3B" w:rsidRDefault="001B5C02" w:rsidP="00A67C3B">
      <w:pPr>
        <w:spacing w:after="0" w:line="240" w:lineRule="auto"/>
        <w:rPr>
          <w:rFonts w:ascii="Times New Roman" w:hAnsi="Times New Roman" w:cs="Times New Roman"/>
        </w:rPr>
      </w:pPr>
      <w:r w:rsidRPr="00A67C3B">
        <w:rPr>
          <w:rFonts w:ascii="Times New Roman" w:hAnsi="Times New Roman" w:cs="Times New Roman"/>
        </w:rPr>
        <w:br w:type="page"/>
      </w:r>
    </w:p>
    <w:p w:rsidR="00A67CF9" w:rsidRPr="00A67C3B" w:rsidRDefault="00A67CF9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ІІ. Загальна характеристика</w:t>
      </w:r>
    </w:p>
    <w:p w:rsidR="00A67CF9" w:rsidRPr="00A67C3B" w:rsidRDefault="00A67CF9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0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6662"/>
      </w:tblGrid>
      <w:tr w:rsidR="00A67CF9" w:rsidRPr="00A67C3B" w:rsidTr="00B825D3">
        <w:trPr>
          <w:trHeight w:val="151"/>
        </w:trPr>
        <w:tc>
          <w:tcPr>
            <w:tcW w:w="2745" w:type="dxa"/>
          </w:tcPr>
          <w:p w:rsidR="00A67CF9" w:rsidRPr="00A67C3B" w:rsidRDefault="00A67CF9" w:rsidP="00A6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6662" w:type="dxa"/>
          </w:tcPr>
          <w:p w:rsidR="00A67CF9" w:rsidRPr="00A67C3B" w:rsidRDefault="00990AD1" w:rsidP="00A67C3B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A67CF9"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>ругий (магістерський) рівень</w:t>
            </w:r>
          </w:p>
        </w:tc>
      </w:tr>
      <w:tr w:rsidR="00A67CF9" w:rsidRPr="00A67C3B" w:rsidTr="00B825D3">
        <w:trPr>
          <w:trHeight w:val="151"/>
        </w:trPr>
        <w:tc>
          <w:tcPr>
            <w:tcW w:w="2745" w:type="dxa"/>
          </w:tcPr>
          <w:p w:rsidR="00A67CF9" w:rsidRPr="00A67C3B" w:rsidRDefault="00A67CF9" w:rsidP="00A6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Ступінь вищої освіти</w:t>
            </w:r>
          </w:p>
        </w:tc>
        <w:tc>
          <w:tcPr>
            <w:tcW w:w="6662" w:type="dxa"/>
          </w:tcPr>
          <w:p w:rsidR="00A67CF9" w:rsidRPr="00A67C3B" w:rsidRDefault="00990AD1" w:rsidP="00A67C3B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A67CF9"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>агістр</w:t>
            </w:r>
          </w:p>
        </w:tc>
      </w:tr>
      <w:tr w:rsidR="00A67CF9" w:rsidRPr="00A67C3B" w:rsidTr="00B825D3">
        <w:tc>
          <w:tcPr>
            <w:tcW w:w="2745" w:type="dxa"/>
          </w:tcPr>
          <w:p w:rsidR="00A67CF9" w:rsidRPr="00A67C3B" w:rsidRDefault="00A67CF9" w:rsidP="00A6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Галузь знань</w:t>
            </w:r>
          </w:p>
        </w:tc>
        <w:tc>
          <w:tcPr>
            <w:tcW w:w="6662" w:type="dxa"/>
          </w:tcPr>
          <w:p w:rsidR="00A67CF9" w:rsidRDefault="001B5C02" w:rsidP="00A67C3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67C3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 Сільське, лісове, рибне господарство та ветеринарна медицина</w:t>
            </w:r>
          </w:p>
          <w:p w:rsidR="00A67C3B" w:rsidRPr="00A67C3B" w:rsidRDefault="00A67C3B" w:rsidP="00A6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CF9" w:rsidRPr="00A67C3B" w:rsidTr="00B825D3">
        <w:tc>
          <w:tcPr>
            <w:tcW w:w="2745" w:type="dxa"/>
          </w:tcPr>
          <w:p w:rsidR="00A67CF9" w:rsidRPr="00A67C3B" w:rsidRDefault="00A67CF9" w:rsidP="00A6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662" w:type="dxa"/>
          </w:tcPr>
          <w:p w:rsidR="00A67CF9" w:rsidRDefault="001B5C02" w:rsidP="00A67C3B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67C3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НЗ Садово-паркове господарство</w:t>
            </w:r>
          </w:p>
          <w:p w:rsidR="00A67C3B" w:rsidRPr="00A67C3B" w:rsidRDefault="00A67C3B" w:rsidP="00A67C3B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CF9" w:rsidRPr="00A67C3B" w:rsidTr="00B825D3">
        <w:tc>
          <w:tcPr>
            <w:tcW w:w="2745" w:type="dxa"/>
          </w:tcPr>
          <w:p w:rsidR="00A67CF9" w:rsidRPr="00A67C3B" w:rsidRDefault="00A67CF9" w:rsidP="00A6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Перелік назв освітніх програм</w:t>
            </w:r>
          </w:p>
        </w:tc>
        <w:tc>
          <w:tcPr>
            <w:tcW w:w="6662" w:type="dxa"/>
          </w:tcPr>
          <w:p w:rsidR="00A67CF9" w:rsidRPr="00A67C3B" w:rsidRDefault="00764D42" w:rsidP="00A6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Заклади вищої освіти відповідно до академічної автономії можуть самостійно </w:t>
            </w:r>
            <w:r w:rsidR="0071448A"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визначають назви освітніх програм з урахуванням вимог частини 6 статті 9</w:t>
            </w:r>
            <w:r w:rsidR="0071448A" w:rsidRPr="00A67C3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71448A"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r w:rsid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>акону України «Про вищу освіту»</w:t>
            </w:r>
          </w:p>
        </w:tc>
      </w:tr>
      <w:tr w:rsidR="00A67CF9" w:rsidRPr="00A67C3B" w:rsidTr="00B825D3">
        <w:tc>
          <w:tcPr>
            <w:tcW w:w="2745" w:type="dxa"/>
          </w:tcPr>
          <w:p w:rsidR="00A67CF9" w:rsidRPr="00A67C3B" w:rsidRDefault="00A67CF9" w:rsidP="00A6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Назви спеціалізацій (предметних спеціальностей)</w:t>
            </w:r>
          </w:p>
        </w:tc>
        <w:tc>
          <w:tcPr>
            <w:tcW w:w="6662" w:type="dxa"/>
          </w:tcPr>
          <w:p w:rsidR="00A67CF9" w:rsidRPr="00A67C3B" w:rsidRDefault="00A67C3B" w:rsidP="00A6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регламентується</w:t>
            </w:r>
          </w:p>
        </w:tc>
      </w:tr>
      <w:tr w:rsidR="00A67CF9" w:rsidRPr="00A67C3B" w:rsidTr="00B825D3">
        <w:trPr>
          <w:trHeight w:val="151"/>
        </w:trPr>
        <w:tc>
          <w:tcPr>
            <w:tcW w:w="2745" w:type="dxa"/>
          </w:tcPr>
          <w:p w:rsidR="00A67CF9" w:rsidRPr="00A67C3B" w:rsidRDefault="00A67CF9" w:rsidP="00A6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Форми здобуття вищої освіти </w:t>
            </w:r>
            <w:r w:rsidRPr="00A67C3B">
              <w:rPr>
                <w:rFonts w:ascii="Times New Roman" w:eastAsia="Times New Roman" w:hAnsi="Times New Roman" w:cs="Times New Roman"/>
                <w:sz w:val="24"/>
                <w:szCs w:val="24"/>
              </w:rPr>
              <w:t>(виключно для спеціальностей або освітніх програм із спеціальностей, що передбачають доступ до професій, для яких запроваджено додаткове регулювання)</w:t>
            </w:r>
          </w:p>
        </w:tc>
        <w:tc>
          <w:tcPr>
            <w:tcW w:w="6662" w:type="dxa"/>
          </w:tcPr>
          <w:p w:rsidR="001B5C02" w:rsidRPr="00A67C3B" w:rsidRDefault="00A67C3B" w:rsidP="00A6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регламентується</w:t>
            </w:r>
          </w:p>
        </w:tc>
      </w:tr>
      <w:tr w:rsidR="00A67CF9" w:rsidRPr="00A67C3B" w:rsidTr="00B825D3">
        <w:trPr>
          <w:trHeight w:val="151"/>
        </w:trPr>
        <w:tc>
          <w:tcPr>
            <w:tcW w:w="2745" w:type="dxa"/>
          </w:tcPr>
          <w:p w:rsidR="00A67CF9" w:rsidRPr="00A67C3B" w:rsidRDefault="00A67CF9" w:rsidP="00A6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Освітня кваліфікація </w:t>
            </w:r>
          </w:p>
        </w:tc>
        <w:tc>
          <w:tcPr>
            <w:tcW w:w="6662" w:type="dxa"/>
            <w:shd w:val="clear" w:color="auto" w:fill="auto"/>
          </w:tcPr>
          <w:p w:rsidR="00764D42" w:rsidRPr="00A67C3B" w:rsidRDefault="00764D42" w:rsidP="00A67C3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67C3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Магістр з </w:t>
            </w:r>
            <w:r w:rsidR="00D2458C" w:rsidRPr="00A67C3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r w:rsidRPr="00A67C3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адово-паркового господарства</w:t>
            </w:r>
          </w:p>
          <w:p w:rsidR="00A67CF9" w:rsidRPr="00A67C3B" w:rsidRDefault="00764D42" w:rsidP="00A6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C3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(за наявності </w:t>
            </w:r>
            <w:r w:rsidRPr="00A67C3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sym w:font="Symbol" w:char="F02D"/>
            </w:r>
            <w:r w:rsidRPr="00A67C3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із зазначенням спеціалізації</w:t>
            </w:r>
            <w:r w:rsidR="00CD6493" w:rsidRPr="00A67C3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).</w:t>
            </w:r>
            <w:r w:rsidR="00D2458C" w:rsidRPr="00A67C3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A67CF9" w:rsidRPr="00A67C3B" w:rsidTr="00B825D3">
        <w:trPr>
          <w:trHeight w:val="151"/>
        </w:trPr>
        <w:tc>
          <w:tcPr>
            <w:tcW w:w="2745" w:type="dxa"/>
          </w:tcPr>
          <w:p w:rsidR="00A67CF9" w:rsidRPr="00A67C3B" w:rsidRDefault="00A67CF9" w:rsidP="00A6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Професійна(і) кваліфікація(ї) </w:t>
            </w:r>
          </w:p>
        </w:tc>
        <w:tc>
          <w:tcPr>
            <w:tcW w:w="6662" w:type="dxa"/>
            <w:shd w:val="clear" w:color="auto" w:fill="auto"/>
          </w:tcPr>
          <w:p w:rsidR="00A67CF9" w:rsidRPr="00A67C3B" w:rsidRDefault="00A67C3B" w:rsidP="00A6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регламентується</w:t>
            </w:r>
          </w:p>
        </w:tc>
      </w:tr>
      <w:tr w:rsidR="00A67CF9" w:rsidRPr="00A67C3B" w:rsidTr="00B825D3">
        <w:trPr>
          <w:trHeight w:val="879"/>
        </w:trPr>
        <w:tc>
          <w:tcPr>
            <w:tcW w:w="2745" w:type="dxa"/>
          </w:tcPr>
          <w:p w:rsidR="00A67CF9" w:rsidRPr="00A67C3B" w:rsidRDefault="00A67CF9" w:rsidP="00A6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Академічні права випускників</w:t>
            </w:r>
          </w:p>
        </w:tc>
        <w:tc>
          <w:tcPr>
            <w:tcW w:w="6662" w:type="dxa"/>
          </w:tcPr>
          <w:p w:rsidR="006B6A16" w:rsidRPr="00A67C3B" w:rsidRDefault="00A67C3B" w:rsidP="00A6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r w:rsidR="00990AD1" w:rsidRPr="00A67C3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добуття третього (освітньо-наукового) рівня вищої освіти. Набуття додаткових кваліфікацій та професійного розвитку в системі післядипломної освіти.</w:t>
            </w:r>
          </w:p>
        </w:tc>
      </w:tr>
      <w:tr w:rsidR="00A67CF9" w:rsidRPr="00A67C3B" w:rsidTr="00B825D3">
        <w:trPr>
          <w:trHeight w:val="151"/>
        </w:trPr>
        <w:tc>
          <w:tcPr>
            <w:tcW w:w="2745" w:type="dxa"/>
          </w:tcPr>
          <w:p w:rsidR="00A67CF9" w:rsidRPr="00A67C3B" w:rsidRDefault="00A67CF9" w:rsidP="00A6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Працевлаштування випускників </w:t>
            </w:r>
            <w:r w:rsidRPr="00A67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(обов’язково </w:t>
            </w:r>
          </w:p>
          <w:p w:rsidR="00A67CF9" w:rsidRPr="00A67C3B" w:rsidRDefault="00A67CF9" w:rsidP="00A6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sz w:val="24"/>
                <w:szCs w:val="24"/>
              </w:rPr>
              <w:t>тільки для спеціальностей</w:t>
            </w:r>
            <w:r w:rsidRPr="00A6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передбачають доступ до професій, для яких запроваджено додаткове регулювання</w:t>
            </w:r>
            <w:r w:rsidRPr="00A67C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</w:tcPr>
          <w:p w:rsidR="00A67CF9" w:rsidRPr="00A67C3B" w:rsidRDefault="00C77986" w:rsidP="00A67C3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highlight w:val="green"/>
              </w:rPr>
            </w:pPr>
            <w:r w:rsidRPr="00A67C3B">
              <w:rPr>
                <w:sz w:val="28"/>
                <w:szCs w:val="28"/>
              </w:rPr>
              <w:t xml:space="preserve">Випускники магістерського рівня можуть працевлаштовуватися на посади управлінського, </w:t>
            </w:r>
            <w:proofErr w:type="spellStart"/>
            <w:r w:rsidRPr="00A67C3B">
              <w:rPr>
                <w:sz w:val="28"/>
                <w:szCs w:val="28"/>
              </w:rPr>
              <w:t>проєктного</w:t>
            </w:r>
            <w:proofErr w:type="spellEnd"/>
            <w:r w:rsidRPr="00A67C3B">
              <w:rPr>
                <w:sz w:val="28"/>
                <w:szCs w:val="28"/>
              </w:rPr>
              <w:t>, виробничого, наукового та експертно-консультативного спрямування відповідно до чинного Класифікатора професій України (ДК 003:2010) та міжнародної класифікації професій (ISCO-08), з урахуванням потреб ринку праці та специфіки діяльності підприємств галузі.</w:t>
            </w:r>
          </w:p>
        </w:tc>
      </w:tr>
    </w:tbl>
    <w:p w:rsidR="00A67CF9" w:rsidRPr="00A67C3B" w:rsidRDefault="00E82590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ІІІ. </w:t>
      </w:r>
      <w:r w:rsidR="00A67CF9" w:rsidRPr="00A67C3B">
        <w:rPr>
          <w:rFonts w:ascii="Times New Roman" w:eastAsia="Times New Roman" w:hAnsi="Times New Roman" w:cs="Times New Roman"/>
          <w:b/>
          <w:sz w:val="28"/>
          <w:szCs w:val="28"/>
        </w:rPr>
        <w:t xml:space="preserve">Обсяг освітньої програми другого </w:t>
      </w:r>
      <w:r w:rsidR="0071448A" w:rsidRPr="00A67C3B">
        <w:rPr>
          <w:rFonts w:ascii="Times New Roman" w:eastAsia="Times New Roman" w:hAnsi="Times New Roman" w:cs="Times New Roman"/>
          <w:b/>
          <w:sz w:val="28"/>
          <w:szCs w:val="28"/>
        </w:rPr>
        <w:t xml:space="preserve">(магістерського) </w:t>
      </w:r>
      <w:r w:rsidR="00A67CF9" w:rsidRPr="00A67C3B">
        <w:rPr>
          <w:rFonts w:ascii="Times New Roman" w:eastAsia="Times New Roman" w:hAnsi="Times New Roman" w:cs="Times New Roman"/>
          <w:b/>
          <w:sz w:val="28"/>
          <w:szCs w:val="28"/>
        </w:rPr>
        <w:t>рівня вищої освіти.</w:t>
      </w:r>
    </w:p>
    <w:p w:rsidR="00D2458C" w:rsidRPr="00A67C3B" w:rsidRDefault="00D2458C" w:rsidP="00A67C3B">
      <w:pPr>
        <w:tabs>
          <w:tab w:val="left" w:pos="284"/>
          <w:tab w:val="left" w:pos="9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3BF8" w:rsidRPr="00A67C3B" w:rsidRDefault="00A67CF9" w:rsidP="00A67C3B">
      <w:pPr>
        <w:tabs>
          <w:tab w:val="left" w:pos="284"/>
          <w:tab w:val="left" w:pos="9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>Для освітньо-професійної програми</w:t>
      </w:r>
      <w:r w:rsidRPr="00A67C3B">
        <w:rPr>
          <w:rFonts w:ascii="Times New Roman" w:hAnsi="Times New Roman" w:cs="Times New Roman"/>
        </w:rPr>
        <w:t xml:space="preserve"> </w:t>
      </w:r>
      <w:r w:rsidR="00D869C4" w:rsidRPr="00A67C3B">
        <w:rPr>
          <w:rFonts w:ascii="Times New Roman" w:eastAsia="Times New Roman" w:hAnsi="Times New Roman" w:cs="Times New Roman"/>
          <w:sz w:val="28"/>
          <w:szCs w:val="28"/>
        </w:rPr>
        <w:t xml:space="preserve">визначений стандартом обсяг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становить 90 кредитів ЄКТС</w:t>
      </w:r>
      <w:r w:rsidR="00D869C4" w:rsidRPr="00A67C3B">
        <w:rPr>
          <w:rFonts w:ascii="Times New Roman" w:eastAsia="Times New Roman" w:hAnsi="Times New Roman" w:cs="Times New Roman"/>
          <w:sz w:val="28"/>
          <w:szCs w:val="28"/>
        </w:rPr>
        <w:t xml:space="preserve">, для освітньо-наукової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програм</w:t>
      </w:r>
      <w:r w:rsidR="00D869C4" w:rsidRPr="00A67C3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D869C4" w:rsidRPr="00A67C3B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D869C4"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120 кредит</w:t>
      </w:r>
      <w:r w:rsidR="00D869C4" w:rsidRPr="00A67C3B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ЄКТС</w:t>
      </w:r>
      <w:r w:rsidR="00FA0510" w:rsidRPr="00A67C3B">
        <w:rPr>
          <w:rFonts w:ascii="Times New Roman" w:eastAsia="Times New Roman" w:hAnsi="Times New Roman" w:cs="Times New Roman"/>
          <w:sz w:val="28"/>
          <w:szCs w:val="28"/>
        </w:rPr>
        <w:t>, з яких не менше 30 % має бути відведено на дослідницьку (наукову) компоненту (опанування методології досліджень у відповідній галузі, виконання досліджень, аналіз їх результатів, підготовку дослідницької кваліфікаційної роботи, проходження дослідницької практики, стажування у наукових установах тощо).</w:t>
      </w:r>
      <w:r w:rsidR="00383BF8"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0510" w:rsidRPr="00A67C3B" w:rsidRDefault="00FA0510" w:rsidP="00A67C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>Заклад вищої освіти має право визнати результати навчання та перезарахувати відповідні кредити ЄКТС, здобуті за попередньою освітньою програмою другого–третього рівнів вищої освіти. Максимальний обсяг кредитів ЄКТС, що може бути перезарахований у цьому випадку, не регламентується Стандартом вищої освіти.</w:t>
      </w:r>
    </w:p>
    <w:p w:rsidR="00FA0510" w:rsidRPr="00A67C3B" w:rsidRDefault="00FA0510" w:rsidP="00A67C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2590" w:rsidRPr="00A67C3B" w:rsidRDefault="00E82590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 xml:space="preserve">ІV. Мінімальний обсяг практичної підготовки для </w:t>
      </w:r>
      <w:r w:rsidR="0071448A" w:rsidRPr="00A67C3B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освітньої програми другого (магістерського) рівня вищої освіти </w:t>
      </w:r>
    </w:p>
    <w:p w:rsidR="00E82590" w:rsidRPr="00A67C3B" w:rsidRDefault="00E82590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6D16" w:rsidRPr="00A67C3B" w:rsidRDefault="00736D16" w:rsidP="00A67C3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A67C3B">
        <w:rPr>
          <w:sz w:val="28"/>
          <w:szCs w:val="28"/>
          <w:lang w:val="uk-UA"/>
        </w:rPr>
        <w:t>Мінімальний обсяг практичної підготовки у межах освітньо-професійної / освітньо-наукової  програми Н3 Садово-паркове господарство другого (магістерського) рівня становить не менше 5 % загального обсягу програми.</w:t>
      </w:r>
    </w:p>
    <w:p w:rsidR="00736D16" w:rsidRPr="00A67C3B" w:rsidRDefault="00736D16" w:rsidP="00A67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C3B">
        <w:rPr>
          <w:rFonts w:ascii="Times New Roman" w:hAnsi="Times New Roman" w:cs="Times New Roman"/>
          <w:sz w:val="28"/>
          <w:szCs w:val="28"/>
        </w:rPr>
        <w:t xml:space="preserve">Практична підготовка здобувачів вищої освіти передбачає формування та розвиток професійних компетентностей, необхідних для виконання </w:t>
      </w:r>
      <w:proofErr w:type="spellStart"/>
      <w:r w:rsidRPr="00A67C3B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A67C3B">
        <w:rPr>
          <w:rFonts w:ascii="Times New Roman" w:hAnsi="Times New Roman" w:cs="Times New Roman"/>
          <w:sz w:val="28"/>
          <w:szCs w:val="28"/>
        </w:rPr>
        <w:t xml:space="preserve">, виробничого, </w:t>
      </w:r>
      <w:r w:rsidR="00B660F5" w:rsidRPr="00A67C3B">
        <w:rPr>
          <w:rFonts w:ascii="Times New Roman" w:hAnsi="Times New Roman" w:cs="Times New Roman"/>
          <w:sz w:val="28"/>
          <w:szCs w:val="28"/>
        </w:rPr>
        <w:t xml:space="preserve">управлінського, </w:t>
      </w:r>
      <w:r w:rsidRPr="00A67C3B">
        <w:rPr>
          <w:rFonts w:ascii="Times New Roman" w:hAnsi="Times New Roman" w:cs="Times New Roman"/>
          <w:sz w:val="28"/>
          <w:szCs w:val="28"/>
        </w:rPr>
        <w:t>наукового та експертно-консультативного спрямування у сфері садово-паркового господарства.</w:t>
      </w:r>
    </w:p>
    <w:p w:rsidR="00E82590" w:rsidRPr="00A67C3B" w:rsidRDefault="00E82590" w:rsidP="00A67C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CF9" w:rsidRPr="00A67C3B" w:rsidRDefault="00A67CF9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>V. Опис предметної області:</w:t>
      </w:r>
    </w:p>
    <w:p w:rsidR="00D2458C" w:rsidRPr="00A67C3B" w:rsidRDefault="00D2458C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7C3B" w:rsidRDefault="00A67CF9" w:rsidP="00A67C3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Об’єкт (об’єкти) вивчення та/або діяльності:</w:t>
      </w:r>
      <w:r w:rsidRPr="00A67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садово-паркові об’єкти різного функціонального призначення, їх архітектурно-композиційні елементи; квітникарство та газони, декоративне </w:t>
      </w:r>
      <w:proofErr w:type="spellStart"/>
      <w:r w:rsidRPr="00A67C3B">
        <w:rPr>
          <w:rFonts w:ascii="Times New Roman" w:eastAsia="Times New Roman" w:hAnsi="Times New Roman" w:cs="Times New Roman"/>
          <w:color w:val="000000"/>
          <w:sz w:val="28"/>
          <w:szCs w:val="28"/>
        </w:rPr>
        <w:t>розсадництво</w:t>
      </w:r>
      <w:proofErr w:type="spellEnd"/>
      <w:r w:rsidRPr="00A67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тепличне господарство; створення, реконструкція та утримання зелених насаджень.</w:t>
      </w:r>
    </w:p>
    <w:p w:rsidR="00A67CF9" w:rsidRPr="00A67C3B" w:rsidRDefault="00A67CF9" w:rsidP="00A67C3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Теоретичний зміст предметної області:</w:t>
      </w:r>
      <w:r w:rsidRPr="00A67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теорія, поняття, концепції, принципи історії, культури та економіки садово</w:t>
      </w:r>
      <w:r w:rsidR="008765A9" w:rsidRPr="00A67C3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67C3B">
        <w:rPr>
          <w:rFonts w:ascii="Times New Roman" w:eastAsia="Times New Roman" w:hAnsi="Times New Roman" w:cs="Times New Roman"/>
          <w:color w:val="000000"/>
          <w:sz w:val="28"/>
          <w:szCs w:val="28"/>
        </w:rPr>
        <w:t>паркового господарства, розмноження, вирощування, догляду та використання декоративних рослин, створення, утримання та відновлення зелених насаджень у межах урбанізованих, рекреаційних і спеціалізованих територій; принципи сталого управління зеленими територіями.</w:t>
      </w:r>
    </w:p>
    <w:p w:rsidR="00A67CF9" w:rsidRPr="00A67C3B" w:rsidRDefault="00A67CF9" w:rsidP="00A67C3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Методи, методики та технології:</w:t>
      </w:r>
      <w:r w:rsidRPr="00A67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біологічні, екологічні та </w:t>
      </w:r>
      <w:proofErr w:type="spellStart"/>
      <w:r w:rsidRPr="00A67C3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природоощадні</w:t>
      </w:r>
      <w:proofErr w:type="spellEnd"/>
      <w:r w:rsidRPr="00A67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агротехнологічні та управлінські методи; методики створення, догляду, відновлення та оцінювання стану зелених насаджень.</w:t>
      </w:r>
    </w:p>
    <w:p w:rsidR="00A67CF9" w:rsidRPr="00A67C3B" w:rsidRDefault="00A67CF9" w:rsidP="00A67C3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Інструменти та обладнання:</w:t>
      </w:r>
      <w:r w:rsidRPr="00A67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спеціалізоване програмне забезпечення, прилади та обладнання для ведення польових і камеральних досліджень та агротехнічних робіт у садово</w:t>
      </w:r>
      <w:r w:rsidR="008765A9" w:rsidRPr="00A67C3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67C3B">
        <w:rPr>
          <w:rFonts w:ascii="Times New Roman" w:eastAsia="Times New Roman" w:hAnsi="Times New Roman" w:cs="Times New Roman"/>
          <w:color w:val="000000"/>
          <w:sz w:val="28"/>
          <w:szCs w:val="28"/>
        </w:rPr>
        <w:t>парковому господарстві.</w:t>
      </w:r>
    </w:p>
    <w:p w:rsidR="00A67CF9" w:rsidRPr="00A67C3B" w:rsidRDefault="00A67CF9" w:rsidP="00A67C3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Виключення: </w:t>
      </w:r>
      <w:r w:rsidRPr="00A67C3B">
        <w:rPr>
          <w:rFonts w:ascii="Times New Roman" w:eastAsia="Times New Roman" w:hAnsi="Times New Roman" w:cs="Times New Roman"/>
          <w:color w:val="000000"/>
          <w:sz w:val="28"/>
          <w:szCs w:val="28"/>
        </w:rPr>
        <w:t>архітектурне та містобудівне проєктування, дизайнерська діяльність.</w:t>
      </w:r>
    </w:p>
    <w:p w:rsidR="00A67CF9" w:rsidRPr="00A67C3B" w:rsidRDefault="00A67CF9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5A9" w:rsidRPr="00A67C3B" w:rsidRDefault="008765A9" w:rsidP="00A67C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 xml:space="preserve">VI. Вимоги до освіти осіб, які можуть розпочати навчання за освітніми програмами за відповідною спеціальністю на відповідному рівні вищої освіти </w:t>
      </w:r>
    </w:p>
    <w:p w:rsidR="008765A9" w:rsidRPr="00A67C3B" w:rsidRDefault="008765A9" w:rsidP="00A67C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1C9F" w:rsidRPr="00A67C3B" w:rsidRDefault="008765A9" w:rsidP="00A67C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Вимоги до рівня освіти осіб, які можуть розпочати навчання за освітніми програмами </w:t>
      </w:r>
      <w:r w:rsidR="001B2F60" w:rsidRPr="00A67C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магістерського</w:t>
      </w:r>
      <w:r w:rsidRPr="00A67C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рівня вищої освіти визначаються згідно із Законом України «Про вищу освіту»</w:t>
      </w:r>
      <w:r w:rsidR="001B2F60" w:rsidRPr="00A67C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</w:t>
      </w:r>
      <w:r w:rsidRPr="00A67C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 здобуття другого (магістерського) рівня вищо</w:t>
      </w:r>
      <w:r w:rsidR="004B248C" w:rsidRPr="00A67C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ї освіти можуть вступати особи </w:t>
      </w:r>
      <w:r w:rsidR="002A2B9A" w:rsidRPr="00A67C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основі НРК6 або </w:t>
      </w:r>
      <w:r w:rsidR="004B248C" w:rsidRPr="00A67C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НРК7.</w:t>
      </w:r>
    </w:p>
    <w:p w:rsidR="004B248C" w:rsidRPr="00A67C3B" w:rsidRDefault="004B248C" w:rsidP="00A67C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5A9" w:rsidRPr="00A67C3B" w:rsidRDefault="008765A9" w:rsidP="00A67C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>VІІ. Перелік обов’язкових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>компетентностей випускника</w:t>
      </w:r>
    </w:p>
    <w:p w:rsidR="008765A9" w:rsidRPr="00A67C3B" w:rsidRDefault="008765A9" w:rsidP="00A67C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5A9" w:rsidRPr="00A67C3B" w:rsidRDefault="008765A9" w:rsidP="00A67C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>Загальні компетентності</w:t>
      </w:r>
    </w:p>
    <w:p w:rsidR="0004470D" w:rsidRPr="00A67C3B" w:rsidRDefault="00E42C7E" w:rsidP="00A67C3B">
      <w:pPr>
        <w:pStyle w:val="3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A67C3B">
        <w:rPr>
          <w:rStyle w:val="a4"/>
          <w:b/>
          <w:bCs/>
          <w:sz w:val="28"/>
          <w:szCs w:val="28"/>
        </w:rPr>
        <w:t xml:space="preserve">ЗК01. </w:t>
      </w:r>
      <w:r w:rsidRPr="00A67C3B">
        <w:rPr>
          <w:rStyle w:val="a4"/>
          <w:sz w:val="28"/>
          <w:szCs w:val="28"/>
        </w:rPr>
        <w:t>Здатність спілкуватися українською мовою усно і письмово у професійній діяльності</w:t>
      </w:r>
      <w:r w:rsidR="0004470D" w:rsidRPr="00A67C3B">
        <w:rPr>
          <w:rStyle w:val="a4"/>
          <w:sz w:val="28"/>
          <w:szCs w:val="28"/>
        </w:rPr>
        <w:t xml:space="preserve">. </w:t>
      </w:r>
      <w:r w:rsidR="0004470D" w:rsidRPr="00A67C3B">
        <w:rPr>
          <w:b w:val="0"/>
          <w:color w:val="000000"/>
          <w:sz w:val="28"/>
          <w:szCs w:val="28"/>
        </w:rPr>
        <w:t>Для осіб з</w:t>
      </w:r>
      <w:r w:rsidR="0004470D" w:rsidRPr="00A67C3B">
        <w:rPr>
          <w:b w:val="0"/>
          <w:sz w:val="28"/>
          <w:szCs w:val="28"/>
        </w:rPr>
        <w:t xml:space="preserve"> </w:t>
      </w:r>
      <w:r w:rsidR="0004470D" w:rsidRPr="00A67C3B">
        <w:rPr>
          <w:b w:val="0"/>
          <w:color w:val="000000"/>
          <w:sz w:val="28"/>
          <w:szCs w:val="28"/>
        </w:rPr>
        <w:t>порушеннями зору, слуху, мовлення відповідні вимоги застосовуються з урахуванням можливостей таких осіб.</w:t>
      </w:r>
    </w:p>
    <w:p w:rsidR="00825CCF" w:rsidRPr="00A67C3B" w:rsidRDefault="00825CCF" w:rsidP="00A67C3B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7C3B">
        <w:rPr>
          <w:sz w:val="28"/>
          <w:szCs w:val="28"/>
        </w:rPr>
        <w:t xml:space="preserve">ЗК02. </w:t>
      </w:r>
      <w:r w:rsidRPr="00A67C3B">
        <w:rPr>
          <w:b w:val="0"/>
          <w:sz w:val="28"/>
          <w:szCs w:val="28"/>
        </w:rPr>
        <w:t>Здатність використовувати іноземну, зокрема англійську, мову у професійній діяльності на рівні фахової комунікації</w:t>
      </w:r>
      <w:r w:rsidR="0004470D" w:rsidRPr="00A67C3B">
        <w:rPr>
          <w:b w:val="0"/>
          <w:sz w:val="28"/>
          <w:szCs w:val="28"/>
        </w:rPr>
        <w:t xml:space="preserve">. </w:t>
      </w:r>
      <w:r w:rsidR="0004470D" w:rsidRPr="00A67C3B">
        <w:rPr>
          <w:b w:val="0"/>
          <w:color w:val="000000"/>
          <w:sz w:val="28"/>
          <w:szCs w:val="28"/>
        </w:rPr>
        <w:t>Для осіб з порушеннями зору, слуху, мовлення відповідні вимоги застосовуються з урахуванням можливостей таких осіб.</w:t>
      </w:r>
    </w:p>
    <w:p w:rsidR="00E42C7E" w:rsidRPr="00A67C3B" w:rsidRDefault="00E42C7E" w:rsidP="00A67C3B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7C3B">
        <w:rPr>
          <w:rStyle w:val="a4"/>
          <w:b/>
          <w:bCs/>
          <w:sz w:val="28"/>
          <w:szCs w:val="28"/>
        </w:rPr>
        <w:t xml:space="preserve">ЗК03. </w:t>
      </w:r>
      <w:r w:rsidRPr="00A67C3B">
        <w:rPr>
          <w:rStyle w:val="a4"/>
          <w:sz w:val="28"/>
          <w:szCs w:val="28"/>
        </w:rPr>
        <w:t>Здатність до абстрактного мислення, аналізу, синтезу та критичного осмислення інформації.</w:t>
      </w:r>
    </w:p>
    <w:p w:rsidR="00E42C7E" w:rsidRPr="00A67C3B" w:rsidRDefault="00E42C7E" w:rsidP="00A67C3B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7C3B">
        <w:rPr>
          <w:rStyle w:val="a4"/>
          <w:b/>
          <w:bCs/>
          <w:sz w:val="28"/>
          <w:szCs w:val="28"/>
        </w:rPr>
        <w:t xml:space="preserve">ЗК04. </w:t>
      </w:r>
      <w:r w:rsidRPr="00A67C3B">
        <w:rPr>
          <w:rStyle w:val="a4"/>
          <w:sz w:val="28"/>
          <w:szCs w:val="28"/>
        </w:rPr>
        <w:t>Здатність застосовувати знання у практичних ситуаціях та приймати обґрунтовані рішення.</w:t>
      </w:r>
    </w:p>
    <w:p w:rsidR="00E42C7E" w:rsidRPr="00A67C3B" w:rsidRDefault="00E42C7E" w:rsidP="00A67C3B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7C3B">
        <w:rPr>
          <w:rStyle w:val="a4"/>
          <w:b/>
          <w:bCs/>
          <w:sz w:val="28"/>
          <w:szCs w:val="28"/>
        </w:rPr>
        <w:t xml:space="preserve">ЗК05. </w:t>
      </w:r>
      <w:r w:rsidRPr="00A67C3B">
        <w:rPr>
          <w:rStyle w:val="a4"/>
          <w:sz w:val="28"/>
          <w:szCs w:val="28"/>
        </w:rPr>
        <w:t xml:space="preserve">Здатність до саморозвитку, самоорганізації та підтримки власного </w:t>
      </w:r>
      <w:r w:rsidR="00EC1D2A" w:rsidRPr="00A67C3B">
        <w:rPr>
          <w:rStyle w:val="a4"/>
          <w:sz w:val="28"/>
          <w:szCs w:val="28"/>
        </w:rPr>
        <w:t>ментального</w:t>
      </w:r>
      <w:r w:rsidRPr="00A67C3B">
        <w:rPr>
          <w:rStyle w:val="a4"/>
          <w:sz w:val="28"/>
          <w:szCs w:val="28"/>
        </w:rPr>
        <w:t xml:space="preserve"> здоров’я.</w:t>
      </w:r>
    </w:p>
    <w:p w:rsidR="00E42C7E" w:rsidRPr="00A67C3B" w:rsidRDefault="00E42C7E" w:rsidP="00A67C3B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7C3B">
        <w:rPr>
          <w:rStyle w:val="a4"/>
          <w:b/>
          <w:bCs/>
          <w:sz w:val="28"/>
          <w:szCs w:val="28"/>
        </w:rPr>
        <w:t xml:space="preserve">ЗК06. </w:t>
      </w:r>
      <w:r w:rsidRPr="00A67C3B">
        <w:rPr>
          <w:rStyle w:val="a4"/>
          <w:sz w:val="28"/>
          <w:szCs w:val="28"/>
        </w:rPr>
        <w:t>Здатність діяти на засадах професійної етики, академічної доброчесності, інклюзії, соціальної відповідальності та сталого розвитку.</w:t>
      </w:r>
    </w:p>
    <w:p w:rsidR="00E42C7E" w:rsidRPr="00A67C3B" w:rsidRDefault="00E42C7E" w:rsidP="00A67C3B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7C3B">
        <w:rPr>
          <w:rStyle w:val="a4"/>
          <w:b/>
          <w:bCs/>
          <w:sz w:val="28"/>
          <w:szCs w:val="28"/>
        </w:rPr>
        <w:t xml:space="preserve">ЗК07. </w:t>
      </w:r>
      <w:r w:rsidRPr="00A67C3B">
        <w:rPr>
          <w:rStyle w:val="a4"/>
          <w:sz w:val="28"/>
          <w:szCs w:val="28"/>
        </w:rPr>
        <w:t>Здатність працювати в команді, взаємодіяти з іншими та досягати спільної мети.</w:t>
      </w:r>
    </w:p>
    <w:p w:rsidR="00E42C7E" w:rsidRPr="00A67C3B" w:rsidRDefault="00E42C7E" w:rsidP="00A67C3B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7C3B">
        <w:rPr>
          <w:rStyle w:val="a4"/>
          <w:b/>
          <w:bCs/>
          <w:sz w:val="28"/>
          <w:szCs w:val="28"/>
        </w:rPr>
        <w:t xml:space="preserve">ЗК08. </w:t>
      </w:r>
      <w:r w:rsidRPr="00A67C3B">
        <w:rPr>
          <w:rStyle w:val="a4"/>
          <w:sz w:val="28"/>
          <w:szCs w:val="28"/>
        </w:rPr>
        <w:t>Здатність діяти у нових ситуаціях, проявляти ініціативу, креативність та наполегливість при розв’язанні завдань.</w:t>
      </w:r>
    </w:p>
    <w:p w:rsidR="00825CCF" w:rsidRPr="00A67C3B" w:rsidRDefault="00E42C7E" w:rsidP="00A67C3B">
      <w:pPr>
        <w:pStyle w:val="3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  <w:r w:rsidRPr="00A67C3B">
        <w:rPr>
          <w:rStyle w:val="a4"/>
          <w:b/>
          <w:bCs/>
          <w:sz w:val="28"/>
          <w:szCs w:val="28"/>
        </w:rPr>
        <w:t xml:space="preserve">ЗК09. </w:t>
      </w:r>
      <w:r w:rsidRPr="00A67C3B">
        <w:rPr>
          <w:rStyle w:val="a4"/>
          <w:sz w:val="28"/>
          <w:szCs w:val="28"/>
        </w:rPr>
        <w:t xml:space="preserve">Здатність працювати у мультикультурному середовищі, поважати різноманіття </w:t>
      </w:r>
      <w:r w:rsidR="00793031" w:rsidRPr="00A67C3B">
        <w:rPr>
          <w:rStyle w:val="a4"/>
          <w:sz w:val="28"/>
          <w:szCs w:val="28"/>
        </w:rPr>
        <w:t xml:space="preserve">ідей </w:t>
      </w:r>
      <w:r w:rsidRPr="00A67C3B">
        <w:rPr>
          <w:rStyle w:val="a4"/>
          <w:sz w:val="28"/>
          <w:szCs w:val="28"/>
        </w:rPr>
        <w:t>та застосовувати власні у різних соціальних контекстах.</w:t>
      </w:r>
    </w:p>
    <w:p w:rsidR="00E42C7E" w:rsidRPr="00A67C3B" w:rsidRDefault="00E42C7E" w:rsidP="00A67C3B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7C3B">
        <w:rPr>
          <w:sz w:val="28"/>
          <w:szCs w:val="28"/>
        </w:rPr>
        <w:t>Для освітньо-наукової програми</w:t>
      </w:r>
    </w:p>
    <w:p w:rsidR="00E42C7E" w:rsidRPr="00A67C3B" w:rsidRDefault="00E42C7E" w:rsidP="00A67C3B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7C3B">
        <w:rPr>
          <w:rStyle w:val="a4"/>
          <w:b/>
          <w:bCs/>
          <w:sz w:val="28"/>
          <w:szCs w:val="28"/>
        </w:rPr>
        <w:t xml:space="preserve">ЗК10. </w:t>
      </w:r>
      <w:r w:rsidRPr="00A67C3B">
        <w:rPr>
          <w:rStyle w:val="a4"/>
          <w:sz w:val="28"/>
          <w:szCs w:val="28"/>
        </w:rPr>
        <w:t>Здатність проводити дослідження на належному науковому рівні.</w:t>
      </w:r>
    </w:p>
    <w:p w:rsidR="00E42C7E" w:rsidRPr="00A67C3B" w:rsidRDefault="00E42C7E" w:rsidP="00A67C3B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7C3B">
        <w:rPr>
          <w:rStyle w:val="a4"/>
          <w:b/>
          <w:bCs/>
          <w:sz w:val="28"/>
          <w:szCs w:val="28"/>
        </w:rPr>
        <w:t xml:space="preserve">ЗК11. </w:t>
      </w:r>
      <w:r w:rsidRPr="00A67C3B">
        <w:rPr>
          <w:rStyle w:val="a4"/>
          <w:sz w:val="28"/>
          <w:szCs w:val="28"/>
        </w:rPr>
        <w:t>Здатність здійснювати пошук, оброб</w:t>
      </w:r>
      <w:r w:rsidR="00793031" w:rsidRPr="00A67C3B">
        <w:rPr>
          <w:rStyle w:val="a4"/>
          <w:sz w:val="28"/>
          <w:szCs w:val="28"/>
        </w:rPr>
        <w:t>ку</w:t>
      </w:r>
      <w:r w:rsidRPr="00A67C3B">
        <w:rPr>
          <w:rStyle w:val="a4"/>
          <w:sz w:val="28"/>
          <w:szCs w:val="28"/>
        </w:rPr>
        <w:t xml:space="preserve"> та аналіз інформації з різних джерел.</w:t>
      </w:r>
    </w:p>
    <w:p w:rsidR="008765A9" w:rsidRPr="00A67C3B" w:rsidRDefault="008765A9" w:rsidP="00A67C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5A9" w:rsidRPr="00A67C3B" w:rsidRDefault="008765A9" w:rsidP="00A67C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>Спеціальні компетентності</w:t>
      </w:r>
      <w:r w:rsidR="00990AD1" w:rsidRPr="00A67C3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2A2B9A" w:rsidRPr="00A67C3B" w:rsidRDefault="002A2B9A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bCs/>
          <w:sz w:val="28"/>
          <w:szCs w:val="28"/>
        </w:rPr>
        <w:t>СК</w:t>
      </w:r>
      <w:r w:rsidR="00D84D68" w:rsidRPr="00A67C3B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A67C3B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Здатність розробляти та вдосконалювати технології вирощування декоративних рослин і садивного матеріалу у відкритому та захищеному ґрунті.</w:t>
      </w:r>
    </w:p>
    <w:p w:rsidR="00A94843" w:rsidRPr="00A67C3B" w:rsidRDefault="00A94843" w:rsidP="00A67C3B">
      <w:pPr>
        <w:pStyle w:val="3"/>
        <w:spacing w:before="0" w:beforeAutospacing="0" w:after="0" w:afterAutospacing="0"/>
        <w:ind w:firstLine="567"/>
        <w:jc w:val="both"/>
        <w:rPr>
          <w:color w:val="5F497A" w:themeColor="accent4" w:themeShade="BF"/>
          <w:sz w:val="28"/>
          <w:szCs w:val="28"/>
        </w:rPr>
      </w:pPr>
      <w:r w:rsidRPr="00A67C3B">
        <w:rPr>
          <w:sz w:val="28"/>
          <w:szCs w:val="28"/>
        </w:rPr>
        <w:lastRenderedPageBreak/>
        <w:t>СК</w:t>
      </w:r>
      <w:r w:rsidR="00D84D68" w:rsidRPr="00A67C3B">
        <w:rPr>
          <w:sz w:val="28"/>
          <w:szCs w:val="28"/>
        </w:rPr>
        <w:t>0</w:t>
      </w:r>
      <w:r w:rsidRPr="00A67C3B">
        <w:rPr>
          <w:sz w:val="28"/>
          <w:szCs w:val="28"/>
        </w:rPr>
        <w:t xml:space="preserve">2 </w:t>
      </w:r>
      <w:r w:rsidRPr="00A67C3B">
        <w:rPr>
          <w:rStyle w:val="a4"/>
          <w:sz w:val="28"/>
          <w:szCs w:val="28"/>
        </w:rPr>
        <w:t>Здатність використовувати спеціалізоване програмне забезпечення та цифрові технології для аналізу, моделювання та управління озелененими територіями</w:t>
      </w:r>
      <w:r w:rsidRPr="00A67C3B">
        <w:rPr>
          <w:rStyle w:val="a4"/>
          <w:color w:val="5F497A" w:themeColor="accent4" w:themeShade="BF"/>
          <w:sz w:val="28"/>
          <w:szCs w:val="28"/>
        </w:rPr>
        <w:t>.</w:t>
      </w:r>
    </w:p>
    <w:p w:rsidR="002A2B9A" w:rsidRPr="00A67C3B" w:rsidRDefault="002A2B9A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bCs/>
          <w:sz w:val="28"/>
          <w:szCs w:val="28"/>
        </w:rPr>
        <w:t>СК3.</w:t>
      </w: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Здатність розробляти та реалізовувати проекти садово-паркових об’єктів різного функціонального призначення, їх реконструкції та утримання.</w:t>
      </w:r>
    </w:p>
    <w:p w:rsidR="00A94843" w:rsidRPr="00A67C3B" w:rsidRDefault="003C02BC" w:rsidP="00A67C3B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7C3B">
        <w:rPr>
          <w:sz w:val="28"/>
          <w:szCs w:val="28"/>
        </w:rPr>
        <w:t>СК</w:t>
      </w:r>
      <w:r w:rsidR="00D84D68" w:rsidRPr="00A67C3B">
        <w:rPr>
          <w:sz w:val="28"/>
          <w:szCs w:val="28"/>
        </w:rPr>
        <w:t>0</w:t>
      </w:r>
      <w:r w:rsidRPr="00A67C3B">
        <w:rPr>
          <w:sz w:val="28"/>
          <w:szCs w:val="28"/>
        </w:rPr>
        <w:t xml:space="preserve">4. </w:t>
      </w:r>
      <w:r w:rsidRPr="00A67C3B">
        <w:rPr>
          <w:rStyle w:val="a4"/>
          <w:sz w:val="28"/>
          <w:szCs w:val="28"/>
        </w:rPr>
        <w:t xml:space="preserve">Здатність інтегрувати професійні знання для розв’язання завдань щодо науково-обґрунтованого добору та проєктування насаджень як структуроутворюючого елементу садово-паркових об’єктів із використанням </w:t>
      </w:r>
      <w:r w:rsidR="00DB4B01" w:rsidRPr="00A67C3B">
        <w:rPr>
          <w:rStyle w:val="a4"/>
          <w:sz w:val="28"/>
          <w:szCs w:val="28"/>
        </w:rPr>
        <w:t xml:space="preserve">сучасних </w:t>
      </w:r>
      <w:r w:rsidRPr="00A67C3B">
        <w:rPr>
          <w:rStyle w:val="a4"/>
          <w:sz w:val="28"/>
          <w:szCs w:val="28"/>
        </w:rPr>
        <w:t xml:space="preserve">підходів </w:t>
      </w:r>
      <w:r w:rsidR="00DB4B01" w:rsidRPr="00A67C3B">
        <w:rPr>
          <w:rStyle w:val="a4"/>
          <w:sz w:val="28"/>
          <w:szCs w:val="28"/>
        </w:rPr>
        <w:t xml:space="preserve">формування </w:t>
      </w:r>
      <w:r w:rsidRPr="00A67C3B">
        <w:rPr>
          <w:rStyle w:val="a4"/>
          <w:sz w:val="28"/>
          <w:szCs w:val="28"/>
        </w:rPr>
        <w:t>зеленої інфраструктури, збереження біорізноманіття та адаптації до кліматичних змін.</w:t>
      </w:r>
    </w:p>
    <w:p w:rsidR="002A2B9A" w:rsidRPr="00A67C3B" w:rsidRDefault="00A84D68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bCs/>
          <w:sz w:val="28"/>
          <w:szCs w:val="28"/>
        </w:rPr>
        <w:t>СК5</w:t>
      </w:r>
      <w:r w:rsidR="002A2B9A" w:rsidRPr="00A67C3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A2B9A" w:rsidRPr="00A67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A2B9A" w:rsidRPr="00A67C3B">
        <w:rPr>
          <w:rFonts w:ascii="Times New Roman" w:eastAsia="Times New Roman" w:hAnsi="Times New Roman" w:cs="Times New Roman"/>
          <w:sz w:val="28"/>
          <w:szCs w:val="28"/>
        </w:rPr>
        <w:t>Здатність обґрунтовувати техніко-економічні заходи та технології у садово-парковому господарстві й оцінювати їх ефективність.</w:t>
      </w:r>
    </w:p>
    <w:p w:rsidR="002A2B9A" w:rsidRPr="00A67C3B" w:rsidRDefault="00A84D68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bCs/>
          <w:sz w:val="28"/>
          <w:szCs w:val="28"/>
        </w:rPr>
        <w:t>СК6</w:t>
      </w:r>
      <w:r w:rsidR="002A2B9A" w:rsidRPr="00A67C3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A2B9A" w:rsidRPr="00A67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A2B9A" w:rsidRPr="00A67C3B">
        <w:rPr>
          <w:rFonts w:ascii="Times New Roman" w:eastAsia="Times New Roman" w:hAnsi="Times New Roman" w:cs="Times New Roman"/>
          <w:sz w:val="28"/>
          <w:szCs w:val="28"/>
        </w:rPr>
        <w:t>Здатність організовувати, проводити моніторинг та приймати управлінські рішення щодо стану об’єктів садово-паркового господарства</w:t>
      </w:r>
      <w:r w:rsidR="00271FDD" w:rsidRPr="00A67C3B">
        <w:rPr>
          <w:rFonts w:ascii="Times New Roman" w:eastAsia="Times New Roman" w:hAnsi="Times New Roman" w:cs="Times New Roman"/>
          <w:sz w:val="28"/>
          <w:szCs w:val="28"/>
        </w:rPr>
        <w:t>,</w:t>
      </w:r>
      <w:r w:rsidR="00271FDD" w:rsidRPr="00A67C3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271FDD" w:rsidRPr="00A67C3B">
        <w:rPr>
          <w:rStyle w:val="a4"/>
          <w:rFonts w:ascii="Times New Roman" w:hAnsi="Times New Roman" w:cs="Times New Roman"/>
          <w:b w:val="0"/>
          <w:sz w:val="28"/>
          <w:szCs w:val="28"/>
        </w:rPr>
        <w:t>їх утримання та відновлення.</w:t>
      </w:r>
    </w:p>
    <w:p w:rsidR="00A94843" w:rsidRPr="00A67C3B" w:rsidRDefault="00DB4B01" w:rsidP="00A67C3B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7C3B">
        <w:rPr>
          <w:sz w:val="28"/>
          <w:szCs w:val="28"/>
        </w:rPr>
        <w:t>СК</w:t>
      </w:r>
      <w:r w:rsidR="00D84D68" w:rsidRPr="00A67C3B">
        <w:rPr>
          <w:sz w:val="28"/>
          <w:szCs w:val="28"/>
        </w:rPr>
        <w:t>0</w:t>
      </w:r>
      <w:r w:rsidRPr="00A67C3B">
        <w:rPr>
          <w:sz w:val="28"/>
          <w:szCs w:val="28"/>
        </w:rPr>
        <w:t xml:space="preserve">7. </w:t>
      </w:r>
      <w:r w:rsidR="00A94843" w:rsidRPr="00A67C3B">
        <w:rPr>
          <w:rStyle w:val="a4"/>
          <w:sz w:val="28"/>
          <w:szCs w:val="28"/>
        </w:rPr>
        <w:t>Здатність прогнозувати розвиток систем озеленення, оцінювати та планувати заходи з урахуванням ресурсних обмежень, екологічних факторів і виробничих ризиків.</w:t>
      </w:r>
    </w:p>
    <w:p w:rsidR="00A94843" w:rsidRPr="00A67C3B" w:rsidRDefault="00A94843" w:rsidP="00A67C3B">
      <w:pPr>
        <w:pStyle w:val="3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A67C3B">
        <w:rPr>
          <w:sz w:val="28"/>
          <w:szCs w:val="28"/>
        </w:rPr>
        <w:t>СК</w:t>
      </w:r>
      <w:r w:rsidR="00D84D68" w:rsidRPr="00A67C3B">
        <w:rPr>
          <w:sz w:val="28"/>
          <w:szCs w:val="28"/>
        </w:rPr>
        <w:t>0</w:t>
      </w:r>
      <w:r w:rsidRPr="00A67C3B">
        <w:rPr>
          <w:sz w:val="28"/>
          <w:szCs w:val="28"/>
        </w:rPr>
        <w:t>8</w:t>
      </w:r>
      <w:r w:rsidR="00DB4B01" w:rsidRPr="00A67C3B">
        <w:rPr>
          <w:b w:val="0"/>
          <w:sz w:val="28"/>
          <w:szCs w:val="28"/>
        </w:rPr>
        <w:t xml:space="preserve">. </w:t>
      </w:r>
      <w:r w:rsidR="00491545" w:rsidRPr="00A67C3B">
        <w:rPr>
          <w:b w:val="0"/>
          <w:sz w:val="28"/>
          <w:szCs w:val="28"/>
        </w:rPr>
        <w:t>Здатність забезпечувати дотримання природоохоронного та містобудівного законодавства, здійснювати кон</w:t>
      </w:r>
      <w:r w:rsidR="006A6F16" w:rsidRPr="00A67C3B">
        <w:rPr>
          <w:b w:val="0"/>
          <w:sz w:val="28"/>
          <w:szCs w:val="28"/>
        </w:rPr>
        <w:t>троль стану об’єктів озеленення й</w:t>
      </w:r>
      <w:r w:rsidR="00491545" w:rsidRPr="00A67C3B">
        <w:rPr>
          <w:b w:val="0"/>
          <w:sz w:val="28"/>
          <w:szCs w:val="28"/>
        </w:rPr>
        <w:t xml:space="preserve"> оцінюват</w:t>
      </w:r>
      <w:r w:rsidR="00765A40" w:rsidRPr="00A67C3B">
        <w:rPr>
          <w:b w:val="0"/>
          <w:sz w:val="28"/>
          <w:szCs w:val="28"/>
        </w:rPr>
        <w:t xml:space="preserve">и екологічні наслідки </w:t>
      </w:r>
      <w:r w:rsidR="006A6F16" w:rsidRPr="00A67C3B">
        <w:rPr>
          <w:b w:val="0"/>
          <w:sz w:val="28"/>
          <w:szCs w:val="28"/>
        </w:rPr>
        <w:t>у сфері садово-паркового господарства</w:t>
      </w:r>
    </w:p>
    <w:p w:rsidR="002A2B9A" w:rsidRPr="00A67C3B" w:rsidRDefault="002A2B9A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bCs/>
          <w:sz w:val="28"/>
          <w:szCs w:val="28"/>
        </w:rPr>
        <w:t>СК</w:t>
      </w:r>
      <w:r w:rsidR="00D84D68" w:rsidRPr="00A67C3B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A84D68" w:rsidRPr="00A67C3B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A67C3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Здатність впроваджувати та підтримувати принципи сталого розвитку об’єктів садово-паркового господарства в умовах комплексних викликів суспільства.</w:t>
      </w:r>
    </w:p>
    <w:p w:rsidR="00A94843" w:rsidRPr="00A67C3B" w:rsidRDefault="00491545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hAnsi="Times New Roman" w:cs="Times New Roman"/>
          <w:b/>
          <w:sz w:val="28"/>
          <w:szCs w:val="28"/>
        </w:rPr>
        <w:t xml:space="preserve">СК10. </w:t>
      </w:r>
      <w:r w:rsidR="00A94843" w:rsidRPr="00A67C3B">
        <w:rPr>
          <w:rFonts w:ascii="Times New Roman" w:hAnsi="Times New Roman" w:cs="Times New Roman"/>
          <w:sz w:val="28"/>
          <w:szCs w:val="28"/>
        </w:rPr>
        <w:t xml:space="preserve">Здатність впроваджувати </w:t>
      </w:r>
      <w:r w:rsidR="00765A40" w:rsidRPr="00A67C3B">
        <w:rPr>
          <w:rFonts w:ascii="Times New Roman" w:hAnsi="Times New Roman" w:cs="Times New Roman"/>
          <w:sz w:val="28"/>
          <w:szCs w:val="28"/>
        </w:rPr>
        <w:t>та оцінювати ефективність інноваційних</w:t>
      </w:r>
      <w:r w:rsidR="00A94843" w:rsidRPr="00A67C3B">
        <w:rPr>
          <w:rFonts w:ascii="Times New Roman" w:hAnsi="Times New Roman" w:cs="Times New Roman"/>
          <w:sz w:val="28"/>
          <w:szCs w:val="28"/>
        </w:rPr>
        <w:t xml:space="preserve"> технологі</w:t>
      </w:r>
      <w:r w:rsidR="00765A40" w:rsidRPr="00A67C3B">
        <w:rPr>
          <w:rFonts w:ascii="Times New Roman" w:hAnsi="Times New Roman" w:cs="Times New Roman"/>
          <w:sz w:val="28"/>
          <w:szCs w:val="28"/>
        </w:rPr>
        <w:t>й</w:t>
      </w:r>
      <w:r w:rsidR="00A94843" w:rsidRPr="00A67C3B">
        <w:rPr>
          <w:rFonts w:ascii="Times New Roman" w:hAnsi="Times New Roman" w:cs="Times New Roman"/>
          <w:sz w:val="28"/>
          <w:szCs w:val="28"/>
        </w:rPr>
        <w:t xml:space="preserve"> та еколого-орієнтован</w:t>
      </w:r>
      <w:r w:rsidR="00765A40" w:rsidRPr="00A67C3B">
        <w:rPr>
          <w:rFonts w:ascii="Times New Roman" w:hAnsi="Times New Roman" w:cs="Times New Roman"/>
          <w:sz w:val="28"/>
          <w:szCs w:val="28"/>
        </w:rPr>
        <w:t>их</w:t>
      </w:r>
      <w:r w:rsidR="00A94843" w:rsidRPr="00A67C3B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765A40" w:rsidRPr="00A67C3B">
        <w:rPr>
          <w:rFonts w:ascii="Times New Roman" w:hAnsi="Times New Roman" w:cs="Times New Roman"/>
          <w:sz w:val="28"/>
          <w:szCs w:val="28"/>
        </w:rPr>
        <w:t>ь</w:t>
      </w:r>
      <w:r w:rsidR="00A94843" w:rsidRPr="00A67C3B">
        <w:rPr>
          <w:rFonts w:ascii="Times New Roman" w:hAnsi="Times New Roman" w:cs="Times New Roman"/>
          <w:sz w:val="28"/>
          <w:szCs w:val="28"/>
        </w:rPr>
        <w:t xml:space="preserve"> у садово-парковому господарстві</w:t>
      </w:r>
      <w:r w:rsidR="00765A40" w:rsidRPr="00A67C3B">
        <w:rPr>
          <w:rFonts w:ascii="Times New Roman" w:hAnsi="Times New Roman" w:cs="Times New Roman"/>
          <w:sz w:val="28"/>
          <w:szCs w:val="28"/>
        </w:rPr>
        <w:t>.</w:t>
      </w:r>
      <w:r w:rsidR="00A94843" w:rsidRPr="00A67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545" w:rsidRPr="00A67C3B" w:rsidRDefault="00491545" w:rsidP="00A67C3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67C3B">
        <w:rPr>
          <w:rFonts w:ascii="Times New Roman" w:eastAsia="Times New Roman" w:hAnsi="Times New Roman" w:cs="Times New Roman"/>
          <w:b/>
          <w:bCs/>
          <w:sz w:val="28"/>
          <w:szCs w:val="28"/>
        </w:rPr>
        <w:t>СК11.</w:t>
      </w: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94843" w:rsidRPr="00A67C3B">
        <w:rPr>
          <w:rFonts w:ascii="Times New Roman" w:hAnsi="Times New Roman" w:cs="Times New Roman"/>
          <w:sz w:val="28"/>
          <w:szCs w:val="28"/>
        </w:rPr>
        <w:t xml:space="preserve">Здатність </w:t>
      </w:r>
      <w:r w:rsidR="00765A40" w:rsidRPr="00A67C3B">
        <w:rPr>
          <w:rFonts w:ascii="Times New Roman" w:hAnsi="Times New Roman" w:cs="Times New Roman"/>
          <w:sz w:val="28"/>
          <w:szCs w:val="28"/>
        </w:rPr>
        <w:t>організовувати роботу фахівців, керувати діяльністю колективів</w:t>
      </w:r>
      <w:r w:rsidR="00A94843" w:rsidRPr="00A67C3B">
        <w:rPr>
          <w:rFonts w:ascii="Times New Roman" w:hAnsi="Times New Roman" w:cs="Times New Roman"/>
          <w:sz w:val="28"/>
          <w:szCs w:val="28"/>
        </w:rPr>
        <w:t xml:space="preserve"> та координувати реалізацію проєктів у сфері садово-паркового госп</w:t>
      </w:r>
      <w:r w:rsidR="00765A40" w:rsidRPr="00A67C3B">
        <w:rPr>
          <w:rFonts w:ascii="Times New Roman" w:hAnsi="Times New Roman" w:cs="Times New Roman"/>
          <w:sz w:val="28"/>
          <w:szCs w:val="28"/>
        </w:rPr>
        <w:t>одарства.</w:t>
      </w:r>
    </w:p>
    <w:p w:rsidR="00A84D68" w:rsidRPr="00A67C3B" w:rsidRDefault="00A94843" w:rsidP="00A67C3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67C3B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СК12. </w:t>
      </w:r>
      <w:r w:rsidR="00383BF8"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Здатність викладати спеціальні дисципліни в закладах вищої та фахової передвищої освіти, навчати та здійснювати</w:t>
      </w:r>
      <w:r w:rsidR="00765A40"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консультативну й </w:t>
      </w:r>
      <w:r w:rsidR="00383BF8" w:rsidRPr="00A67C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просвітницьку природоохоронну діяльність.</w:t>
      </w:r>
    </w:p>
    <w:p w:rsidR="0004470D" w:rsidRPr="00A67C3B" w:rsidRDefault="0004470D" w:rsidP="00A67C3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27010C" w:rsidRPr="00A67C3B" w:rsidRDefault="0027010C" w:rsidP="00A67C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C3B">
        <w:rPr>
          <w:rFonts w:ascii="Times New Roman" w:hAnsi="Times New Roman" w:cs="Times New Roman"/>
          <w:b/>
          <w:sz w:val="28"/>
          <w:szCs w:val="28"/>
        </w:rPr>
        <w:t xml:space="preserve">Для освітньо-наукової програми </w:t>
      </w:r>
    </w:p>
    <w:p w:rsidR="00B825D3" w:rsidRPr="00A67C3B" w:rsidRDefault="00491545" w:rsidP="00A67C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C3B">
        <w:rPr>
          <w:rFonts w:ascii="Times New Roman" w:hAnsi="Times New Roman" w:cs="Times New Roman"/>
          <w:b/>
          <w:sz w:val="28"/>
          <w:szCs w:val="28"/>
        </w:rPr>
        <w:t xml:space="preserve">СК13. </w:t>
      </w:r>
      <w:r w:rsidR="003C02BC" w:rsidRPr="00A67C3B">
        <w:rPr>
          <w:rFonts w:ascii="Times New Roman" w:hAnsi="Times New Roman" w:cs="Times New Roman"/>
          <w:sz w:val="28"/>
          <w:szCs w:val="28"/>
        </w:rPr>
        <w:t xml:space="preserve">Здатність планувати та здійснювати прикладні наукові дослідження </w:t>
      </w:r>
      <w:r w:rsidR="004772EC" w:rsidRPr="00A67C3B">
        <w:rPr>
          <w:rFonts w:ascii="Times New Roman" w:hAnsi="Times New Roman" w:cs="Times New Roman"/>
          <w:sz w:val="28"/>
          <w:szCs w:val="28"/>
        </w:rPr>
        <w:t xml:space="preserve">із застосовуванням сучасних методик </w:t>
      </w:r>
      <w:r w:rsidR="003C02BC" w:rsidRPr="00A67C3B">
        <w:rPr>
          <w:rFonts w:ascii="Times New Roman" w:hAnsi="Times New Roman" w:cs="Times New Roman"/>
          <w:sz w:val="28"/>
          <w:szCs w:val="28"/>
        </w:rPr>
        <w:t>у сфері садово-паркового господарства</w:t>
      </w:r>
      <w:r w:rsidR="004772EC" w:rsidRPr="00A67C3B">
        <w:rPr>
          <w:rFonts w:ascii="Times New Roman" w:hAnsi="Times New Roman" w:cs="Times New Roman"/>
          <w:sz w:val="28"/>
          <w:szCs w:val="28"/>
        </w:rPr>
        <w:t>;</w:t>
      </w:r>
      <w:r w:rsidR="003C02BC" w:rsidRPr="00A67C3B">
        <w:rPr>
          <w:rFonts w:ascii="Times New Roman" w:hAnsi="Times New Roman" w:cs="Times New Roman"/>
          <w:sz w:val="28"/>
          <w:szCs w:val="28"/>
        </w:rPr>
        <w:t xml:space="preserve"> аналізувати</w:t>
      </w:r>
      <w:r w:rsidR="004772EC" w:rsidRPr="00A67C3B">
        <w:rPr>
          <w:rFonts w:ascii="Times New Roman" w:hAnsi="Times New Roman" w:cs="Times New Roman"/>
          <w:sz w:val="28"/>
          <w:szCs w:val="28"/>
        </w:rPr>
        <w:t xml:space="preserve"> й</w:t>
      </w:r>
      <w:r w:rsidR="003C02BC" w:rsidRPr="00A67C3B">
        <w:rPr>
          <w:rFonts w:ascii="Times New Roman" w:hAnsi="Times New Roman" w:cs="Times New Roman"/>
          <w:sz w:val="28"/>
          <w:szCs w:val="28"/>
        </w:rPr>
        <w:t xml:space="preserve"> узагальнювати </w:t>
      </w:r>
      <w:r w:rsidR="004772EC" w:rsidRPr="00A67C3B">
        <w:rPr>
          <w:rFonts w:ascii="Times New Roman" w:hAnsi="Times New Roman" w:cs="Times New Roman"/>
          <w:sz w:val="28"/>
          <w:szCs w:val="28"/>
        </w:rPr>
        <w:t xml:space="preserve">отримані </w:t>
      </w:r>
      <w:r w:rsidR="003C02BC" w:rsidRPr="00A67C3B">
        <w:rPr>
          <w:rFonts w:ascii="Times New Roman" w:hAnsi="Times New Roman" w:cs="Times New Roman"/>
          <w:sz w:val="28"/>
          <w:szCs w:val="28"/>
        </w:rPr>
        <w:t>результати та впроваджувати їх у професійну діяльність</w:t>
      </w:r>
      <w:r w:rsidR="003C02BC" w:rsidRPr="00A67C3B">
        <w:rPr>
          <w:rFonts w:ascii="Times New Roman" w:hAnsi="Times New Roman" w:cs="Times New Roman"/>
          <w:b/>
          <w:sz w:val="28"/>
          <w:szCs w:val="28"/>
        </w:rPr>
        <w:t>.</w:t>
      </w:r>
    </w:p>
    <w:p w:rsidR="003C02BC" w:rsidRPr="00A67C3B" w:rsidRDefault="003C02BC" w:rsidP="00A67C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8765A9" w:rsidRPr="00A67C3B" w:rsidRDefault="008765A9" w:rsidP="00A67C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>Заклад вищої освіти у своїй освітній програмі має право:</w:t>
      </w:r>
    </w:p>
    <w:p w:rsidR="008765A9" w:rsidRPr="00A67C3B" w:rsidRDefault="008765A9" w:rsidP="00A67C3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>визначати додаткові до Стандарту спеціальні компетентності;</w:t>
      </w:r>
    </w:p>
    <w:p w:rsidR="008765A9" w:rsidRPr="00A67C3B" w:rsidRDefault="008765A9" w:rsidP="00A67C3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>деталізувати описи спеціальних компетентностей Стандарту відповідно до спеціалізації.</w:t>
      </w:r>
      <w:r w:rsidR="008A1EB8"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7CF9" w:rsidRPr="00A67C3B" w:rsidRDefault="00A67CF9" w:rsidP="00A67C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365B" w:rsidRPr="00A67C3B" w:rsidRDefault="0079365B" w:rsidP="00A67C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VІІІ. Перелік назв освітніх програм та нормативний зміст підготовки здобувачів вищої освіти за такими програмами, сформульований у термінах програмних результатів навчання</w:t>
      </w:r>
    </w:p>
    <w:p w:rsidR="00D2458C" w:rsidRPr="00A67C3B" w:rsidRDefault="00D2458C" w:rsidP="00A67C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365B" w:rsidRPr="00A67C3B" w:rsidRDefault="0079365B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Для спеціальності </w:t>
      </w:r>
      <w:r w:rsidR="00C93609" w:rsidRPr="00A67C3B">
        <w:rPr>
          <w:rFonts w:ascii="Times New Roman" w:eastAsia="Times New Roman" w:hAnsi="Times New Roman" w:cs="Times New Roman"/>
          <w:sz w:val="28"/>
          <w:szCs w:val="28"/>
        </w:rPr>
        <w:t>Н3 Садов</w:t>
      </w:r>
      <w:r w:rsidR="00990AD1" w:rsidRPr="00A67C3B">
        <w:rPr>
          <w:rFonts w:ascii="Times New Roman" w:eastAsia="Times New Roman" w:hAnsi="Times New Roman" w:cs="Times New Roman"/>
          <w:sz w:val="28"/>
          <w:szCs w:val="28"/>
        </w:rPr>
        <w:t>о-паркове господарство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регулювання не застосовується</w:t>
      </w:r>
    </w:p>
    <w:p w:rsidR="00CD6493" w:rsidRPr="00A67C3B" w:rsidRDefault="00CD6493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5A9" w:rsidRPr="00A67C3B" w:rsidRDefault="008765A9" w:rsidP="00A67C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>ІX. Форма (форми) атестації здобувачів вищої освіти</w:t>
      </w:r>
    </w:p>
    <w:p w:rsidR="008765A9" w:rsidRPr="00A67C3B" w:rsidRDefault="008765A9" w:rsidP="00A6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7059"/>
      </w:tblGrid>
      <w:tr w:rsidR="008765A9" w:rsidRPr="00A67C3B" w:rsidTr="00B825D3">
        <w:trPr>
          <w:trHeight w:val="151"/>
        </w:trPr>
        <w:tc>
          <w:tcPr>
            <w:tcW w:w="2297" w:type="dxa"/>
          </w:tcPr>
          <w:p w:rsidR="008765A9" w:rsidRPr="00A67C3B" w:rsidRDefault="008765A9" w:rsidP="00A67C3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(форми) атестації здобувачів вищої освіти </w:t>
            </w:r>
          </w:p>
        </w:tc>
        <w:tc>
          <w:tcPr>
            <w:tcW w:w="7059" w:type="dxa"/>
          </w:tcPr>
          <w:p w:rsidR="008765A9" w:rsidRPr="00A67C3B" w:rsidRDefault="008765A9" w:rsidP="00A67C3B">
            <w:pPr>
              <w:tabs>
                <w:tab w:val="left" w:pos="742"/>
              </w:tabs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Атестація здійснюється </w:t>
            </w:r>
            <w:r w:rsidR="00D81C9F"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077DA9"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81C9F"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формі </w:t>
            </w:r>
            <w:r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>публічного захисту</w:t>
            </w:r>
            <w:r w:rsidR="00D81C9F"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кваліфікаційної роботи.</w:t>
            </w:r>
          </w:p>
        </w:tc>
      </w:tr>
      <w:tr w:rsidR="008765A9" w:rsidRPr="00A67C3B" w:rsidTr="00B825D3">
        <w:trPr>
          <w:trHeight w:val="151"/>
        </w:trPr>
        <w:tc>
          <w:tcPr>
            <w:tcW w:w="2297" w:type="dxa"/>
          </w:tcPr>
          <w:p w:rsidR="008765A9" w:rsidRPr="00A67C3B" w:rsidRDefault="008765A9" w:rsidP="00A67C3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Вимоги до кваліфікаційної роботи </w:t>
            </w:r>
          </w:p>
          <w:p w:rsidR="008765A9" w:rsidRPr="00A67C3B" w:rsidRDefault="008765A9" w:rsidP="00A67C3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(за наявності)</w:t>
            </w:r>
          </w:p>
        </w:tc>
        <w:tc>
          <w:tcPr>
            <w:tcW w:w="7059" w:type="dxa"/>
          </w:tcPr>
          <w:p w:rsidR="00990AD1" w:rsidRPr="00A67C3B" w:rsidRDefault="00990AD1" w:rsidP="00A67C3B">
            <w:pPr>
              <w:tabs>
                <w:tab w:val="left" w:pos="742"/>
              </w:tabs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Кваліфікаційна робота магістра передбачає самостійне (або у складі групи </w:t>
            </w:r>
            <w:r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2D"/>
            </w:r>
            <w:r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разі передбачення освітньою програмою) розв’язання складної спеціалізованої задачі або проблеми у сфері садово-паркового господарства чи на межі з іншими предметними областями, що характеризується дослідницьким та/або інноваційним характером і відповідає другому (магістерському) рівню вищої освіти.</w:t>
            </w:r>
          </w:p>
          <w:p w:rsidR="008765A9" w:rsidRPr="00A67C3B" w:rsidRDefault="008765A9" w:rsidP="00A67C3B">
            <w:pPr>
              <w:tabs>
                <w:tab w:val="left" w:pos="742"/>
              </w:tabs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>Кваліфікаційна робота не повинна містити ознак академічного плагіату, фабрикації чи фальсифікації.</w:t>
            </w:r>
          </w:p>
          <w:p w:rsidR="008765A9" w:rsidRPr="00A67C3B" w:rsidRDefault="008765A9" w:rsidP="00A67C3B">
            <w:pPr>
              <w:tabs>
                <w:tab w:val="left" w:pos="742"/>
              </w:tabs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>Кваліфікаційна робота має бути оприлюднена на офіційному вебсайті закладу вищої освіти або його підрозділу, або у репозитарії закладу вищої освіти.</w:t>
            </w:r>
          </w:p>
          <w:p w:rsidR="008765A9" w:rsidRPr="00A67C3B" w:rsidRDefault="008765A9" w:rsidP="00A67C3B">
            <w:pPr>
              <w:tabs>
                <w:tab w:val="left" w:pos="742"/>
              </w:tabs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Оприлюднення кваліфікаційних робіт, що містять інформацію з обмеженим доступом, слід здійснювати відповідно до вимог законодавства. </w:t>
            </w:r>
          </w:p>
        </w:tc>
      </w:tr>
    </w:tbl>
    <w:p w:rsidR="008765A9" w:rsidRPr="00A67C3B" w:rsidRDefault="008765A9" w:rsidP="00A6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365B" w:rsidRPr="00A67C3B" w:rsidRDefault="0079365B" w:rsidP="00A67C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 xml:space="preserve">X. Додаткові вимоги та обмеження (за наявності) для міждисциплінарних освітніх програм </w:t>
      </w:r>
    </w:p>
    <w:p w:rsidR="0079365B" w:rsidRPr="00A67C3B" w:rsidRDefault="0079365B" w:rsidP="00A67C3B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1" w:rsidRPr="00A67C3B" w:rsidRDefault="00990AD1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>У разі реалізації міждисциплінарної освітньої програми за спеціальністю Н3 Садово-паркове господарство другого (магістерського) рівня вищої освіти її предметна область може поєднуватися з предметними областями інших спеціальностей відповідної або інших галузей знань.</w:t>
      </w:r>
    </w:p>
    <w:p w:rsidR="00990AD1" w:rsidRPr="00A67C3B" w:rsidRDefault="00990AD1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>Міждисциплінарні освітні програми мають забезпечувати формування компетентностей та досягнення результатів навчання відповідно до вимог Національної рамки кваліфікацій для другого (магістерського) рівня вищої освіти.</w:t>
      </w:r>
    </w:p>
    <w:p w:rsidR="00990AD1" w:rsidRPr="00A67C3B" w:rsidRDefault="00990AD1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>Під час розроблення міждисциплінарних освітніх програм заклад вищої освіти самостійно визначає перелік компетентностей, зокрема з числа передбачених стандартами вищої освіти спеціальностей, що формують міждисциплінарну предметну область.</w:t>
      </w:r>
    </w:p>
    <w:p w:rsidR="008765A9" w:rsidRPr="00A67C3B" w:rsidRDefault="00990AD1" w:rsidP="00A67C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lastRenderedPageBreak/>
        <w:t>До складу міждисциплінарної предметної області на другому (магістерському) рівні вищої освіти не можуть включатися спеціальності, що передбачають доступ до професій відповідного рівня кваліфікації, для яких законодавством встановлено додаткове регулювання.</w:t>
      </w:r>
    </w:p>
    <w:p w:rsidR="00A84D68" w:rsidRPr="00A67C3B" w:rsidRDefault="00A84D68" w:rsidP="00A67C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365B" w:rsidRPr="00A67C3B" w:rsidRDefault="0079365B" w:rsidP="00A67C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>XІ. Вимоги законодавства та/або професійних стандартів, необхідні для здобуття відповідних професійних кваліфікацій (за наявності)</w:t>
      </w:r>
    </w:p>
    <w:p w:rsidR="00D2458C" w:rsidRPr="00A67C3B" w:rsidRDefault="00D2458C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365B" w:rsidRPr="00A67C3B" w:rsidRDefault="0079365B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>Вимоги законодавства та/або професійних стандартів відсутні.</w:t>
      </w:r>
    </w:p>
    <w:p w:rsidR="00D2458C" w:rsidRPr="00A67C3B" w:rsidRDefault="00D2458C" w:rsidP="00A67C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365B" w:rsidRPr="00A67C3B" w:rsidRDefault="0079365B" w:rsidP="00A67C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 xml:space="preserve">XII. Додаткові вимоги до освітніх програм зі спеціальностей, що передбачають доступ до професій, для яких запроваджене додаткове регулювання </w:t>
      </w:r>
    </w:p>
    <w:p w:rsidR="00D2458C" w:rsidRPr="00A67C3B" w:rsidRDefault="00D2458C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9365B" w:rsidRPr="00A67C3B" w:rsidRDefault="0079365B" w:rsidP="00A67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Cs/>
          <w:sz w:val="28"/>
          <w:szCs w:val="28"/>
        </w:rPr>
        <w:t>Додаткових вимог немає</w:t>
      </w:r>
    </w:p>
    <w:p w:rsidR="00D2458C" w:rsidRPr="00A67C3B" w:rsidRDefault="00D2458C" w:rsidP="00A67C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365B" w:rsidRPr="00A67C3B" w:rsidRDefault="0079365B" w:rsidP="00A67C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 xml:space="preserve">XIIІ. Перелік нормативних документів, на яких базується Стандарт вищої освіти </w:t>
      </w:r>
    </w:p>
    <w:p w:rsidR="005E4FB3" w:rsidRPr="00A67C3B" w:rsidRDefault="005E4FB3" w:rsidP="00A67C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365B" w:rsidRPr="00A67C3B" w:rsidRDefault="0079365B" w:rsidP="00A67C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>Нормативні документи</w:t>
      </w:r>
    </w:p>
    <w:p w:rsidR="0079365B" w:rsidRPr="00A67C3B" w:rsidRDefault="0079365B" w:rsidP="00A67C3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>Про вищу освіту: Закон України. URL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="008A0291" w:rsidRPr="00A67C3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http://zakon4.rada.gov.ua/laws/show/1556-18</w:t>
        </w:r>
      </w:hyperlink>
      <w:r w:rsidRPr="00A67C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79365B" w:rsidRPr="00A67C3B" w:rsidRDefault="0079365B" w:rsidP="00A67C3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>Про освіту: Закон України. URL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>
        <w:r w:rsidRPr="00A67C3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http://zakon5.rada.gov.ua/laws/show/2145-19</w:t>
        </w:r>
      </w:hyperlink>
      <w:r w:rsidRPr="00A67C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65B" w:rsidRPr="00A67C3B" w:rsidRDefault="0079365B" w:rsidP="00A67C3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>Указ Президента України «Про Цілі сталого розвитку України на період до 2030 року». URL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0" w:anchor="Text" w:history="1">
        <w:r w:rsidR="00CD6493" w:rsidRPr="00A67C3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https://zakon.rada.gov.ua/laws/show/722/2019#Text</w:t>
        </w:r>
      </w:hyperlink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9365B" w:rsidRPr="00A67C3B" w:rsidRDefault="0079365B" w:rsidP="00A67C3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>Національна рамка кваліфікацій. Затверджено Постановою Кабінету Міністрів України від 23 листопада 2011 р. №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1341 (зі змінами) URL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1">
        <w:r w:rsidRPr="00A67C3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http://zakon4.rada.gov.ua/laws/show/1341-2011-п</w:t>
        </w:r>
      </w:hyperlink>
      <w:r w:rsidRPr="00A67C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65B" w:rsidRPr="00A67C3B" w:rsidRDefault="0079365B" w:rsidP="00A67C3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Перелік галузей знань і спеціальностей, за якими здійснюється підготовка здобувачів вищої освіти. Затверджено Постановою Кабінету Міністрів 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України від 29 квітня 2015 р. №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266 (зі змінами). URL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2">
        <w:r w:rsidRPr="00A67C3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http://zakon4.rada.gov.ua/laws/show/266-2015-п</w:t>
        </w:r>
      </w:hyperlink>
      <w:r w:rsidR="008A0291" w:rsidRPr="00A67C3B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.</w:t>
      </w:r>
    </w:p>
    <w:p w:rsidR="0079365B" w:rsidRPr="00A67C3B" w:rsidRDefault="0079365B" w:rsidP="00A67C3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>Порядок підготовки здобувачів вищої освіти ступеня доктора філософії та доктора наук у вищих навчальних закладах (наукових установах). Затверджено Постанов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 xml:space="preserve">ою КМУ від 23 березня 2016 р. №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261 (зі змінами). 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 xml:space="preserve">URL : </w:t>
      </w:r>
      <w:hyperlink r:id="rId13">
        <w:r w:rsidRPr="00A67C3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https://zakon.rada.gov.ua/laws/show/261-2016</w:t>
        </w:r>
      </w:hyperlink>
      <w:r w:rsidR="008A0291" w:rsidRPr="00A67C3B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.</w:t>
      </w:r>
    </w:p>
    <w:p w:rsidR="0079365B" w:rsidRPr="00A67C3B" w:rsidRDefault="0079365B" w:rsidP="00A67C3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>Порядок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філософії, затверджений Постан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овою КМУ від 12 січня 2022 р. №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44 (зі змінами). 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 xml:space="preserve">URL :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https://zakon.rada.gov.ua/laws/show/44-2022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65B" w:rsidRPr="00A67C3B" w:rsidRDefault="0079365B" w:rsidP="00A67C3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>Вимоги до міждисциплінарних освітніх (наукових) програм. Затверджено Наказом Міністерства освіти і науки України від 01.02.2021 р. №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128. URL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4" w:anchor="Text">
        <w:r w:rsidRPr="00A67C3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https://zakon.rada.gov.ua/laws/show/z0454-21#Text</w:t>
        </w:r>
      </w:hyperlink>
      <w:r w:rsidR="008A0291" w:rsidRPr="00A67C3B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.</w:t>
      </w:r>
    </w:p>
    <w:p w:rsidR="0079365B" w:rsidRPr="00A67C3B" w:rsidRDefault="0079365B" w:rsidP="00A67C3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lastRenderedPageBreak/>
        <w:t>Національний класифікатор України: Класифікатор професій ДК 003:2010 (із змінами). URL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5" w:history="1">
        <w:r w:rsidR="00CD6493" w:rsidRPr="00A67C3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https://zakon.rada.gov.ua/rada/show/va327609-10</w:t>
        </w:r>
      </w:hyperlink>
      <w:r w:rsidRPr="00A67C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365B" w:rsidRPr="00A67C3B" w:rsidRDefault="0079365B" w:rsidP="00A67C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365B" w:rsidRPr="00A67C3B" w:rsidRDefault="0079365B" w:rsidP="00A67C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b/>
          <w:sz w:val="28"/>
          <w:szCs w:val="28"/>
        </w:rPr>
        <w:t>Інші джерела</w:t>
      </w:r>
    </w:p>
    <w:p w:rsidR="0079365B" w:rsidRPr="00A67C3B" w:rsidRDefault="0079365B" w:rsidP="00A67C3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Standard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Classification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 xml:space="preserve"> (ISCED 2011)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URL :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https://www.datenportal.bmbf.de/portal/en/G294.html#:~:text=ISCED%20was%20developed%20by%20UNESCO,facilitating%20national%20and%20international%20comparisons. </w:t>
      </w:r>
    </w:p>
    <w:p w:rsidR="0079365B" w:rsidRPr="00A67C3B" w:rsidRDefault="0079365B" w:rsidP="00A67C3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ISCED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Fields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a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nd</w:t>
      </w:r>
      <w:proofErr w:type="spellEnd"/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 xml:space="preserve"> 2013 (ISCED-F 2013)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URL :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chrome-extension://efaidnbmnnnibpcajpcglclefindmkaj/http://uis.unesco.org/sites/default/files/documents/isced-fields-of-educa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tion-and-training-2013-en.pdf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79365B" w:rsidRPr="00A67C3B" w:rsidRDefault="0079365B" w:rsidP="00A67C3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standard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classification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Fields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2013 (ISCED-F 2013) –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Detailed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field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descriptions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>. URL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6">
        <w:r w:rsidRPr="00A67C3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https://uis.unesco.org/sites/default/files/documents/international-standard-classification-of-education-fields-of-education-and-training-2013-detailed-field-descriptions-2015-en.pdf</w:t>
        </w:r>
      </w:hyperlink>
      <w:r w:rsidR="00CD6493" w:rsidRPr="00A67C3B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.</w:t>
      </w:r>
    </w:p>
    <w:p w:rsidR="0079365B" w:rsidRPr="00A67C3B" w:rsidRDefault="0079365B" w:rsidP="00A67C3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Council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Recommendation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key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competences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lifelong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Text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EEA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relevance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>). URL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7" w:history="1">
        <w:r w:rsidR="008A0291" w:rsidRPr="00A67C3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https://eur-lex.europa.eu/legal-content/EN/TXT/?uri=uriserv:OJ.C_.2018.189.01.0001.01.ENG&amp;toc=OJ:C:2018:189:TOC</w:t>
        </w:r>
      </w:hyperlink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79365B" w:rsidRPr="00A67C3B" w:rsidRDefault="0079365B" w:rsidP="00A67C3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Qualifications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Supporting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CrossBorder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Mobility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>. URL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8" w:history="1">
        <w:r w:rsidR="008A0291" w:rsidRPr="00A67C3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http://www.ehea.info/Upload/TPG_A_QF_RO_MK_1_EQF_Brochure.pdf</w:t>
        </w:r>
      </w:hyperlink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79365B" w:rsidRPr="00A67C3B" w:rsidRDefault="0079365B" w:rsidP="00A67C3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QF-EHEA –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Qualification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E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uropean</w:t>
      </w:r>
      <w:proofErr w:type="spellEnd"/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Area</w:t>
      </w:r>
      <w:proofErr w:type="spellEnd"/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. URL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9" w:history="1">
        <w:r w:rsidR="00CD6493" w:rsidRPr="00A67C3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https://ehea.info/Upload/document/ministerial_declarations/EHEAParis2018_Communique_AppendixIII_952778.pdf</w:t>
        </w:r>
      </w:hyperlink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79365B" w:rsidRPr="00A67C3B" w:rsidRDefault="0079365B" w:rsidP="00A67C3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Стандарти та рекомендації щодо забезпечення якості в Європейському просторі вищої освіти (ESG). URL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: https://ihed.org.ua/wp-content/uploads/2018/10/04_2016_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ESG_2015.pdf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9365B" w:rsidRPr="00A67C3B" w:rsidRDefault="0079365B" w:rsidP="00A67C3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World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8 -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Special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issue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Visions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towards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2030.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Barcelona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GUNi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2022. URL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0" w:history="1">
        <w:r w:rsidR="00CD6493" w:rsidRPr="00A67C3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https://www.guninetwork.org/files/guni_heiw_8_complete_-_new_visions_for_higher_education_towards_2030_1.pdf</w:t>
        </w:r>
      </w:hyperlink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79365B" w:rsidRPr="00A67C3B" w:rsidRDefault="0079365B" w:rsidP="00A67C3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>ЦСР У ДІЇ. URL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1">
        <w:r w:rsidRPr="00A67C3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https://www.undp.org/uk/ukraine/tsili-staloho-rozvytku</w:t>
        </w:r>
      </w:hyperlink>
      <w:r w:rsidR="00CD6493" w:rsidRPr="00A67C3B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.</w:t>
      </w:r>
    </w:p>
    <w:p w:rsidR="0079365B" w:rsidRPr="00A67C3B" w:rsidRDefault="0079365B" w:rsidP="00A67C3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Рамка цифрової компетентності громадян України. URL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2" w:history="1">
        <w:r w:rsidR="00CD6493" w:rsidRPr="00A67C3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https://osvita.diia.gov.ua/uploads/1/7451-ramka_cifrovoi_kompetentnosti.pdf</w:t>
        </w:r>
      </w:hyperlink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79365B" w:rsidRPr="00A67C3B" w:rsidRDefault="0079365B" w:rsidP="00A67C3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Рамка компетентностей для культури демократії. URL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3" w:history="1">
        <w:r w:rsidR="00CD6493" w:rsidRPr="00A67C3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https://rm.coe.int/rf-cdc-vol-2-/168097ec96</w:t>
        </w:r>
      </w:hyperlink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79365B" w:rsidRPr="00A67C3B" w:rsidRDefault="0079365B" w:rsidP="00A67C3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TUNING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Structures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Europe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(Проєкт Європейської Комісії «Налаштування освітніх систем в Європі» (для ознайомлення з прикладами стандартів та вимог до компетентностей для різних предметних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lastRenderedPageBreak/>
        <w:t>областей)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. URL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4" w:history="1">
        <w:r w:rsidR="00CD6493" w:rsidRPr="00A67C3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http://www.ehea.info/cid101886/tuning-educational-structures-europe.html</w:t>
        </w:r>
      </w:hyperlink>
      <w:r w:rsidRPr="00A67C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79365B" w:rsidRPr="00A67C3B" w:rsidRDefault="0079365B" w:rsidP="00A67C3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Національний освітній глосарій: вища освіта (4-е вид., перероб. і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.) /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Авт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>.-уклад.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: В.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Є. Бахрушин, М.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І. Винницький, В.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М. Захарченко, І.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О.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Золотарьова, С.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Калашнікова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>, В.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І.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Луговий, М.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Мруга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>, Ю.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>, І.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Сікорська, А.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Ставицький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>, Ж.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Таланова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>, С.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П.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Шитікова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/ За ред. В.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Кременя, В.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Є.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Бахрушина, Ю.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Рашкевича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. 2024. 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>114 с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URL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5" w:history="1">
        <w:r w:rsidR="008A0291" w:rsidRPr="00A67C3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https://erasmusplus.org.ua/wp-content/uploads/2024/10/glosarijvo_2024_here_neo_ivo_napn_mon_30.09.2024.pdf</w:t>
        </w:r>
      </w:hyperlink>
      <w:r w:rsidRPr="00A67C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79365B" w:rsidRPr="00A67C3B" w:rsidRDefault="0079365B" w:rsidP="00A67C3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Бахрушин В.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Є. Проблеми розроблення стандартів третього рівня вищої освіти в Україні. Освітня аналітик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</w:rPr>
        <w:t>а України. 2021. № 4(15). С. 46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59. URL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6" w:history="1">
        <w:r w:rsidR="008A0291" w:rsidRPr="00A67C3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https://science.iea.gov.ua/wp-content/uploads/2022/01/EAU_415_2021-full.pdf</w:t>
        </w:r>
      </w:hyperlink>
      <w:r w:rsidRPr="00A67C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365B" w:rsidRPr="00A67C3B" w:rsidRDefault="0079365B" w:rsidP="00A67C3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Бахрушин В.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Є. Стандартизація вимог до вищої освіти, як інструмент забезпечення якості вищої освіти: рівні вищої освіти та предметні області. Освітня аналітика України. 2020. № 2(9). С. 50–66.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URL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7" w:history="1">
        <w:r w:rsidR="008A0291" w:rsidRPr="00A67C3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https://science.iea.gov.ua/wp-content/uploads/2020/10/4_Bakhrushin_29_2020_50_66.pdf</w:t>
        </w:r>
      </w:hyperlink>
      <w:r w:rsidRPr="00A67C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365B" w:rsidRPr="00A67C3B" w:rsidRDefault="0079365B" w:rsidP="00A67C3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Ю.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М. Болонський процес: історія, стан та перспективи. Освітня аналітика України” 2018, № 3 (4), С. 5–16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URL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https://science.iea.gov.ua/wp-content/uploads/2018/12/5_16_Rashkevich.pdf  </w:t>
      </w:r>
    </w:p>
    <w:p w:rsidR="0079365B" w:rsidRPr="00A67C3B" w:rsidRDefault="0079365B" w:rsidP="00A67C3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Розвиток системи забезпечення якості вищої освіти в Україні: інформаційно-аналітичний огляд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URL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28" w:history="1">
        <w:r w:rsidR="008A0291" w:rsidRPr="00A67C3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https://lib.iitta.gov.ua/9412/1/%D0%A0%D0%BE%D0%B7%D0%B2%D0%B8%D1%82%D0%BE%D0%BA_%D1%81%D0%B8%D1%81%D1%82%D0%B5%D0%BC%D0%B8_%D0%B7%D0%B0%D0%B1%D0%B5%D0%B7%D0%BF_%D1%8F%D0%BA%D0%BE%D1%81%D1%82%D0%B8.pdf</w:t>
        </w:r>
        <w:r w:rsidR="008A0291" w:rsidRPr="00A67C3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/</w:t>
        </w:r>
      </w:hyperlink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79365B" w:rsidRPr="00A67C3B" w:rsidRDefault="0079365B" w:rsidP="00A67C3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Розроблення освітніх програм: методичні рекомендації / 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Авт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: В.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Захарченко, В.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І.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Луговий, Ю.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>, Ж.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A67C3B">
        <w:rPr>
          <w:rFonts w:ascii="Times New Roman" w:eastAsia="Times New Roman" w:hAnsi="Times New Roman" w:cs="Times New Roman"/>
          <w:sz w:val="28"/>
          <w:szCs w:val="28"/>
        </w:rPr>
        <w:t>Таланова</w:t>
      </w:r>
      <w:proofErr w:type="spellEnd"/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 / За ред. В.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Кременя. Київ : ДП «НВЦ «Пріоритети», 2014. </w:t>
      </w:r>
      <w:r w:rsidR="00CD6493" w:rsidRPr="00A67C3B">
        <w:rPr>
          <w:rFonts w:ascii="Times New Roman" w:eastAsia="Times New Roman" w:hAnsi="Times New Roman" w:cs="Times New Roman"/>
          <w:sz w:val="28"/>
          <w:szCs w:val="28"/>
        </w:rPr>
        <w:t xml:space="preserve">120 с. 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>URL</w:t>
      </w:r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7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9" w:history="1">
        <w:r w:rsidR="008A0291" w:rsidRPr="00A67C3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https://erasmusplus.org.ua/wp-content/uploads/2015/04/Rozroblennya_osv_program.pdf</w:t>
        </w:r>
      </w:hyperlink>
      <w:r w:rsidR="008A0291" w:rsidRPr="00A67C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A67C3B" w:rsidRDefault="00A67C3B" w:rsidP="00A67C3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67C3B" w:rsidRDefault="00A67C3B" w:rsidP="00A67C3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67C3B" w:rsidRDefault="00A67C3B" w:rsidP="00A67C3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A67C3B" w:rsidRPr="00A56104" w:rsidRDefault="00A67C3B" w:rsidP="00A67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104">
        <w:rPr>
          <w:rFonts w:ascii="Times New Roman" w:eastAsia="Times New Roman" w:hAnsi="Times New Roman" w:cs="Times New Roman"/>
          <w:b/>
          <w:sz w:val="28"/>
          <w:szCs w:val="28"/>
        </w:rPr>
        <w:t>Генеральний директор директорату</w:t>
      </w:r>
    </w:p>
    <w:p w:rsidR="0079365B" w:rsidRPr="00A67C3B" w:rsidRDefault="00A67C3B" w:rsidP="00A67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6104">
        <w:rPr>
          <w:rFonts w:ascii="Times New Roman" w:eastAsia="Times New Roman" w:hAnsi="Times New Roman" w:cs="Times New Roman"/>
          <w:b/>
          <w:sz w:val="28"/>
          <w:szCs w:val="28"/>
        </w:rPr>
        <w:t>вищої освіти і освіти дорослих                                                          Олег ШАРОВ</w:t>
      </w:r>
    </w:p>
    <w:sectPr w:rsidR="0079365B" w:rsidRPr="00A67C3B" w:rsidSect="00A67C3B">
      <w:headerReference w:type="default" r:id="rId30"/>
      <w:pgSz w:w="11906" w:h="16838"/>
      <w:pgMar w:top="1134" w:right="707" w:bottom="1134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BF0" w:rsidRDefault="00255BF0" w:rsidP="006A6F16">
      <w:pPr>
        <w:spacing w:after="0" w:line="240" w:lineRule="auto"/>
      </w:pPr>
      <w:r>
        <w:separator/>
      </w:r>
    </w:p>
  </w:endnote>
  <w:endnote w:type="continuationSeparator" w:id="0">
    <w:p w:rsidR="00255BF0" w:rsidRDefault="00255BF0" w:rsidP="006A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BF0" w:rsidRDefault="00255BF0" w:rsidP="006A6F16">
      <w:pPr>
        <w:spacing w:after="0" w:line="240" w:lineRule="auto"/>
      </w:pPr>
      <w:r>
        <w:separator/>
      </w:r>
    </w:p>
  </w:footnote>
  <w:footnote w:type="continuationSeparator" w:id="0">
    <w:p w:rsidR="00255BF0" w:rsidRDefault="00255BF0" w:rsidP="006A6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0773410"/>
      <w:docPartObj>
        <w:docPartGallery w:val="Page Numbers (Top of Page)"/>
        <w:docPartUnique/>
      </w:docPartObj>
    </w:sdtPr>
    <w:sdtContent>
      <w:p w:rsidR="00A67C3B" w:rsidRDefault="00A67C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A67C3B" w:rsidRDefault="00A67C3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9D8"/>
    <w:multiLevelType w:val="multilevel"/>
    <w:tmpl w:val="F18C42B2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7535F8"/>
    <w:multiLevelType w:val="multilevel"/>
    <w:tmpl w:val="5622A776"/>
    <w:lvl w:ilvl="0">
      <w:start w:val="5"/>
      <w:numFmt w:val="bullet"/>
      <w:lvlText w:val="‒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373104"/>
    <w:multiLevelType w:val="multilevel"/>
    <w:tmpl w:val="2FD8CEA4"/>
    <w:lvl w:ilvl="0">
      <w:start w:val="5"/>
      <w:numFmt w:val="bullet"/>
      <w:lvlText w:val="‒"/>
      <w:lvlJc w:val="left"/>
      <w:pPr>
        <w:ind w:left="78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7E040A"/>
    <w:multiLevelType w:val="multilevel"/>
    <w:tmpl w:val="45183988"/>
    <w:lvl w:ilvl="0">
      <w:start w:val="5"/>
      <w:numFmt w:val="bullet"/>
      <w:lvlText w:val="‒"/>
      <w:lvlJc w:val="left"/>
      <w:pPr>
        <w:ind w:left="107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AD75B7"/>
    <w:multiLevelType w:val="multilevel"/>
    <w:tmpl w:val="895AC36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1755BD"/>
    <w:multiLevelType w:val="multilevel"/>
    <w:tmpl w:val="055C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04242F"/>
    <w:multiLevelType w:val="multilevel"/>
    <w:tmpl w:val="B3E84042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303294"/>
    <w:multiLevelType w:val="multilevel"/>
    <w:tmpl w:val="055E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6471A"/>
    <w:multiLevelType w:val="multilevel"/>
    <w:tmpl w:val="C67AEE7A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1A70F18"/>
    <w:multiLevelType w:val="multilevel"/>
    <w:tmpl w:val="578C11E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B554E"/>
    <w:multiLevelType w:val="multilevel"/>
    <w:tmpl w:val="B52496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39E5FC2"/>
    <w:multiLevelType w:val="multilevel"/>
    <w:tmpl w:val="E5966B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EC5106F"/>
    <w:multiLevelType w:val="multilevel"/>
    <w:tmpl w:val="28A4A998"/>
    <w:lvl w:ilvl="0">
      <w:start w:val="5"/>
      <w:numFmt w:val="bullet"/>
      <w:lvlText w:val="‒"/>
      <w:lvlJc w:val="left"/>
      <w:pPr>
        <w:ind w:left="106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3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12"/>
  </w:num>
  <w:num w:numId="10">
    <w:abstractNumId w:val="10"/>
  </w:num>
  <w:num w:numId="11">
    <w:abstractNumId w:val="1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9"/>
    <w:rsid w:val="00012DC3"/>
    <w:rsid w:val="0004470D"/>
    <w:rsid w:val="0006666D"/>
    <w:rsid w:val="00077DA9"/>
    <w:rsid w:val="001B2F60"/>
    <w:rsid w:val="001B5C02"/>
    <w:rsid w:val="001E78D4"/>
    <w:rsid w:val="00243ECD"/>
    <w:rsid w:val="0024639B"/>
    <w:rsid w:val="00255BF0"/>
    <w:rsid w:val="0027010C"/>
    <w:rsid w:val="00271FDD"/>
    <w:rsid w:val="002A2B9A"/>
    <w:rsid w:val="003036E0"/>
    <w:rsid w:val="00383BF8"/>
    <w:rsid w:val="003C02BC"/>
    <w:rsid w:val="003D3A62"/>
    <w:rsid w:val="00405E50"/>
    <w:rsid w:val="0043137F"/>
    <w:rsid w:val="004772EC"/>
    <w:rsid w:val="00491545"/>
    <w:rsid w:val="004939BA"/>
    <w:rsid w:val="004B248C"/>
    <w:rsid w:val="005443A8"/>
    <w:rsid w:val="00574C47"/>
    <w:rsid w:val="005B71EC"/>
    <w:rsid w:val="005C5B9C"/>
    <w:rsid w:val="005E4FB3"/>
    <w:rsid w:val="005F5291"/>
    <w:rsid w:val="00604C77"/>
    <w:rsid w:val="00616D90"/>
    <w:rsid w:val="006A6F16"/>
    <w:rsid w:val="006B6A16"/>
    <w:rsid w:val="007106C4"/>
    <w:rsid w:val="0071448A"/>
    <w:rsid w:val="00736D16"/>
    <w:rsid w:val="007570D7"/>
    <w:rsid w:val="00764D42"/>
    <w:rsid w:val="00765A40"/>
    <w:rsid w:val="00793031"/>
    <w:rsid w:val="0079365B"/>
    <w:rsid w:val="007A3772"/>
    <w:rsid w:val="007C65FD"/>
    <w:rsid w:val="007D5839"/>
    <w:rsid w:val="00825CCF"/>
    <w:rsid w:val="008765A9"/>
    <w:rsid w:val="008A0291"/>
    <w:rsid w:val="008A1EB8"/>
    <w:rsid w:val="009505D7"/>
    <w:rsid w:val="00990AD1"/>
    <w:rsid w:val="00A67C3B"/>
    <w:rsid w:val="00A67CF9"/>
    <w:rsid w:val="00A84D68"/>
    <w:rsid w:val="00A94843"/>
    <w:rsid w:val="00AA3D5B"/>
    <w:rsid w:val="00AD54AD"/>
    <w:rsid w:val="00B660F5"/>
    <w:rsid w:val="00B825D3"/>
    <w:rsid w:val="00C15F51"/>
    <w:rsid w:val="00C63FC1"/>
    <w:rsid w:val="00C77986"/>
    <w:rsid w:val="00C93609"/>
    <w:rsid w:val="00CB6120"/>
    <w:rsid w:val="00CD6493"/>
    <w:rsid w:val="00D2458C"/>
    <w:rsid w:val="00D81C9F"/>
    <w:rsid w:val="00D84D68"/>
    <w:rsid w:val="00D869C4"/>
    <w:rsid w:val="00DB4B01"/>
    <w:rsid w:val="00DE2DCE"/>
    <w:rsid w:val="00E42C7E"/>
    <w:rsid w:val="00E80A94"/>
    <w:rsid w:val="00E82590"/>
    <w:rsid w:val="00EA3FD5"/>
    <w:rsid w:val="00EC1D2A"/>
    <w:rsid w:val="00F27F81"/>
    <w:rsid w:val="00FA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86B4"/>
  <w15:docId w15:val="{95DC40A5-673E-427E-9BA4-EE15CC4D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CF9"/>
    <w:pPr>
      <w:spacing w:after="160" w:line="254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42C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779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7798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Strong"/>
    <w:basedOn w:val="a0"/>
    <w:uiPriority w:val="22"/>
    <w:qFormat/>
    <w:rsid w:val="00C77986"/>
    <w:rPr>
      <w:b/>
      <w:bCs/>
    </w:rPr>
  </w:style>
  <w:style w:type="paragraph" w:customStyle="1" w:styleId="Default">
    <w:name w:val="Default"/>
    <w:rsid w:val="00736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CD64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42C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styleId="a6">
    <w:name w:val="header"/>
    <w:basedOn w:val="a"/>
    <w:link w:val="a7"/>
    <w:uiPriority w:val="99"/>
    <w:unhideWhenUsed/>
    <w:rsid w:val="006A6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A6F16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6A6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A6F16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1556-18" TargetMode="External"/><Relationship Id="rId13" Type="http://schemas.openxmlformats.org/officeDocument/2006/relationships/hyperlink" Target="https://zakon.rada.gov.ua/laws/show/261-2016" TargetMode="External"/><Relationship Id="rId18" Type="http://schemas.openxmlformats.org/officeDocument/2006/relationships/hyperlink" Target="http://www.ehea.info/Upload/TPG_A_QF_RO_MK_1_EQF_Brochure.pdf" TargetMode="External"/><Relationship Id="rId26" Type="http://schemas.openxmlformats.org/officeDocument/2006/relationships/hyperlink" Target="https://science.iea.gov.ua/wp-content/uploads/2022/01/EAU_415_2021-full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ndp.org/uk/ukraine/tsili-staloho-rozvytk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akon4.rada.gov.ua/laws/show/266-2015-%D0%BF" TargetMode="External"/><Relationship Id="rId17" Type="http://schemas.openxmlformats.org/officeDocument/2006/relationships/hyperlink" Target="https://eur-lex.europa.eu/legal-content/EN/TXT/?uri=uriserv:OJ.C_.2018.189.01.0001.01.ENG&amp;toc=OJ:C:2018:189:TOC" TargetMode="External"/><Relationship Id="rId25" Type="http://schemas.openxmlformats.org/officeDocument/2006/relationships/hyperlink" Target="https://erasmusplus.org.ua/wp-content/uploads/2024/10/glosarijvo_2024_here_neo_ivo_napn_mon_30.09.202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is.unesco.org/sites/default/files/documents/international-standard-classification-of-education-fields-of-education-and-training-2013-detailed-field-descriptions-2015-en.pdf" TargetMode="External"/><Relationship Id="rId20" Type="http://schemas.openxmlformats.org/officeDocument/2006/relationships/hyperlink" Target="https://www.guninetwork.org/files/guni_heiw_8_complete_-_new_visions_for_higher_education_towards_2030_1.pdf" TargetMode="External"/><Relationship Id="rId29" Type="http://schemas.openxmlformats.org/officeDocument/2006/relationships/hyperlink" Target="https://erasmusplus.org.ua/wp-content/uploads/2015/04/Rozroblennya_osv_program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4.rada.gov.ua/laws/show/1341-2011-%D0%BF" TargetMode="External"/><Relationship Id="rId24" Type="http://schemas.openxmlformats.org/officeDocument/2006/relationships/hyperlink" Target="http://www.ehea.info/cid101886/tuning-educational-structures-europe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rada/show/va327609-10" TargetMode="External"/><Relationship Id="rId23" Type="http://schemas.openxmlformats.org/officeDocument/2006/relationships/hyperlink" Target="https://rm.coe.int/rf-cdc-vol-2-/168097ec96" TargetMode="External"/><Relationship Id="rId28" Type="http://schemas.openxmlformats.org/officeDocument/2006/relationships/hyperlink" Target="https://lib.iitta.gov.ua/9412/1/%D0%A0%D0%BE%D0%B7%D0%B2%D0%B8%D1%82%D0%BE%D0%BA_%D1%81%D0%B8%D1%81%D1%82%D0%B5%D0%BC%D0%B8_%D0%B7%D0%B0%D0%B1%D0%B5%D0%B7%D0%BF_%D1%8F%D0%BA%D0%BE%D1%81%D1%82%D0%B8.pdf/" TargetMode="External"/><Relationship Id="rId10" Type="http://schemas.openxmlformats.org/officeDocument/2006/relationships/hyperlink" Target="https://zakon.rada.gov.ua/laws/show/722/2019" TargetMode="External"/><Relationship Id="rId19" Type="http://schemas.openxmlformats.org/officeDocument/2006/relationships/hyperlink" Target="https://ehea.info/Upload/document/ministerial_declarations/EHEAParis2018_Communique_AppendixIII_952778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2145-19" TargetMode="External"/><Relationship Id="rId14" Type="http://schemas.openxmlformats.org/officeDocument/2006/relationships/hyperlink" Target="https://zakon.rada.gov.ua/laws/show/z0454-21" TargetMode="External"/><Relationship Id="rId22" Type="http://schemas.openxmlformats.org/officeDocument/2006/relationships/hyperlink" Target="https://osvita.diia.gov.ua/uploads/1/7451-ramka_cifrovoi_kompetentnosti.pdf" TargetMode="External"/><Relationship Id="rId27" Type="http://schemas.openxmlformats.org/officeDocument/2006/relationships/hyperlink" Target="https://science.iea.gov.ua/wp-content/uploads/2020/10/4_Bakhrushin_29_2020_50_66.pdf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68A83-40B2-4B48-A54C-50B62597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14289</Words>
  <Characters>8146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Дідусенко Світлана Іванівна</cp:lastModifiedBy>
  <cp:revision>3</cp:revision>
  <dcterms:created xsi:type="dcterms:W3CDTF">2026-04-29T10:06:00Z</dcterms:created>
  <dcterms:modified xsi:type="dcterms:W3CDTF">2026-05-07T13:51:00Z</dcterms:modified>
</cp:coreProperties>
</file>