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4C5F8AD" w:rsidR="00703FCD" w:rsidRPr="00C4443A" w:rsidRDefault="00C4443A" w:rsidP="00C4443A">
      <w:pPr>
        <w:spacing w:before="160" w:after="320" w:line="240" w:lineRule="auto"/>
        <w:ind w:left="-142"/>
        <w:rPr>
          <w:rFonts w:ascii="Times New Roman" w:eastAsia="Times New Roman" w:hAnsi="Times New Roman" w:cs="Times New Roman"/>
          <w:sz w:val="28"/>
          <w:szCs w:val="28"/>
          <w:highlight w:val="white"/>
        </w:rPr>
      </w:pPr>
      <w:r w:rsidRPr="00C4443A">
        <w:rPr>
          <w:rFonts w:ascii="Times New Roman" w:eastAsia="Times New Roman" w:hAnsi="Times New Roman" w:cs="Times New Roman"/>
          <w:b/>
          <w:sz w:val="28"/>
          <w:szCs w:val="28"/>
          <w:highlight w:val="white"/>
          <w:lang w:val="uk-UA"/>
        </w:rPr>
        <w:t xml:space="preserve">ПРОЄКТ </w:t>
      </w:r>
      <w:r w:rsidR="00E2686D" w:rsidRPr="00C4443A">
        <w:rPr>
          <w:rFonts w:ascii="Times New Roman" w:eastAsia="Times New Roman" w:hAnsi="Times New Roman" w:cs="Times New Roman"/>
          <w:b/>
          <w:sz w:val="28"/>
          <w:szCs w:val="28"/>
          <w:highlight w:val="white"/>
          <w:lang w:val="uk-UA"/>
        </w:rPr>
        <w:t xml:space="preserve"> </w:t>
      </w:r>
    </w:p>
    <w:p w14:paraId="00000003" w14:textId="77777777" w:rsidR="00703FCD" w:rsidRPr="008234C0" w:rsidRDefault="00FA0569">
      <w:pPr>
        <w:shd w:val="clear" w:color="auto" w:fill="FFFFFF"/>
        <w:spacing w:before="300" w:after="460" w:line="240" w:lineRule="auto"/>
        <w:ind w:left="460" w:right="460"/>
        <w:jc w:val="center"/>
        <w:rPr>
          <w:rFonts w:ascii="Times New Roman" w:eastAsia="Times New Roman" w:hAnsi="Times New Roman" w:cs="Times New Roman"/>
          <w:sz w:val="28"/>
          <w:szCs w:val="28"/>
          <w:highlight w:val="white"/>
        </w:rPr>
      </w:pPr>
      <w:r w:rsidRPr="008234C0">
        <w:rPr>
          <w:rFonts w:ascii="Times New Roman" w:eastAsia="Times New Roman" w:hAnsi="Times New Roman" w:cs="Times New Roman"/>
          <w:b/>
          <w:sz w:val="32"/>
          <w:szCs w:val="32"/>
          <w:highlight w:val="white"/>
        </w:rPr>
        <w:t>ТИПОВИЙ ПЕРЕЛІК</w:t>
      </w:r>
      <w:r w:rsidRPr="008234C0">
        <w:rPr>
          <w:rFonts w:ascii="Times New Roman" w:eastAsia="Times New Roman" w:hAnsi="Times New Roman" w:cs="Times New Roman"/>
          <w:b/>
          <w:sz w:val="32"/>
          <w:szCs w:val="32"/>
          <w:highlight w:val="white"/>
        </w:rPr>
        <w:br/>
        <w:t>засобів навчання та обладнання для навчальних кабінетів і STEM-лабораторій</w:t>
      </w:r>
    </w:p>
    <w:p w14:paraId="00000004" w14:textId="77777777" w:rsidR="00703FCD" w:rsidRPr="008234C0" w:rsidRDefault="00FA0569">
      <w:pPr>
        <w:spacing w:before="240" w:after="200"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highlight w:val="white"/>
        </w:rPr>
        <w:t>1. Типовий перелік визначає вимоги до засобів навчання та обладнання, якими можуть бути оснащені навчальні кабінети закладів освіти державної та комунальної форм власності, що забезпечують здобуття базової та повної загальної середньої освіти (профільної середньої освіти) (далі – Типовий перелік). Типовий перелік укладено з урахуванням вимог новітніх освітніх технологій, сучасних методів навчання та компетентнісного підходу.</w:t>
      </w:r>
    </w:p>
    <w:p w14:paraId="00000005"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2. У цьому Типовому переліку терміни вживаються у таких значеннях:</w:t>
      </w:r>
    </w:p>
    <w:p w14:paraId="00000006"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гербарій – колекція (зібрання) спеціально зібраних і засушених рослин, призначена для навчальних цілей;</w:t>
      </w:r>
    </w:p>
    <w:p w14:paraId="00000007"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засоби навчання – матеріальні та інформаційні об’єкти, що використовуються для організації, забезпечення та реалізації освітнього процесу (дидактичні матеріали, електронні освітні ресурси тощо);</w:t>
      </w:r>
    </w:p>
    <w:p w14:paraId="00000008"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інструменти – ручні та механізовані знаряддя або пристрої (обробні, монтажні, контрольно-вимірювальні, креслярські, художні, садово-городні), призначені для виконання здобувачами освіти практичної роботи;</w:t>
      </w:r>
    </w:p>
    <w:p w14:paraId="00000009"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карта – картографічний твір встановленого формату, що побудований в картографічній проекції, узагальнений і виконаний у певній системі умовних позначень зображення поверхні Землі, іншого небесного тіла чи наземного простору з розміщеними на них об’єктами реальної дійсності, зміст якого визначається навчальними програмами;</w:t>
      </w:r>
    </w:p>
    <w:p w14:paraId="0000000A"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колекція – зібрання однорідних предметів, підібраних за родовими та систематизованих за видовими ознаками, яке використовується як навчально-наочний посібник;</w:t>
      </w:r>
    </w:p>
    <w:p w14:paraId="0000000B"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комплекс – системна комбінація будь-яких видів засобів навчання, обладнання, функціонально пов’язаних між собою та організованих як єдине ціле для забезпечення досягнення визначеної освітньої мети;</w:t>
      </w:r>
    </w:p>
    <w:p w14:paraId="0000000C"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комплект – це набір засобів навчання та/або обладнання, змістовно пов’язаних між собою і призначених для досягнення визначеної освітньої мети. Комплект може формуватися закладом освіти з урахуванням потреб педагогічних працівників, що забезпечує можливість організації якісного освітнього процесу;</w:t>
      </w:r>
    </w:p>
    <w:p w14:paraId="0000000D"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 xml:space="preserve">лабораторія – це навчальний кабінет закладу загальної середньої освіти, спеціально облаштований для організації експериментальної, </w:t>
      </w:r>
      <w:r w:rsidRPr="008234C0">
        <w:rPr>
          <w:rFonts w:ascii="Times New Roman" w:eastAsia="Times New Roman" w:hAnsi="Times New Roman" w:cs="Times New Roman"/>
          <w:sz w:val="28"/>
          <w:szCs w:val="28"/>
        </w:rPr>
        <w:lastRenderedPageBreak/>
        <w:t>дослідницької та практичної діяльності здобувачів освіти відповідно до навчальних програм з природничих предметів (фізика, хімія, біологія);</w:t>
      </w:r>
    </w:p>
    <w:p w14:paraId="0000000E"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майстерня</w:t>
      </w:r>
      <w:r w:rsidRPr="008234C0">
        <w:rPr>
          <w:rFonts w:ascii="Times New Roman" w:eastAsia="Times New Roman" w:hAnsi="Times New Roman" w:cs="Times New Roman"/>
          <w:b/>
          <w:sz w:val="28"/>
          <w:szCs w:val="28"/>
        </w:rPr>
        <w:t xml:space="preserve"> </w:t>
      </w:r>
      <w:r w:rsidRPr="008234C0">
        <w:rPr>
          <w:rFonts w:ascii="Times New Roman" w:eastAsia="Times New Roman" w:hAnsi="Times New Roman" w:cs="Times New Roman"/>
          <w:sz w:val="28"/>
          <w:szCs w:val="28"/>
        </w:rPr>
        <w:t>– це навчальний кабінет, спеціально облаштований для реалізації змісту технологічної галузі освіти. Вона забезпечує організацію практичної діяльності здобувачів освіти відповідно до навчальних програм, включаючи проєктуван</w:t>
      </w:r>
      <w:bookmarkStart w:id="0" w:name="_GoBack"/>
      <w:bookmarkEnd w:id="0"/>
      <w:r w:rsidRPr="008234C0">
        <w:rPr>
          <w:rFonts w:ascii="Times New Roman" w:eastAsia="Times New Roman" w:hAnsi="Times New Roman" w:cs="Times New Roman"/>
          <w:sz w:val="28"/>
          <w:szCs w:val="28"/>
        </w:rPr>
        <w:t xml:space="preserve">ня, моделювання, виготовлення виробів, застосування технологій обробки матеріалів (дерева, металу, текстилю тощо), кулінарії, електромонтажних і конструкторських робіт тощо. </w:t>
      </w:r>
    </w:p>
    <w:p w14:paraId="0000000F"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макет – різновид моделі навчальної, яка є об’ємно-просторовою композицією комплексу структурно взаємопов’язаних окремих об’єктів, що вивчається або використовується в освітньому процесі;</w:t>
      </w:r>
    </w:p>
    <w:p w14:paraId="00000010"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мікропрепарати – дрібні об’єкти, які важко розпізнати неозброєним оком (цілі організми, клітини та зрізи клітин і тканин рослин, тварин і людини) і які потребують використання електронної та оптичної апаратури;</w:t>
      </w:r>
    </w:p>
    <w:p w14:paraId="00000011"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модель – засіб навчання переважно демонстраційного типу, що спрощено відтворює об’єкт вивчення, якщо його неможливо або складно демонструвати в натуральному вигляді; об’ємне або площинне відображення (копія) об’єкта, процесу чи явища, взаємозв’язків між їх частинами, з більшою або меншою умовністю у відтворенні принципів, властивостей будови та функціонування, що вивчаються чи використовуються в освітньому процесі;</w:t>
      </w:r>
    </w:p>
    <w:p w14:paraId="00000012"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набір – сукупність однорідних предметів, які разом становлять ціле;</w:t>
      </w:r>
    </w:p>
    <w:p w14:paraId="00000013"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посуд – порожнисті вироби зі скла, глини, пластику, металу та інших твердих матеріалів, призначені для зберігання речовин, препаратів тощо;</w:t>
      </w:r>
    </w:p>
    <w:p w14:paraId="00000014"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highlight w:val="white"/>
        </w:rPr>
      </w:pPr>
      <w:r w:rsidRPr="008234C0">
        <w:rPr>
          <w:rFonts w:ascii="Times New Roman" w:eastAsia="Times New Roman" w:hAnsi="Times New Roman" w:cs="Times New Roman"/>
          <w:sz w:val="28"/>
          <w:szCs w:val="28"/>
          <w:highlight w:val="white"/>
        </w:rPr>
        <w:t>таблиця навчальна – друкований листовий наочний посібник, що містить цифровий чи текстовий матеріал, малюнки, графічні зображення для ілюстрації теми чи розділу навчальної програми з розташуванням їх за певною системою і призначений для демонстрації в умовах навчальної аудиторії;</w:t>
      </w:r>
    </w:p>
    <w:p w14:paraId="00000015"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стенд – стаціонарний засіб наочного навчання, що забезпечує візуалізацію навчального матеріалу у формі текстових, графічних або інтегрованих (цифрово-друкованих) зображень, розміщених на основі (щиті) за тематичною структурою. Використовується для ілюстрації тем або розділів навчальної програми в аудиторіях і кабінетах.</w:t>
      </w:r>
    </w:p>
    <w:p w14:paraId="00000016" w14:textId="77777777" w:rsidR="00703FCD" w:rsidRPr="008234C0" w:rsidRDefault="00FA0569">
      <w:pPr>
        <w:shd w:val="clear" w:color="auto" w:fill="FFFFFF"/>
        <w:spacing w:after="200"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STEM-лабораторія – навчальний кабінет або приміщення закладу освіти, оснащене сучасними засобами навчання та обладнанням, для залучення здобувачів освіти до навчально-дослідницької, дослідницько-експериментальної, конструкторської, винахідницької та пошукової діяльності відповідно до стандартів освіти, освітніх та навчальних програм з використанням проєктних технологій в освітньому процесі.</w:t>
      </w:r>
    </w:p>
    <w:p w14:paraId="00000017" w14:textId="77777777" w:rsidR="00703FCD" w:rsidRPr="008234C0" w:rsidRDefault="00FA0569">
      <w:pPr>
        <w:shd w:val="clear" w:color="auto" w:fill="FFFFFF"/>
        <w:spacing w:line="240" w:lineRule="auto"/>
        <w:ind w:firstLine="708"/>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3. У цьому Типовому переліку для характеристики кількісних показників вживаються скорочення, що мають такі значення:</w:t>
      </w:r>
    </w:p>
    <w:p w14:paraId="00000018" w14:textId="77777777" w:rsidR="00703FCD" w:rsidRPr="008234C0" w:rsidRDefault="00FA0569">
      <w:pPr>
        <w:shd w:val="clear" w:color="auto" w:fill="FFFFFF"/>
        <w:spacing w:line="240" w:lineRule="auto"/>
        <w:ind w:left="708"/>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lastRenderedPageBreak/>
        <w:t>Д – демонстраційний примірник (1 на кабінет).</w:t>
      </w:r>
    </w:p>
    <w:p w14:paraId="00000019" w14:textId="77777777" w:rsidR="00703FCD" w:rsidRPr="008234C0" w:rsidRDefault="00FA0569">
      <w:pPr>
        <w:shd w:val="clear" w:color="auto" w:fill="FFFFFF"/>
        <w:spacing w:line="240" w:lineRule="auto"/>
        <w:ind w:left="708"/>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В – кількість визначається закладом освіти на основі аргументованого запиту педагогічного працівника.</w:t>
      </w:r>
    </w:p>
    <w:p w14:paraId="0000001A" w14:textId="77777777" w:rsidR="00703FCD" w:rsidRPr="008234C0" w:rsidRDefault="00FA0569">
      <w:pPr>
        <w:shd w:val="clear" w:color="auto" w:fill="FFFFFF"/>
        <w:spacing w:line="240" w:lineRule="auto"/>
        <w:ind w:left="708"/>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Г – комплект для групової роботи (1 на 5–6 учнів).</w:t>
      </w:r>
    </w:p>
    <w:p w14:paraId="0000001B" w14:textId="77777777" w:rsidR="00703FCD" w:rsidRPr="008234C0" w:rsidRDefault="00FA0569">
      <w:pPr>
        <w:shd w:val="clear" w:color="auto" w:fill="FFFFFF"/>
        <w:spacing w:line="240" w:lineRule="auto"/>
        <w:ind w:left="708"/>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Ф – комплект для фронтальної роботи (1 на 2 учні).</w:t>
      </w:r>
    </w:p>
    <w:p w14:paraId="0000001C" w14:textId="77777777" w:rsidR="00703FCD" w:rsidRPr="008234C0" w:rsidRDefault="00FA0569">
      <w:pPr>
        <w:shd w:val="clear" w:color="auto" w:fill="FFFFFF"/>
        <w:spacing w:line="240" w:lineRule="auto"/>
        <w:ind w:left="708"/>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 – комплект на клас (по 1 на кожного учня +1 для вчителя за потреби).</w:t>
      </w:r>
    </w:p>
    <w:p w14:paraId="0000001D" w14:textId="77777777" w:rsidR="00703FCD" w:rsidRPr="008234C0" w:rsidRDefault="00FA0569">
      <w:pPr>
        <w:shd w:val="clear" w:color="auto" w:fill="FFFFFF"/>
        <w:spacing w:after="200" w:line="240" w:lineRule="auto"/>
        <w:ind w:firstLine="46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Кількість одиниць засобів навчання та обладнання, що входять до комплектів, визначається відповідно до середньої наповнюваності класу закладу загальної середньої освіти.</w:t>
      </w:r>
    </w:p>
    <w:p w14:paraId="0000001E" w14:textId="77777777" w:rsidR="00703FCD" w:rsidRPr="008234C0" w:rsidRDefault="00FA0569">
      <w:pPr>
        <w:shd w:val="clear" w:color="auto" w:fill="FFFFFF"/>
        <w:spacing w:after="16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4. Оснащення навчальних кабінетів повинно відповідати вимогам:</w:t>
      </w:r>
    </w:p>
    <w:p w14:paraId="0000001F"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highlight w:val="white"/>
        </w:rPr>
        <w:t>законодавства про мову (в т. ч. для програмного забезпечення та методичних матеріалів);</w:t>
      </w:r>
    </w:p>
    <w:p w14:paraId="00000020"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державним стандартам освіти – з урахуванням обов’язкових результатів навчання, визначених у Типових освітніх програмах і навчальних планах;</w:t>
      </w:r>
    </w:p>
    <w:p w14:paraId="00000021"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необхідності та достатності матеріального й методичного забезпечення освітнього процесу для повної реалізації змісту навчальних програм;</w:t>
      </w:r>
    </w:p>
    <w:p w14:paraId="00000022"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комплектності, модульності та адаптивності – з урахуванням реальних умов і особливостей функціонування закладів загальної середньої освіти, чисельного складу учнів та потреб учасників освітнього процесу;</w:t>
      </w:r>
    </w:p>
    <w:p w14:paraId="00000023"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відповідності вимогам санітарного законодавства, пожежної та електробезпеки, охорони праці працівників і збереження здоров’я здобувачів освіти;</w:t>
      </w:r>
    </w:p>
    <w:p w14:paraId="00000024"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універсальності використання – можливості застосування засобів навчання та обладнання під час урочної, проєктної, дослідницької, гурткової та позакласної діяльності, а також у межах різних освітніх галузей і методик навчання;</w:t>
      </w:r>
    </w:p>
    <w:p w14:paraId="00000025" w14:textId="77777777" w:rsidR="00703FCD" w:rsidRPr="008234C0" w:rsidRDefault="00FA0569">
      <w:pPr>
        <w:shd w:val="clear" w:color="auto" w:fill="FFFFFF"/>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ергономічності – забезпечення безпечного, зручного та ефективного режиму роботи учасників освітнього процесу;</w:t>
      </w:r>
    </w:p>
    <w:p w14:paraId="00000026" w14:textId="77777777" w:rsidR="00703FCD" w:rsidRPr="008234C0" w:rsidRDefault="00FA0569">
      <w:pPr>
        <w:shd w:val="clear" w:color="auto" w:fill="FFFFFF"/>
        <w:spacing w:after="20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узгодженості та сумісності засобів – зокрема, змістової, функціональної, технологічної, конструктивної й програмної сумісності між елементами обладнання одного кабінету та загальношкільної інфраструктури.</w:t>
      </w:r>
    </w:p>
    <w:p w14:paraId="00000027" w14:textId="77777777" w:rsidR="00703FCD" w:rsidRPr="008234C0" w:rsidRDefault="00FA0569">
      <w:pPr>
        <w:spacing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 xml:space="preserve">5. Усі навчальні кабінети, класні кімнати, лабораторії та майстерні закладів загальної середньої освіти повинні бути оснащені: комп’ютерним обладнанням, мультимедійним обладнанням, обладнанням загального призначення відповідно до змісту освітніх програм, освітніх потреб здобувачів освіти та кількісного складу класів, а також витратними </w:t>
      </w:r>
      <w:r w:rsidRPr="008234C0">
        <w:rPr>
          <w:rFonts w:ascii="Times New Roman" w:eastAsia="Times New Roman" w:hAnsi="Times New Roman" w:cs="Times New Roman"/>
          <w:sz w:val="28"/>
          <w:szCs w:val="28"/>
        </w:rPr>
        <w:lastRenderedPageBreak/>
        <w:t>матеріалами, необхідними для використання обладнання та засобів навчання відповідно до навчальних програм.</w:t>
      </w:r>
    </w:p>
    <w:p w14:paraId="00000028" w14:textId="77777777" w:rsidR="00703FCD" w:rsidRPr="008234C0" w:rsidRDefault="00FA0569">
      <w:pPr>
        <w:spacing w:after="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Оснащення витратними матеріалами має здійснюватися щороку, у обсягах, достатніх для повноцінної реалізації освітнього процесу. Заклади освіти мають право уточнювати потребу у витратних матеріалах у межах бюджетного запиту та інших джерел фінансування, не заборонених законодавством.</w:t>
      </w:r>
    </w:p>
    <w:p w14:paraId="00000029" w14:textId="77777777" w:rsidR="00703FCD" w:rsidRPr="008234C0" w:rsidRDefault="00FA0569">
      <w:pPr>
        <w:spacing w:before="240" w:after="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 xml:space="preserve">6. Вимоги до комп’ютерного обладнання (у т. ч. флеш-накопичувачів, навушників, мережевого обладнання, модуля для зберігання планшетів та ноутбуків), яким комплектуються навчальні кабінети початкової школи, визначаються відповідно до </w:t>
      </w:r>
      <w:hyperlink r:id="rId6" w:anchor="n14">
        <w:r w:rsidRPr="008234C0">
          <w:rPr>
            <w:rFonts w:ascii="Times New Roman" w:eastAsia="Times New Roman" w:hAnsi="Times New Roman" w:cs="Times New Roman"/>
            <w:sz w:val="28"/>
            <w:szCs w:val="28"/>
          </w:rPr>
          <w:t>Типового переліку комп’ютерного обладнання для закладів дошкільної, загальної середньої та професійної (професійно-технічної) освіти</w:t>
        </w:r>
      </w:hyperlink>
      <w:r w:rsidRPr="008234C0">
        <w:rPr>
          <w:rFonts w:ascii="Times New Roman" w:eastAsia="Times New Roman" w:hAnsi="Times New Roman" w:cs="Times New Roman"/>
          <w:sz w:val="28"/>
          <w:szCs w:val="28"/>
        </w:rPr>
        <w:t>, затвердженого наказом Міністерства освіти і науки України від 02 листопада 2017 року № 1440, зареєстрованого в Міністерстві юстиції України 15 січня 2018 року за № 55/31507. Характеристики комп’ютерного обладнання, яким комплектуються навчальні кабінети, повинні відповідати оптимальним вимогам для програмного забезпечення такого навчального кабінету. Комп’ютерне обладнання повинне бути сумісним з іншим обладнанням (БФП, документ-камера тощо) навчального кабінету. Програмне забезпечення повинне мати інтерфейс українською мовою.</w:t>
      </w:r>
    </w:p>
    <w:p w14:paraId="0000002A" w14:textId="77777777" w:rsidR="00703FCD" w:rsidRPr="008234C0" w:rsidRDefault="00FA0569">
      <w:pPr>
        <w:shd w:val="clear" w:color="auto" w:fill="FFFFFF"/>
        <w:spacing w:after="16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 xml:space="preserve">7. Вимоги до меблів визначаються відповідно до санітарного законодавства та національних стандартів України ДСТУ 22046:2004 «Меблі для навчальних закладів. Загальні технічні умови», ГОСТ 11015-93 (ИСО 5970-79) «Столи учнівські. Типи і функціональні розміри». </w:t>
      </w:r>
    </w:p>
    <w:p w14:paraId="0000002B" w14:textId="77777777" w:rsidR="00703FCD" w:rsidRPr="008234C0" w:rsidRDefault="00FA0569">
      <w:pPr>
        <w:spacing w:before="240" w:after="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8. Перелік та вимоги до засобів навчання та обладнання загального призначення, мультимедійного обладнання для навчальних кабінетів закладів освіти, які забезпечують здобуття повної загальної середньої освіти  наведено у додатку 1.</w:t>
      </w:r>
    </w:p>
    <w:p w14:paraId="0000002C" w14:textId="77777777" w:rsidR="00703FCD" w:rsidRPr="008234C0" w:rsidRDefault="00FA0569">
      <w:pPr>
        <w:spacing w:before="240" w:after="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9. Переліки та вимоги до засобів навчання та обладнання для навчальних кабінетів математичної освітньої галузі закладів освіти, які забезпечують здобуття повної загальної середньої освіти наведено у додатку 2.</w:t>
      </w:r>
    </w:p>
    <w:p w14:paraId="0000002D" w14:textId="77777777" w:rsidR="00703FCD" w:rsidRPr="008234C0" w:rsidRDefault="00FA0569">
      <w:pPr>
        <w:spacing w:before="240" w:after="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t>10. Переліки та вимоги до засобів навчання та обладнання для навчальних кабінетів природничої освітньої галузі закладів освіти, які забезпечують здобуття повної загальної середньої освіти наведено у додатку 3.</w:t>
      </w:r>
    </w:p>
    <w:p w14:paraId="0000002E" w14:textId="77777777" w:rsidR="00703FCD" w:rsidRPr="008234C0" w:rsidRDefault="00FA0569">
      <w:pPr>
        <w:spacing w:before="240" w:line="240" w:lineRule="auto"/>
        <w:ind w:firstLine="720"/>
        <w:jc w:val="both"/>
        <w:rPr>
          <w:rFonts w:ascii="Times New Roman" w:eastAsia="Times New Roman" w:hAnsi="Times New Roman" w:cs="Times New Roman"/>
          <w:sz w:val="28"/>
          <w:szCs w:val="28"/>
        </w:rPr>
      </w:pPr>
      <w:r w:rsidRPr="008234C0">
        <w:rPr>
          <w:rFonts w:ascii="Times New Roman" w:eastAsia="Times New Roman" w:hAnsi="Times New Roman" w:cs="Times New Roman"/>
          <w:sz w:val="28"/>
          <w:szCs w:val="28"/>
        </w:rPr>
        <w:lastRenderedPageBreak/>
        <w:t>11. Переліки та вимоги до засобів навчання та обладнання для навчальних кабінетів технологічної освітньої галузі закладів освіти, які забезпечують здобуття повної загальної середньої освіти наведено у додатку 4.</w:t>
      </w:r>
    </w:p>
    <w:p w14:paraId="0000002F" w14:textId="77777777" w:rsidR="00703FCD" w:rsidRPr="008234C0" w:rsidRDefault="00FA0569">
      <w:pPr>
        <w:spacing w:before="240" w:line="240" w:lineRule="auto"/>
        <w:ind w:firstLine="720"/>
        <w:jc w:val="both"/>
        <w:rPr>
          <w:rFonts w:ascii="Times New Roman" w:eastAsia="Times New Roman" w:hAnsi="Times New Roman" w:cs="Times New Roman"/>
          <w:sz w:val="28"/>
          <w:szCs w:val="28"/>
          <w:highlight w:val="white"/>
        </w:rPr>
      </w:pPr>
      <w:r w:rsidRPr="008234C0">
        <w:rPr>
          <w:rFonts w:ascii="Times New Roman" w:eastAsia="Times New Roman" w:hAnsi="Times New Roman" w:cs="Times New Roman"/>
          <w:sz w:val="28"/>
          <w:szCs w:val="28"/>
        </w:rPr>
        <w:t>12. Закупівля обладнання, яке сприяє досягненню цілей освіти та не передбачене цим Типовим переліком можливе за рахунок коштів місцевих бюджет та інших джерел не заборонених законодавством.</w:t>
      </w:r>
    </w:p>
    <w:p w14:paraId="00000030" w14:textId="77777777" w:rsidR="00703FCD" w:rsidRPr="008234C0" w:rsidRDefault="00FA0569">
      <w:pPr>
        <w:spacing w:before="240" w:after="240" w:line="240" w:lineRule="auto"/>
        <w:ind w:firstLine="720"/>
        <w:jc w:val="both"/>
        <w:rPr>
          <w:rFonts w:ascii="Times New Roman" w:eastAsia="Times New Roman" w:hAnsi="Times New Roman" w:cs="Times New Roman"/>
          <w:sz w:val="28"/>
          <w:szCs w:val="28"/>
          <w:highlight w:val="white"/>
        </w:rPr>
      </w:pPr>
      <w:r w:rsidRPr="008234C0">
        <w:rPr>
          <w:rFonts w:ascii="Times New Roman" w:eastAsia="Times New Roman" w:hAnsi="Times New Roman" w:cs="Times New Roman"/>
          <w:sz w:val="28"/>
          <w:szCs w:val="28"/>
          <w:highlight w:val="white"/>
        </w:rPr>
        <w:t>13. Засоби навчання та обладнання (крім деяких витратних матеріалів), що поставляються та використовуються в освітньому процесі в початковій школі, повинні мати гігієнічний сертифікат або висновок державної санітарно-епідеміологічної експертизи, та технічний паспорт на виріб, та декларацію про відповідність вимогам технічних регламентів; бути укомплектованими інструкціями про використання та зберігання українською мовою, та обов’язковим методичним забезпеченням для різних видів робіт відповідно до навчальних програм.</w:t>
      </w:r>
    </w:p>
    <w:p w14:paraId="00000031" w14:textId="77777777" w:rsidR="00703FCD" w:rsidRPr="008234C0" w:rsidRDefault="00FA0569">
      <w:pPr>
        <w:spacing w:before="240" w:after="240" w:line="240" w:lineRule="auto"/>
        <w:ind w:firstLine="720"/>
        <w:jc w:val="both"/>
      </w:pPr>
      <w:r w:rsidRPr="008234C0">
        <w:t>________________________________________________________________</w:t>
      </w:r>
    </w:p>
    <w:p w14:paraId="00000032" w14:textId="77777777" w:rsidR="00703FCD" w:rsidRPr="008234C0" w:rsidRDefault="00FA0569">
      <w:pPr>
        <w:spacing w:before="240" w:after="240" w:line="240" w:lineRule="auto"/>
        <w:ind w:firstLine="720"/>
        <w:jc w:val="both"/>
      </w:pPr>
      <w:r w:rsidRPr="008234C0">
        <w:br/>
      </w:r>
    </w:p>
    <w:sectPr w:rsidR="00703FCD" w:rsidRPr="008234C0">
      <w:headerReference w:type="default" r:id="rId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F22E" w14:textId="77777777" w:rsidR="00832D27" w:rsidRDefault="00832D27">
      <w:pPr>
        <w:spacing w:line="240" w:lineRule="auto"/>
      </w:pPr>
      <w:r>
        <w:separator/>
      </w:r>
    </w:p>
  </w:endnote>
  <w:endnote w:type="continuationSeparator" w:id="0">
    <w:p w14:paraId="1B4A3916" w14:textId="77777777" w:rsidR="00832D27" w:rsidRDefault="00832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27DF0" w14:textId="77777777" w:rsidR="00832D27" w:rsidRDefault="00832D27">
      <w:pPr>
        <w:spacing w:line="240" w:lineRule="auto"/>
      </w:pPr>
      <w:r>
        <w:separator/>
      </w:r>
    </w:p>
  </w:footnote>
  <w:footnote w:type="continuationSeparator" w:id="0">
    <w:p w14:paraId="66589F75" w14:textId="77777777" w:rsidR="00832D27" w:rsidRDefault="00832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27CEB2F7" w:rsidR="00703FCD" w:rsidRPr="00C4443A" w:rsidRDefault="00FA0569">
    <w:pPr>
      <w:jc w:val="center"/>
      <w:rPr>
        <w:rFonts w:ascii="Times New Roman" w:hAnsi="Times New Roman" w:cs="Times New Roman"/>
        <w:sz w:val="28"/>
        <w:szCs w:val="28"/>
      </w:rPr>
    </w:pPr>
    <w:r w:rsidRPr="00C4443A">
      <w:rPr>
        <w:rFonts w:ascii="Times New Roman" w:hAnsi="Times New Roman" w:cs="Times New Roman"/>
        <w:sz w:val="28"/>
        <w:szCs w:val="28"/>
      </w:rPr>
      <w:fldChar w:fldCharType="begin"/>
    </w:r>
    <w:r w:rsidRPr="00C4443A">
      <w:rPr>
        <w:rFonts w:ascii="Times New Roman" w:hAnsi="Times New Roman" w:cs="Times New Roman"/>
        <w:sz w:val="28"/>
        <w:szCs w:val="28"/>
      </w:rPr>
      <w:instrText>PAGE</w:instrText>
    </w:r>
    <w:r w:rsidRPr="00C4443A">
      <w:rPr>
        <w:rFonts w:ascii="Times New Roman" w:hAnsi="Times New Roman" w:cs="Times New Roman"/>
        <w:sz w:val="28"/>
        <w:szCs w:val="28"/>
      </w:rPr>
      <w:fldChar w:fldCharType="separate"/>
    </w:r>
    <w:r w:rsidR="00C4443A">
      <w:rPr>
        <w:rFonts w:ascii="Times New Roman" w:hAnsi="Times New Roman" w:cs="Times New Roman"/>
        <w:noProof/>
        <w:sz w:val="28"/>
        <w:szCs w:val="28"/>
      </w:rPr>
      <w:t>5</w:t>
    </w:r>
    <w:r w:rsidRPr="00C4443A">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CD"/>
    <w:rsid w:val="00254CB7"/>
    <w:rsid w:val="00703FCD"/>
    <w:rsid w:val="008234C0"/>
    <w:rsid w:val="00832D27"/>
    <w:rsid w:val="00C4443A"/>
    <w:rsid w:val="00E2686D"/>
    <w:rsid w:val="00FA0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6EF9"/>
  <w15:docId w15:val="{86DE6C3A-964D-4327-9B98-2FE4D880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C4443A"/>
    <w:pPr>
      <w:tabs>
        <w:tab w:val="center" w:pos="4819"/>
        <w:tab w:val="right" w:pos="9639"/>
      </w:tabs>
      <w:spacing w:line="240" w:lineRule="auto"/>
    </w:pPr>
  </w:style>
  <w:style w:type="character" w:customStyle="1" w:styleId="a6">
    <w:name w:val="Верхній колонтитул Знак"/>
    <w:basedOn w:val="a0"/>
    <w:link w:val="a5"/>
    <w:uiPriority w:val="99"/>
    <w:rsid w:val="00C4443A"/>
  </w:style>
  <w:style w:type="paragraph" w:styleId="a7">
    <w:name w:val="footer"/>
    <w:basedOn w:val="a"/>
    <w:link w:val="a8"/>
    <w:uiPriority w:val="99"/>
    <w:unhideWhenUsed/>
    <w:rsid w:val="00C4443A"/>
    <w:pPr>
      <w:tabs>
        <w:tab w:val="center" w:pos="4819"/>
        <w:tab w:val="right" w:pos="9639"/>
      </w:tabs>
      <w:spacing w:line="240" w:lineRule="auto"/>
    </w:pPr>
  </w:style>
  <w:style w:type="character" w:customStyle="1" w:styleId="a8">
    <w:name w:val="Нижній колонтитул Знак"/>
    <w:basedOn w:val="a0"/>
    <w:link w:val="a7"/>
    <w:uiPriority w:val="99"/>
    <w:rsid w:val="00C4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055-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6566</Words>
  <Characters>3743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Гладковський Роман Васильович</dc:creator>
  <cp:lastModifiedBy>Gladkovskyy R.V.</cp:lastModifiedBy>
  <cp:revision>2</cp:revision>
  <dcterms:created xsi:type="dcterms:W3CDTF">2025-04-30T13:13:00Z</dcterms:created>
  <dcterms:modified xsi:type="dcterms:W3CDTF">2025-04-30T13:13:00Z</dcterms:modified>
</cp:coreProperties>
</file>