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10435498"/>
        <w:docPartObj>
          <w:docPartGallery w:val="Cover Pages"/>
          <w:docPartUnique/>
        </w:docPartObj>
      </w:sdtPr>
      <w:sdtEndPr>
        <w:rPr>
          <w:rFonts w:ascii="Times New Roman" w:hAnsi="Times New Roman" w:cs="Times New Roman"/>
          <w:kern w:val="0"/>
          <w:sz w:val="24"/>
          <w:szCs w:val="24"/>
        </w:rPr>
      </w:sdtEndPr>
      <w:sdtContent>
        <w:p w14:paraId="048C2E7C" w14:textId="359E7E26" w:rsidR="005F1428" w:rsidRDefault="005F1428">
          <w:r>
            <w:rPr>
              <w:noProof/>
            </w:rPr>
            <mc:AlternateContent>
              <mc:Choice Requires="wps">
                <w:drawing>
                  <wp:anchor distT="0" distB="0" distL="114300" distR="114300" simplePos="0" relativeHeight="251663360" behindDoc="0" locked="0" layoutInCell="1" allowOverlap="1" wp14:anchorId="288519D9" wp14:editId="6A84A74C">
                    <wp:simplePos x="0" y="0"/>
                    <wp:positionH relativeFrom="page">
                      <wp:posOffset>308399</wp:posOffset>
                    </wp:positionH>
                    <wp:positionV relativeFrom="page">
                      <wp:posOffset>453390</wp:posOffset>
                    </wp:positionV>
                    <wp:extent cx="5753100" cy="484632"/>
                    <wp:effectExtent l="0" t="0" r="0" b="7620"/>
                    <wp:wrapSquare wrapText="bothSides"/>
                    <wp:docPr id="129" name="Текстове поле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365F91" w:themeColor="accent1" w:themeShade="BF"/>
                                    <w:spacing w:val="-10"/>
                                    <w:kern w:val="28"/>
                                    <w:sz w:val="28"/>
                                    <w:szCs w:val="28"/>
                                  </w:rPr>
                                  <w:alias w:val="Підзаголовок"/>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BFDBBA2" w14:textId="17CC8B76" w:rsidR="005F1428" w:rsidRPr="00A552DD" w:rsidRDefault="005F1428" w:rsidP="005F1428">
                                    <w:pPr>
                                      <w:pStyle w:val="af9"/>
                                      <w:spacing w:before="40" w:after="40"/>
                                      <w:jc w:val="center"/>
                                      <w:rPr>
                                        <w:caps/>
                                        <w:color w:val="365F91" w:themeColor="accent1" w:themeShade="BF"/>
                                        <w:sz w:val="28"/>
                                        <w:szCs w:val="28"/>
                                      </w:rPr>
                                    </w:pPr>
                                    <w:r w:rsidRPr="00A552DD">
                                      <w:rPr>
                                        <w:rFonts w:ascii="Times New Roman" w:eastAsiaTheme="majorEastAsia" w:hAnsi="Times New Roman" w:cs="Times New Roman"/>
                                        <w:b/>
                                        <w:bCs/>
                                        <w:color w:val="365F91" w:themeColor="accent1" w:themeShade="BF"/>
                                        <w:spacing w:val="-10"/>
                                        <w:kern w:val="28"/>
                                        <w:sz w:val="28"/>
                                        <w:szCs w:val="28"/>
                                      </w:rPr>
                                      <w:t>МІНІСТЕРСТВО ОСВІТИ І НАУКИ УКРАЇНИ</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88519D9" id="_x0000_t202" coordsize="21600,21600" o:spt="202" path="m,l,21600r21600,l21600,xe">
                    <v:stroke joinstyle="miter"/>
                    <v:path gradientshapeok="t" o:connecttype="rect"/>
                  </v:shapetype>
                  <v:shape id="Текстове поле 129" o:spid="_x0000_s1026" type="#_x0000_t202" style="position:absolute;margin-left:24.3pt;margin-top:35.7pt;width:453pt;height:38.15pt;z-index:251663360;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nXbAIAADg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" filled="f" stroked="f" strokeweight=".5pt">
                    <v:textbox style="mso-fit-shape-to-text:t" inset="1in,0,86.4pt,0">
                      <w:txbxContent>
                        <w:sdt>
                          <w:sdtPr>
                            <w:rPr>
                              <w:rFonts w:ascii="Times New Roman" w:eastAsiaTheme="majorEastAsia" w:hAnsi="Times New Roman" w:cs="Times New Roman"/>
                              <w:b/>
                              <w:bCs/>
                              <w:color w:val="365F91" w:themeColor="accent1" w:themeShade="BF"/>
                              <w:spacing w:val="-10"/>
                              <w:kern w:val="28"/>
                              <w:sz w:val="28"/>
                              <w:szCs w:val="28"/>
                            </w:rPr>
                            <w:alias w:val="Підзаголовок"/>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BFDBBA2" w14:textId="17CC8B76" w:rsidR="005F1428" w:rsidRPr="00A552DD" w:rsidRDefault="005F1428" w:rsidP="005F1428">
                              <w:pPr>
                                <w:pStyle w:val="af9"/>
                                <w:spacing w:before="40" w:after="40"/>
                                <w:jc w:val="center"/>
                                <w:rPr>
                                  <w:caps/>
                                  <w:color w:val="365F91" w:themeColor="accent1" w:themeShade="BF"/>
                                  <w:sz w:val="28"/>
                                  <w:szCs w:val="28"/>
                                </w:rPr>
                              </w:pPr>
                              <w:r w:rsidRPr="00A552DD">
                                <w:rPr>
                                  <w:rFonts w:ascii="Times New Roman" w:eastAsiaTheme="majorEastAsia" w:hAnsi="Times New Roman" w:cs="Times New Roman"/>
                                  <w:b/>
                                  <w:bCs/>
                                  <w:color w:val="365F91" w:themeColor="accent1" w:themeShade="BF"/>
                                  <w:spacing w:val="-10"/>
                                  <w:kern w:val="28"/>
                                  <w:sz w:val="28"/>
                                  <w:szCs w:val="28"/>
                                </w:rPr>
                                <w:t>МІНІСТЕРСТВО ОСВІТИ І НАУКИ УКРАЇНИ</w:t>
                              </w:r>
                            </w:p>
                          </w:sdtContent>
                        </w:sdt>
                      </w:txbxContent>
                    </v:textbox>
                    <w10:wrap type="square" anchorx="page" anchory="page"/>
                  </v:shape>
                </w:pict>
              </mc:Fallback>
            </mc:AlternateContent>
          </w:r>
        </w:p>
        <w:p w14:paraId="11A53C0C" w14:textId="77777777" w:rsidR="00F40B26" w:rsidRDefault="00F40B26">
          <w:pPr>
            <w:rPr>
              <w:rFonts w:ascii="Times New Roman" w:hAnsi="Times New Roman" w:cs="Times New Roman"/>
              <w:kern w:val="0"/>
              <w:sz w:val="24"/>
              <w:szCs w:val="24"/>
            </w:rPr>
          </w:pPr>
        </w:p>
        <w:p w14:paraId="34360CB0" w14:textId="77777777" w:rsidR="00F40B26" w:rsidRDefault="00F40B26">
          <w:pPr>
            <w:rPr>
              <w:rFonts w:ascii="Times New Roman" w:hAnsi="Times New Roman" w:cs="Times New Roman"/>
              <w:kern w:val="0"/>
              <w:sz w:val="24"/>
              <w:szCs w:val="24"/>
            </w:rPr>
          </w:pPr>
        </w:p>
        <w:p w14:paraId="23D588D9" w14:textId="77777777" w:rsidR="00F40B26" w:rsidRDefault="00F40B26">
          <w:pPr>
            <w:rPr>
              <w:rFonts w:ascii="Times New Roman" w:hAnsi="Times New Roman" w:cs="Times New Roman"/>
              <w:kern w:val="0"/>
              <w:sz w:val="24"/>
              <w:szCs w:val="24"/>
            </w:rPr>
          </w:pPr>
        </w:p>
        <w:p w14:paraId="721C3A67" w14:textId="77777777" w:rsidR="00F40B26" w:rsidRDefault="00F40B26">
          <w:pPr>
            <w:rPr>
              <w:rFonts w:ascii="Times New Roman" w:hAnsi="Times New Roman" w:cs="Times New Roman"/>
              <w:kern w:val="0"/>
              <w:sz w:val="24"/>
              <w:szCs w:val="24"/>
            </w:rPr>
          </w:pPr>
        </w:p>
        <w:p w14:paraId="5E67EB1E" w14:textId="77777777" w:rsidR="00F40B26" w:rsidRPr="00A552DD" w:rsidRDefault="00F40B26">
          <w:pPr>
            <w:rPr>
              <w:rFonts w:ascii="Times New Roman" w:hAnsi="Times New Roman" w:cs="Times New Roman"/>
              <w:color w:val="365F91" w:themeColor="accent1" w:themeShade="BF"/>
              <w:kern w:val="0"/>
              <w:sz w:val="24"/>
              <w:szCs w:val="24"/>
            </w:rPr>
          </w:pPr>
        </w:p>
        <w:p w14:paraId="300A05EE" w14:textId="77777777" w:rsidR="00F40B26" w:rsidRPr="00A552DD" w:rsidRDefault="00F40B26">
          <w:pPr>
            <w:rPr>
              <w:rFonts w:ascii="Times New Roman" w:hAnsi="Times New Roman" w:cs="Times New Roman"/>
              <w:color w:val="365F91" w:themeColor="accent1" w:themeShade="BF"/>
              <w:kern w:val="0"/>
              <w:sz w:val="24"/>
              <w:szCs w:val="24"/>
            </w:rPr>
          </w:pPr>
        </w:p>
        <w:p w14:paraId="04CE7FF4" w14:textId="77777777" w:rsidR="00F40B26" w:rsidRPr="00A552DD" w:rsidRDefault="00F40B26">
          <w:pPr>
            <w:rPr>
              <w:rFonts w:ascii="Times New Roman" w:hAnsi="Times New Roman" w:cs="Times New Roman"/>
              <w:color w:val="365F91" w:themeColor="accent1" w:themeShade="BF"/>
              <w:kern w:val="0"/>
              <w:sz w:val="24"/>
              <w:szCs w:val="24"/>
            </w:rPr>
          </w:pPr>
        </w:p>
        <w:p w14:paraId="48C286C0" w14:textId="2D2F2D2F" w:rsidR="00F40B26" w:rsidRPr="00A552DD" w:rsidRDefault="00A552DD">
          <w:pPr>
            <w:rPr>
              <w:rFonts w:ascii="Times New Roman" w:hAnsi="Times New Roman" w:cs="Times New Roman"/>
              <w:color w:val="365F91" w:themeColor="accent1" w:themeShade="BF"/>
              <w:kern w:val="0"/>
              <w:sz w:val="24"/>
              <w:szCs w:val="24"/>
            </w:rPr>
          </w:pPr>
          <w:r w:rsidRPr="00A552DD">
            <w:rPr>
              <w:noProof/>
              <w:color w:val="365F91" w:themeColor="accent1" w:themeShade="BF"/>
            </w:rPr>
            <mc:AlternateContent>
              <mc:Choice Requires="wps">
                <w:drawing>
                  <wp:anchor distT="0" distB="0" distL="114300" distR="114300" simplePos="0" relativeHeight="251661312" behindDoc="1" locked="0" layoutInCell="1" allowOverlap="1" wp14:anchorId="1DBAC649" wp14:editId="7A26FA97">
                    <wp:simplePos x="0" y="0"/>
                    <wp:positionH relativeFrom="column">
                      <wp:posOffset>-15785</wp:posOffset>
                    </wp:positionH>
                    <wp:positionV relativeFrom="paragraph">
                      <wp:posOffset>170815</wp:posOffset>
                    </wp:positionV>
                    <wp:extent cx="5777384" cy="666874"/>
                    <wp:effectExtent l="0" t="0" r="0" b="0"/>
                    <wp:wrapNone/>
                    <wp:docPr id="1155832787" name="Поліліні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4" cy="666874"/>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6BF42CEA" id="Полілінія 11" o:spid="_x0000_s1026" style="position:absolute;margin-left:-1.25pt;margin-top:13.45pt;width:454.9pt;height:52.5pt;z-index:-251655168;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" path="m607,c450,44,300,57,176,57,109,57,49,53,,48,66,58,152,66,251,66,358,66,480,56,607,27,607,,607,,607,e" fillcolor="white [3212]" stroked="f">
                    <v:fill opacity="19789f"/>
                    <v:path arrowok="t" o:connecttype="custom" o:connectlocs="5777384,0;1675156,575937;0,484999;2389001,666874;5777384,272812;5777384,0" o:connectangles="0,0,0,0,0,0"/>
                  </v:shape>
                </w:pict>
              </mc:Fallback>
            </mc:AlternateContent>
          </w:r>
        </w:p>
        <w:p w14:paraId="05E52CD5" w14:textId="77777777" w:rsidR="00A552DD" w:rsidRPr="00A552DD" w:rsidRDefault="00000000" w:rsidP="00A552DD">
          <w:pPr>
            <w:autoSpaceDE w:val="0"/>
            <w:autoSpaceDN w:val="0"/>
            <w:adjustRightInd w:val="0"/>
            <w:spacing w:after="120" w:line="240" w:lineRule="auto"/>
            <w:ind w:left="-993"/>
            <w:jc w:val="center"/>
            <w:rPr>
              <w:rFonts w:ascii="Times New Roman" w:eastAsiaTheme="majorEastAsia" w:hAnsi="Times New Roman" w:cs="Times New Roman"/>
              <w:b/>
              <w:bCs/>
              <w:color w:val="365F91" w:themeColor="accent1" w:themeShade="BF"/>
              <w:spacing w:val="-10"/>
              <w:kern w:val="28"/>
              <w:sz w:val="48"/>
              <w:szCs w:val="48"/>
            </w:rPr>
          </w:pPr>
          <w:sdt>
            <w:sdtPr>
              <w:rPr>
                <w:rFonts w:ascii="Times New Roman" w:eastAsiaTheme="majorEastAsia" w:hAnsi="Times New Roman" w:cs="Times New Roman"/>
                <w:b/>
                <w:bCs/>
                <w:color w:val="365F91" w:themeColor="accent1" w:themeShade="BF"/>
                <w:spacing w:val="-10"/>
                <w:kern w:val="28"/>
                <w:sz w:val="48"/>
                <w:szCs w:val="48"/>
              </w:rPr>
              <w:alias w:val="Заголовок"/>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A552DD" w:rsidRPr="00A552DD">
                <w:rPr>
                  <w:rFonts w:ascii="Times New Roman" w:eastAsiaTheme="majorEastAsia" w:hAnsi="Times New Roman" w:cs="Times New Roman"/>
                  <w:b/>
                  <w:bCs/>
                  <w:color w:val="365F91" w:themeColor="accent1" w:themeShade="BF"/>
                  <w:spacing w:val="-10"/>
                  <w:kern w:val="28"/>
                  <w:sz w:val="48"/>
                  <w:szCs w:val="48"/>
                </w:rPr>
                <w:t xml:space="preserve">     </w:t>
              </w:r>
            </w:sdtContent>
          </w:sdt>
          <w:r w:rsidR="00A552DD" w:rsidRPr="00A552DD">
            <w:rPr>
              <w:rFonts w:ascii="Times New Roman" w:eastAsiaTheme="majorEastAsia" w:hAnsi="Times New Roman" w:cs="Times New Roman"/>
              <w:b/>
              <w:bCs/>
              <w:color w:val="365F91" w:themeColor="accent1" w:themeShade="BF"/>
              <w:spacing w:val="-10"/>
              <w:kern w:val="28"/>
              <w:sz w:val="48"/>
              <w:szCs w:val="48"/>
            </w:rPr>
            <w:t>Методичні рекомендації</w:t>
          </w:r>
        </w:p>
        <w:p w14:paraId="43F5A92B" w14:textId="77777777" w:rsidR="00A552DD" w:rsidRPr="00A552DD" w:rsidRDefault="00A552DD" w:rsidP="00A552DD">
          <w:pPr>
            <w:autoSpaceDE w:val="0"/>
            <w:autoSpaceDN w:val="0"/>
            <w:adjustRightInd w:val="0"/>
            <w:spacing w:after="120" w:line="240" w:lineRule="auto"/>
            <w:ind w:left="-426"/>
            <w:jc w:val="center"/>
            <w:rPr>
              <w:rFonts w:ascii="Times New Roman" w:eastAsiaTheme="majorEastAsia" w:hAnsi="Times New Roman" w:cs="Times New Roman"/>
              <w:b/>
              <w:bCs/>
              <w:color w:val="365F91" w:themeColor="accent1" w:themeShade="BF"/>
              <w:spacing w:val="-10"/>
              <w:kern w:val="28"/>
              <w:sz w:val="40"/>
              <w:szCs w:val="40"/>
            </w:rPr>
          </w:pPr>
          <w:r w:rsidRPr="00A552DD">
            <w:rPr>
              <w:rFonts w:ascii="Times New Roman" w:eastAsiaTheme="majorEastAsia" w:hAnsi="Times New Roman" w:cs="Times New Roman"/>
              <w:b/>
              <w:bCs/>
              <w:color w:val="365F91" w:themeColor="accent1" w:themeShade="BF"/>
              <w:spacing w:val="-10"/>
              <w:kern w:val="28"/>
              <w:sz w:val="40"/>
              <w:szCs w:val="40"/>
            </w:rPr>
            <w:t>щодо реалізації узгоджених спільних освітніх програм та видачі спільних (подвійних) дипломів</w:t>
          </w:r>
        </w:p>
        <w:p w14:paraId="5CC22B4B" w14:textId="5A0BECE8" w:rsidR="00F40B26" w:rsidRPr="00A552DD" w:rsidRDefault="00F40B26">
          <w:pPr>
            <w:rPr>
              <w:rFonts w:ascii="Times New Roman" w:hAnsi="Times New Roman" w:cs="Times New Roman"/>
              <w:color w:val="365F91" w:themeColor="accent1" w:themeShade="BF"/>
              <w:kern w:val="0"/>
              <w:sz w:val="24"/>
              <w:szCs w:val="24"/>
            </w:rPr>
          </w:pPr>
        </w:p>
        <w:p w14:paraId="4D21D0FC" w14:textId="3789E0C7" w:rsidR="00F40B26" w:rsidRPr="00A552DD" w:rsidRDefault="00F40B26">
          <w:pPr>
            <w:rPr>
              <w:rFonts w:ascii="Times New Roman" w:hAnsi="Times New Roman" w:cs="Times New Roman"/>
              <w:color w:val="365F91" w:themeColor="accent1" w:themeShade="BF"/>
              <w:kern w:val="0"/>
              <w:sz w:val="24"/>
              <w:szCs w:val="24"/>
            </w:rPr>
          </w:pPr>
        </w:p>
        <w:p w14:paraId="39025CF2" w14:textId="6C9A89BF" w:rsidR="00F40B26" w:rsidRPr="00A552DD" w:rsidRDefault="00F40B26">
          <w:pPr>
            <w:rPr>
              <w:rFonts w:ascii="Times New Roman" w:hAnsi="Times New Roman" w:cs="Times New Roman"/>
              <w:color w:val="365F91" w:themeColor="accent1" w:themeShade="BF"/>
              <w:kern w:val="0"/>
              <w:sz w:val="24"/>
              <w:szCs w:val="24"/>
            </w:rPr>
          </w:pPr>
        </w:p>
        <w:p w14:paraId="6749EE7F" w14:textId="77777777" w:rsidR="00F40B26" w:rsidRPr="00A552DD" w:rsidRDefault="00F40B26">
          <w:pPr>
            <w:rPr>
              <w:rFonts w:ascii="Times New Roman" w:hAnsi="Times New Roman" w:cs="Times New Roman"/>
              <w:color w:val="365F91" w:themeColor="accent1" w:themeShade="BF"/>
              <w:kern w:val="0"/>
              <w:sz w:val="24"/>
              <w:szCs w:val="24"/>
            </w:rPr>
          </w:pPr>
        </w:p>
        <w:p w14:paraId="72A3CFD5" w14:textId="1F737CF1" w:rsidR="00F40B26" w:rsidRDefault="00F40B26">
          <w:pPr>
            <w:rPr>
              <w:rFonts w:ascii="Times New Roman" w:hAnsi="Times New Roman" w:cs="Times New Roman"/>
              <w:kern w:val="0"/>
              <w:sz w:val="24"/>
              <w:szCs w:val="24"/>
            </w:rPr>
          </w:pPr>
        </w:p>
        <w:p w14:paraId="06D2E262" w14:textId="77777777" w:rsidR="00F40B26" w:rsidRDefault="00F40B26">
          <w:pPr>
            <w:rPr>
              <w:rFonts w:ascii="Times New Roman" w:hAnsi="Times New Roman" w:cs="Times New Roman"/>
              <w:kern w:val="0"/>
              <w:sz w:val="24"/>
              <w:szCs w:val="24"/>
            </w:rPr>
          </w:pPr>
        </w:p>
        <w:p w14:paraId="2E56231F" w14:textId="0D8C117F" w:rsidR="00F40B26" w:rsidRDefault="00F40B26">
          <w:pPr>
            <w:rPr>
              <w:rFonts w:ascii="Times New Roman" w:hAnsi="Times New Roman" w:cs="Times New Roman"/>
              <w:kern w:val="0"/>
              <w:sz w:val="24"/>
              <w:szCs w:val="24"/>
            </w:rPr>
          </w:pPr>
        </w:p>
        <w:p w14:paraId="1D880E99" w14:textId="77777777" w:rsidR="00F40B26" w:rsidRDefault="00F40B26">
          <w:pPr>
            <w:rPr>
              <w:rFonts w:ascii="Times New Roman" w:hAnsi="Times New Roman" w:cs="Times New Roman"/>
              <w:kern w:val="0"/>
              <w:sz w:val="24"/>
              <w:szCs w:val="24"/>
            </w:rPr>
          </w:pPr>
        </w:p>
        <w:p w14:paraId="55ECE229" w14:textId="77777777" w:rsidR="00F40B26" w:rsidRDefault="00F40B26">
          <w:pPr>
            <w:rPr>
              <w:rFonts w:ascii="Times New Roman" w:hAnsi="Times New Roman" w:cs="Times New Roman"/>
              <w:kern w:val="0"/>
              <w:sz w:val="24"/>
              <w:szCs w:val="24"/>
            </w:rPr>
          </w:pPr>
        </w:p>
        <w:p w14:paraId="3EB9A682" w14:textId="771C860C" w:rsidR="00F40B26" w:rsidRDefault="00F40B26">
          <w:pPr>
            <w:rPr>
              <w:rFonts w:ascii="Times New Roman" w:hAnsi="Times New Roman" w:cs="Times New Roman"/>
              <w:kern w:val="0"/>
              <w:sz w:val="24"/>
              <w:szCs w:val="24"/>
            </w:rPr>
          </w:pPr>
        </w:p>
        <w:p w14:paraId="693F718E" w14:textId="77777777" w:rsidR="00F40B26" w:rsidRDefault="00F40B26">
          <w:pPr>
            <w:rPr>
              <w:rFonts w:ascii="Times New Roman" w:hAnsi="Times New Roman" w:cs="Times New Roman"/>
              <w:kern w:val="0"/>
              <w:sz w:val="24"/>
              <w:szCs w:val="24"/>
            </w:rPr>
          </w:pPr>
        </w:p>
        <w:p w14:paraId="621BD28D" w14:textId="6CA5BC21" w:rsidR="005F1428" w:rsidRDefault="005F1428" w:rsidP="00F40B26">
          <w:pPr>
            <w:ind w:left="-284"/>
            <w:rPr>
              <w:rFonts w:ascii="Times New Roman" w:hAnsi="Times New Roman" w:cs="Times New Roman"/>
              <w:kern w:val="0"/>
              <w:sz w:val="24"/>
              <w:szCs w:val="24"/>
            </w:rPr>
          </w:pPr>
          <w:r>
            <w:rPr>
              <w:noProof/>
            </w:rPr>
            <mc:AlternateContent>
              <mc:Choice Requires="wps">
                <w:drawing>
                  <wp:anchor distT="0" distB="0" distL="114300" distR="114300" simplePos="0" relativeHeight="251664384" behindDoc="0" locked="0" layoutInCell="1" allowOverlap="1" wp14:anchorId="14C5017E" wp14:editId="3192840F">
                    <wp:simplePos x="0" y="0"/>
                    <wp:positionH relativeFrom="page">
                      <wp:align>center</wp:align>
                    </wp:positionH>
                    <wp:positionV relativeFrom="margin">
                      <wp:align>bottom</wp:align>
                    </wp:positionV>
                    <wp:extent cx="5753100" cy="146304"/>
                    <wp:effectExtent l="0" t="0" r="0" b="5715"/>
                    <wp:wrapSquare wrapText="bothSides"/>
                    <wp:docPr id="128" name="Текстове поле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33258" w14:textId="2AF1A742" w:rsidR="005F1428" w:rsidRDefault="00000000" w:rsidP="005F1428">
                                <w:pPr>
                                  <w:pStyle w:val="af9"/>
                                  <w:jc w:val="center"/>
                                  <w:rPr>
                                    <w:color w:val="7F7F7F" w:themeColor="text1" w:themeTint="80"/>
                                    <w:sz w:val="18"/>
                                    <w:szCs w:val="18"/>
                                  </w:rPr>
                                </w:pPr>
                                <w:sdt>
                                  <w:sdtPr>
                                    <w:rPr>
                                      <w:rStyle w:val="10"/>
                                      <w:rFonts w:ascii="Times New Roman" w:hAnsi="Times New Roman" w:cs="Times New Roman"/>
                                      <w:b/>
                                      <w:bCs/>
                                      <w:smallCaps/>
                                      <w:color w:val="5A5A5A" w:themeColor="text1" w:themeTint="A5"/>
                                      <w:sz w:val="24"/>
                                      <w:szCs w:val="24"/>
                                    </w:rPr>
                                    <w:alias w:val="Компанія"/>
                                    <w:tag w:val=""/>
                                    <w:id w:val="-1880927279"/>
                                    <w:dataBinding w:prefixMappings="xmlns:ns0='http://schemas.openxmlformats.org/officeDocument/2006/extended-properties' " w:xpath="/ns0:Properties[1]/ns0:Company[1]" w:storeItemID="{6668398D-A668-4E3E-A5EB-62B293D839F1}"/>
                                    <w:text/>
                                  </w:sdtPr>
                                  <w:sdtContent>
                                    <w:r w:rsidR="005F1428" w:rsidRPr="005F1428">
                                      <w:rPr>
                                        <w:rStyle w:val="10"/>
                                        <w:rFonts w:ascii="Times New Roman" w:hAnsi="Times New Roman" w:cs="Times New Roman"/>
                                        <w:b/>
                                        <w:bCs/>
                                        <w:smallCaps/>
                                        <w:color w:val="5A5A5A" w:themeColor="text1" w:themeTint="A5"/>
                                        <w:sz w:val="24"/>
                                        <w:szCs w:val="24"/>
                                      </w:rPr>
                                      <w:t>КИЇВ</w:t>
                                    </w:r>
                                  </w:sdtContent>
                                </w:sdt>
                                <w:r w:rsidR="005F1428">
                                  <w:rPr>
                                    <w:caps/>
                                    <w:color w:val="7F7F7F" w:themeColor="text1" w:themeTint="80"/>
                                    <w:sz w:val="18"/>
                                    <w:szCs w:val="18"/>
                                  </w:rPr>
                                  <w:t> </w:t>
                                </w:r>
                                <w:r w:rsidR="005F1428">
                                  <w:rPr>
                                    <w:color w:val="7F7F7F" w:themeColor="text1" w:themeTint="80"/>
                                    <w:sz w:val="18"/>
                                    <w:szCs w:val="18"/>
                                  </w:rPr>
                                  <w:t>|</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4C5017E" id="Текстове поле 128" o:spid="_x0000_s1027" type="#_x0000_t202" style="position:absolute;left:0;text-align:left;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77C33258" w14:textId="2AF1A742" w:rsidR="005F1428" w:rsidRDefault="00000000" w:rsidP="005F1428">
                          <w:pPr>
                            <w:pStyle w:val="af9"/>
                            <w:jc w:val="center"/>
                            <w:rPr>
                              <w:color w:val="7F7F7F" w:themeColor="text1" w:themeTint="80"/>
                              <w:sz w:val="18"/>
                              <w:szCs w:val="18"/>
                            </w:rPr>
                          </w:pPr>
                          <w:sdt>
                            <w:sdtPr>
                              <w:rPr>
                                <w:rStyle w:val="10"/>
                                <w:rFonts w:ascii="Times New Roman" w:hAnsi="Times New Roman" w:cs="Times New Roman"/>
                                <w:b/>
                                <w:bCs/>
                                <w:smallCaps/>
                                <w:color w:val="5A5A5A" w:themeColor="text1" w:themeTint="A5"/>
                                <w:sz w:val="24"/>
                                <w:szCs w:val="24"/>
                              </w:rPr>
                              <w:alias w:val="Компанія"/>
                              <w:tag w:val=""/>
                              <w:id w:val="-1880927279"/>
                              <w:dataBinding w:prefixMappings="xmlns:ns0='http://schemas.openxmlformats.org/officeDocument/2006/extended-properties' " w:xpath="/ns0:Properties[1]/ns0:Company[1]" w:storeItemID="{6668398D-A668-4E3E-A5EB-62B293D839F1}"/>
                              <w:text/>
                            </w:sdtPr>
                            <w:sdtContent>
                              <w:r w:rsidR="005F1428" w:rsidRPr="005F1428">
                                <w:rPr>
                                  <w:rStyle w:val="10"/>
                                  <w:rFonts w:ascii="Times New Roman" w:hAnsi="Times New Roman" w:cs="Times New Roman"/>
                                  <w:b/>
                                  <w:bCs/>
                                  <w:smallCaps/>
                                  <w:color w:val="5A5A5A" w:themeColor="text1" w:themeTint="A5"/>
                                  <w:sz w:val="24"/>
                                  <w:szCs w:val="24"/>
                                </w:rPr>
                                <w:t>КИЇВ</w:t>
                              </w:r>
                            </w:sdtContent>
                          </w:sdt>
                          <w:r w:rsidR="005F1428">
                            <w:rPr>
                              <w:caps/>
                              <w:color w:val="7F7F7F" w:themeColor="text1" w:themeTint="80"/>
                              <w:sz w:val="18"/>
                              <w:szCs w:val="18"/>
                            </w:rPr>
                            <w:t> </w:t>
                          </w:r>
                          <w:r w:rsidR="005F1428">
                            <w:rPr>
                              <w:color w:val="7F7F7F" w:themeColor="text1" w:themeTint="80"/>
                              <w:sz w:val="18"/>
                              <w:szCs w:val="18"/>
                            </w:rPr>
                            <w:t>|</w:t>
                          </w:r>
                        </w:p>
                      </w:txbxContent>
                    </v:textbox>
                    <w10:wrap type="square" anchorx="page" anchory="margin"/>
                  </v:shape>
                </w:pict>
              </mc:Fallback>
            </mc:AlternateContent>
          </w:r>
          <w:r>
            <w:rPr>
              <w:rFonts w:ascii="Times New Roman" w:hAnsi="Times New Roman" w:cs="Times New Roman"/>
              <w:kern w:val="0"/>
              <w:sz w:val="24"/>
              <w:szCs w:val="24"/>
            </w:rPr>
            <w:br w:type="page"/>
          </w:r>
        </w:p>
      </w:sdtContent>
    </w:sdt>
    <w:p w14:paraId="2209BD1E" w14:textId="2F00FB29" w:rsidR="007D4583" w:rsidRDefault="00B81118"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lastRenderedPageBreak/>
        <w:t>Проєкт Методичних рекомендацій щодо реалізації узгоджених спільних освітніх програм та видачі спільних (подвійних) дипломів розроблено</w:t>
      </w:r>
      <w:r w:rsidR="006A36AB" w:rsidRPr="00F43628">
        <w:rPr>
          <w:rFonts w:ascii="Times New Roman" w:hAnsi="Times New Roman" w:cs="Times New Roman"/>
          <w:kern w:val="0"/>
          <w:sz w:val="24"/>
          <w:szCs w:val="24"/>
        </w:rPr>
        <w:t xml:space="preserve"> представниками Міністерства освіти і науки України у співпраці з Національними експертами з реформування вищої освіти Програми ЄС Еразмус+ і Національним Еразмус+ офісом в Україні, орієнтуючись на результати </w:t>
      </w:r>
      <w:r w:rsidR="00F60E70">
        <w:rPr>
          <w:rFonts w:ascii="Times New Roman" w:hAnsi="Times New Roman" w:cs="Times New Roman"/>
          <w:kern w:val="0"/>
          <w:sz w:val="24"/>
          <w:szCs w:val="24"/>
        </w:rPr>
        <w:t xml:space="preserve">міжнародного </w:t>
      </w:r>
      <w:r w:rsidR="006A36AB" w:rsidRPr="00F43628">
        <w:rPr>
          <w:rFonts w:ascii="Times New Roman" w:hAnsi="Times New Roman" w:cs="Times New Roman"/>
          <w:kern w:val="0"/>
          <w:sz w:val="24"/>
          <w:szCs w:val="24"/>
        </w:rPr>
        <w:t xml:space="preserve">проєкту </w:t>
      </w:r>
      <w:r w:rsidR="00F60E70">
        <w:rPr>
          <w:rFonts w:ascii="Times New Roman" w:hAnsi="Times New Roman" w:cs="Times New Roman"/>
          <w:kern w:val="0"/>
          <w:sz w:val="24"/>
          <w:szCs w:val="24"/>
        </w:rPr>
        <w:t xml:space="preserve">Програми ЄС </w:t>
      </w:r>
      <w:r w:rsidR="00F60E70" w:rsidRPr="00F43628">
        <w:rPr>
          <w:rFonts w:ascii="Times New Roman" w:hAnsi="Times New Roman" w:cs="Times New Roman"/>
          <w:kern w:val="0"/>
          <w:sz w:val="24"/>
          <w:szCs w:val="24"/>
        </w:rPr>
        <w:t>Еразмус+</w:t>
      </w:r>
      <w:r w:rsidR="00F60E70">
        <w:rPr>
          <w:rFonts w:ascii="Times New Roman" w:hAnsi="Times New Roman" w:cs="Times New Roman"/>
          <w:kern w:val="0"/>
          <w:sz w:val="24"/>
          <w:szCs w:val="24"/>
        </w:rPr>
        <w:t xml:space="preserve"> </w:t>
      </w:r>
      <w:r w:rsidR="006A36AB" w:rsidRPr="00F43628">
        <w:rPr>
          <w:rFonts w:ascii="Times New Roman" w:hAnsi="Times New Roman" w:cs="Times New Roman"/>
          <w:kern w:val="0"/>
          <w:sz w:val="24"/>
          <w:szCs w:val="24"/>
        </w:rPr>
        <w:t>FaBoTo+, який координува</w:t>
      </w:r>
      <w:r w:rsidR="00F60E70">
        <w:rPr>
          <w:rFonts w:ascii="Times New Roman" w:hAnsi="Times New Roman" w:cs="Times New Roman"/>
          <w:kern w:val="0"/>
          <w:sz w:val="24"/>
          <w:szCs w:val="24"/>
        </w:rPr>
        <w:t>вся</w:t>
      </w:r>
      <w:r w:rsidR="006A36AB" w:rsidRPr="00F43628">
        <w:rPr>
          <w:rFonts w:ascii="Times New Roman" w:hAnsi="Times New Roman" w:cs="Times New Roman"/>
          <w:kern w:val="0"/>
          <w:sz w:val="24"/>
          <w:szCs w:val="24"/>
        </w:rPr>
        <w:t xml:space="preserve"> Національн</w:t>
      </w:r>
      <w:r w:rsidR="00F60E70">
        <w:rPr>
          <w:rFonts w:ascii="Times New Roman" w:hAnsi="Times New Roman" w:cs="Times New Roman"/>
          <w:kern w:val="0"/>
          <w:sz w:val="24"/>
          <w:szCs w:val="24"/>
        </w:rPr>
        <w:t>им</w:t>
      </w:r>
      <w:r w:rsidR="006A36AB" w:rsidRPr="00F43628">
        <w:rPr>
          <w:rFonts w:ascii="Times New Roman" w:hAnsi="Times New Roman" w:cs="Times New Roman"/>
          <w:kern w:val="0"/>
          <w:sz w:val="24"/>
          <w:szCs w:val="24"/>
        </w:rPr>
        <w:t xml:space="preserve"> агентство</w:t>
      </w:r>
      <w:r w:rsidR="00F60E70">
        <w:rPr>
          <w:rFonts w:ascii="Times New Roman" w:hAnsi="Times New Roman" w:cs="Times New Roman"/>
          <w:kern w:val="0"/>
          <w:sz w:val="24"/>
          <w:szCs w:val="24"/>
        </w:rPr>
        <w:t>м</w:t>
      </w:r>
      <w:r w:rsidR="006A36AB" w:rsidRPr="00F43628">
        <w:rPr>
          <w:rFonts w:ascii="Times New Roman" w:hAnsi="Times New Roman" w:cs="Times New Roman"/>
          <w:kern w:val="0"/>
          <w:sz w:val="24"/>
          <w:szCs w:val="24"/>
        </w:rPr>
        <w:t xml:space="preserve"> </w:t>
      </w:r>
      <w:r w:rsidR="00F60E70" w:rsidRPr="00F43628">
        <w:rPr>
          <w:rFonts w:ascii="Times New Roman" w:hAnsi="Times New Roman" w:cs="Times New Roman"/>
          <w:kern w:val="0"/>
          <w:sz w:val="24"/>
          <w:szCs w:val="24"/>
        </w:rPr>
        <w:t>Еразмус</w:t>
      </w:r>
      <w:r w:rsidR="006A36AB" w:rsidRPr="00F43628">
        <w:rPr>
          <w:rFonts w:ascii="Times New Roman" w:hAnsi="Times New Roman" w:cs="Times New Roman"/>
          <w:kern w:val="0"/>
          <w:sz w:val="24"/>
          <w:szCs w:val="24"/>
        </w:rPr>
        <w:t xml:space="preserve">+ Нідерландів </w:t>
      </w:r>
      <w:r w:rsidR="008F25F8">
        <w:rPr>
          <w:rFonts w:ascii="Times New Roman" w:hAnsi="Times New Roman" w:cs="Times New Roman"/>
          <w:kern w:val="0"/>
          <w:sz w:val="24"/>
          <w:szCs w:val="24"/>
        </w:rPr>
        <w:t>(</w:t>
      </w:r>
      <w:hyperlink r:id="rId8" w:history="1">
        <w:r w:rsidRPr="00F43628">
          <w:rPr>
            <w:rStyle w:val="a8"/>
            <w:rFonts w:ascii="Times New Roman" w:hAnsi="Times New Roman" w:cs="Times New Roman"/>
            <w:kern w:val="0"/>
            <w:sz w:val="24"/>
            <w:szCs w:val="24"/>
          </w:rPr>
          <w:t>Joint Programmes from A to Z</w:t>
        </w:r>
        <w:r w:rsidR="006A36AB" w:rsidRPr="00F43628">
          <w:rPr>
            <w:rStyle w:val="a8"/>
            <w:rFonts w:ascii="Times New Roman" w:hAnsi="Times New Roman" w:cs="Times New Roman"/>
            <w:kern w:val="0"/>
            <w:sz w:val="24"/>
            <w:szCs w:val="24"/>
          </w:rPr>
          <w:t>. A reference guide for practitioners</w:t>
        </w:r>
      </w:hyperlink>
      <w:r w:rsidR="008F25F8">
        <w:rPr>
          <w:rFonts w:ascii="Times New Roman" w:hAnsi="Times New Roman" w:cs="Times New Roman"/>
          <w:kern w:val="0"/>
          <w:sz w:val="24"/>
          <w:szCs w:val="24"/>
        </w:rPr>
        <w:t>)</w:t>
      </w:r>
      <w:r w:rsidR="00BD12AE">
        <w:rPr>
          <w:rFonts w:ascii="Times New Roman" w:hAnsi="Times New Roman" w:cs="Times New Roman"/>
          <w:kern w:val="0"/>
          <w:sz w:val="24"/>
          <w:szCs w:val="24"/>
        </w:rPr>
        <w:t>, що застосовуються в ЄПВО.</w:t>
      </w:r>
    </w:p>
    <w:p w14:paraId="163050CA" w14:textId="77777777" w:rsidR="00F40B26" w:rsidRDefault="00F40B26" w:rsidP="0094404A">
      <w:pPr>
        <w:autoSpaceDE w:val="0"/>
        <w:autoSpaceDN w:val="0"/>
        <w:adjustRightInd w:val="0"/>
        <w:spacing w:after="120" w:line="240" w:lineRule="auto"/>
        <w:jc w:val="both"/>
        <w:rPr>
          <w:rFonts w:ascii="Times New Roman" w:hAnsi="Times New Roman" w:cs="Times New Roman"/>
          <w:kern w:val="0"/>
          <w:sz w:val="24"/>
          <w:szCs w:val="24"/>
        </w:rPr>
      </w:pPr>
    </w:p>
    <w:p w14:paraId="2B4D4D97" w14:textId="77777777" w:rsidR="00390EC3" w:rsidRPr="00F40B26" w:rsidRDefault="00587296" w:rsidP="0094404A">
      <w:pPr>
        <w:pStyle w:val="af0"/>
        <w:spacing w:line="240" w:lineRule="auto"/>
        <w:rPr>
          <w:rFonts w:ascii="Times New Roman" w:hAnsi="Times New Roman" w:cs="Times New Roman"/>
          <w:color w:val="auto"/>
          <w:sz w:val="24"/>
          <w:szCs w:val="24"/>
        </w:rPr>
      </w:pPr>
      <w:r w:rsidRPr="00F40B26">
        <w:rPr>
          <w:rFonts w:ascii="Times New Roman" w:hAnsi="Times New Roman" w:cs="Times New Roman"/>
          <w:color w:val="auto"/>
          <w:sz w:val="24"/>
          <w:szCs w:val="24"/>
        </w:rPr>
        <w:br w:type="page"/>
      </w:r>
    </w:p>
    <w:p w14:paraId="2E9CC27C" w14:textId="14BA3922" w:rsidR="00133D0F" w:rsidRDefault="00133D0F" w:rsidP="0094404A">
      <w:pPr>
        <w:pStyle w:val="1"/>
        <w:spacing w:line="240" w:lineRule="auto"/>
        <w:jc w:val="center"/>
        <w:rPr>
          <w:rFonts w:ascii="Times New Roman" w:hAnsi="Times New Roman" w:cs="Times New Roman"/>
          <w:b/>
          <w:bCs/>
          <w:sz w:val="24"/>
          <w:szCs w:val="24"/>
        </w:rPr>
      </w:pPr>
      <w:bookmarkStart w:id="0" w:name="_Toc188337384"/>
      <w:r w:rsidRPr="00A552DD">
        <w:rPr>
          <w:rFonts w:ascii="Times New Roman" w:hAnsi="Times New Roman" w:cs="Times New Roman"/>
          <w:b/>
          <w:bCs/>
          <w:sz w:val="24"/>
          <w:szCs w:val="24"/>
        </w:rPr>
        <w:lastRenderedPageBreak/>
        <w:t>ЗМІСТ</w:t>
      </w:r>
    </w:p>
    <w:p w14:paraId="556B77CA" w14:textId="77777777" w:rsidR="007C0114" w:rsidRPr="0062768A" w:rsidRDefault="007C0114" w:rsidP="0094404A">
      <w:pPr>
        <w:spacing w:line="240" w:lineRule="auto"/>
        <w:rPr>
          <w:rFonts w:ascii="Times New Roman" w:hAnsi="Times New Roman" w:cs="Times New Roman"/>
          <w:sz w:val="24"/>
          <w:szCs w:val="24"/>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709"/>
      </w:tblGrid>
      <w:tr w:rsidR="0062768A" w:rsidRPr="0062768A" w14:paraId="2007483C" w14:textId="77777777" w:rsidTr="009C3665">
        <w:tc>
          <w:tcPr>
            <w:tcW w:w="9067" w:type="dxa"/>
          </w:tcPr>
          <w:p w14:paraId="24FD2F7B" w14:textId="7371E028"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ВСТУП</w:t>
            </w:r>
          </w:p>
        </w:tc>
        <w:tc>
          <w:tcPr>
            <w:tcW w:w="709" w:type="dxa"/>
          </w:tcPr>
          <w:p w14:paraId="20135096" w14:textId="7208A4BC" w:rsidR="0062768A" w:rsidRPr="0062768A" w:rsidRDefault="0062768A" w:rsidP="00FC7BC6">
            <w:pPr>
              <w:spacing w:before="120" w:after="120"/>
              <w:jc w:val="right"/>
              <w:rPr>
                <w:rFonts w:ascii="Times New Roman" w:hAnsi="Times New Roman" w:cs="Times New Roman"/>
                <w:sz w:val="24"/>
                <w:szCs w:val="24"/>
              </w:rPr>
            </w:pPr>
            <w:r w:rsidRPr="0062768A">
              <w:rPr>
                <w:rFonts w:ascii="Times New Roman" w:hAnsi="Times New Roman" w:cs="Times New Roman"/>
                <w:sz w:val="24"/>
                <w:szCs w:val="24"/>
              </w:rPr>
              <w:t>3</w:t>
            </w:r>
          </w:p>
        </w:tc>
      </w:tr>
      <w:tr w:rsidR="0062768A" w:rsidRPr="0062768A" w14:paraId="15FA1D3A" w14:textId="77777777" w:rsidTr="009C3665">
        <w:tc>
          <w:tcPr>
            <w:tcW w:w="9067" w:type="dxa"/>
          </w:tcPr>
          <w:p w14:paraId="526AF30C" w14:textId="6CD79108"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ВИЗНАЧЕННЯ</w:t>
            </w:r>
          </w:p>
        </w:tc>
        <w:tc>
          <w:tcPr>
            <w:tcW w:w="709" w:type="dxa"/>
          </w:tcPr>
          <w:p w14:paraId="6BFAF79C" w14:textId="1BB1B66E" w:rsidR="0062768A" w:rsidRPr="0062768A" w:rsidRDefault="00E07B86"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4</w:t>
            </w:r>
          </w:p>
        </w:tc>
      </w:tr>
      <w:tr w:rsidR="0062768A" w:rsidRPr="0062768A" w14:paraId="4D1AD484" w14:textId="77777777" w:rsidTr="009C3665">
        <w:tc>
          <w:tcPr>
            <w:tcW w:w="9067" w:type="dxa"/>
          </w:tcPr>
          <w:p w14:paraId="373FEFCB" w14:textId="651E2C89"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ЕТАП ОРІЄНТАЦІЇ</w:t>
            </w:r>
          </w:p>
        </w:tc>
        <w:tc>
          <w:tcPr>
            <w:tcW w:w="709" w:type="dxa"/>
          </w:tcPr>
          <w:p w14:paraId="2ADF21A7" w14:textId="519F7356" w:rsidR="0062768A" w:rsidRPr="0062768A" w:rsidRDefault="008D1433"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5</w:t>
            </w:r>
          </w:p>
        </w:tc>
      </w:tr>
      <w:tr w:rsidR="0062768A" w:rsidRPr="0062768A" w14:paraId="023F1748" w14:textId="77777777" w:rsidTr="009C3665">
        <w:tc>
          <w:tcPr>
            <w:tcW w:w="9067" w:type="dxa"/>
          </w:tcPr>
          <w:p w14:paraId="683D7F8D" w14:textId="05D64900"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ЗАКОНОДАВЧА БАЗА</w:t>
            </w:r>
          </w:p>
        </w:tc>
        <w:tc>
          <w:tcPr>
            <w:tcW w:w="709" w:type="dxa"/>
          </w:tcPr>
          <w:p w14:paraId="1A5321A9" w14:textId="46C6E611" w:rsidR="0062768A" w:rsidRPr="0062768A" w:rsidRDefault="0006500D"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7</w:t>
            </w:r>
          </w:p>
        </w:tc>
      </w:tr>
      <w:tr w:rsidR="0062768A" w:rsidRPr="0062768A" w14:paraId="1770C27A" w14:textId="77777777" w:rsidTr="009C3665">
        <w:tc>
          <w:tcPr>
            <w:tcW w:w="9067" w:type="dxa"/>
          </w:tcPr>
          <w:p w14:paraId="496CD230" w14:textId="51A9811A"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 xml:space="preserve">СПІЛЬНЕ РОЗРОБЛЕННЯ </w:t>
            </w:r>
            <w:r w:rsidR="009F3313">
              <w:rPr>
                <w:rFonts w:ascii="Times New Roman" w:hAnsi="Times New Roman" w:cs="Times New Roman"/>
                <w:sz w:val="24"/>
                <w:szCs w:val="24"/>
              </w:rPr>
              <w:t xml:space="preserve"> ТА УЗГОДЖЕННЯ </w:t>
            </w:r>
            <w:r w:rsidRPr="0062768A">
              <w:rPr>
                <w:rFonts w:ascii="Times New Roman" w:hAnsi="Times New Roman" w:cs="Times New Roman"/>
                <w:sz w:val="24"/>
                <w:szCs w:val="24"/>
              </w:rPr>
              <w:t>ОСВІТНІХ ПРОГРАМ</w:t>
            </w:r>
          </w:p>
        </w:tc>
        <w:tc>
          <w:tcPr>
            <w:tcW w:w="709" w:type="dxa"/>
          </w:tcPr>
          <w:p w14:paraId="6EC85BA5" w14:textId="669025C5"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8</w:t>
            </w:r>
          </w:p>
        </w:tc>
      </w:tr>
      <w:tr w:rsidR="0062768A" w:rsidRPr="0062768A" w14:paraId="3992A4F5" w14:textId="77777777" w:rsidTr="009C3665">
        <w:tc>
          <w:tcPr>
            <w:tcW w:w="9067" w:type="dxa"/>
          </w:tcPr>
          <w:p w14:paraId="124A40F4" w14:textId="7D3E30FC"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МАРКЕТИНГ</w:t>
            </w:r>
          </w:p>
        </w:tc>
        <w:tc>
          <w:tcPr>
            <w:tcW w:w="709" w:type="dxa"/>
          </w:tcPr>
          <w:p w14:paraId="45AA83E4" w14:textId="56A4F791"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11</w:t>
            </w:r>
          </w:p>
        </w:tc>
      </w:tr>
      <w:tr w:rsidR="00B433C3" w:rsidRPr="0062768A" w14:paraId="36A76501" w14:textId="77777777" w:rsidTr="009C3665">
        <w:tc>
          <w:tcPr>
            <w:tcW w:w="9067" w:type="dxa"/>
          </w:tcPr>
          <w:p w14:paraId="63BFDAD4" w14:textId="384B9C0A" w:rsidR="00B433C3" w:rsidRPr="0062768A" w:rsidRDefault="00B433C3" w:rsidP="0062768A">
            <w:pPr>
              <w:pStyle w:val="af8"/>
              <w:numPr>
                <w:ilvl w:val="0"/>
                <w:numId w:val="117"/>
              </w:numPr>
              <w:spacing w:before="120" w:after="120"/>
              <w:ind w:left="448" w:hanging="357"/>
              <w:contextualSpacing w:val="0"/>
              <w:rPr>
                <w:rFonts w:ascii="Times New Roman" w:hAnsi="Times New Roman" w:cs="Times New Roman"/>
                <w:sz w:val="24"/>
                <w:szCs w:val="24"/>
              </w:rPr>
            </w:pPr>
            <w:r>
              <w:rPr>
                <w:rFonts w:ascii="Times New Roman" w:hAnsi="Times New Roman" w:cs="Times New Roman"/>
                <w:sz w:val="24"/>
                <w:szCs w:val="24"/>
              </w:rPr>
              <w:t>ВСТУП І ЗАРАХУВАННЯ</w:t>
            </w:r>
          </w:p>
        </w:tc>
        <w:tc>
          <w:tcPr>
            <w:tcW w:w="709" w:type="dxa"/>
          </w:tcPr>
          <w:p w14:paraId="523AD919" w14:textId="331651CD" w:rsidR="00B433C3"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12</w:t>
            </w:r>
          </w:p>
        </w:tc>
      </w:tr>
      <w:tr w:rsidR="0062768A" w:rsidRPr="0062768A" w14:paraId="058355C3" w14:textId="77777777" w:rsidTr="009C3665">
        <w:tc>
          <w:tcPr>
            <w:tcW w:w="9067" w:type="dxa"/>
          </w:tcPr>
          <w:p w14:paraId="7FA3BFB4" w14:textId="4F2A44CA"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 xml:space="preserve">РОБОТА </w:t>
            </w:r>
            <w:r w:rsidR="0068734B">
              <w:rPr>
                <w:rFonts w:ascii="Times New Roman" w:hAnsi="Times New Roman" w:cs="Times New Roman"/>
                <w:sz w:val="24"/>
                <w:szCs w:val="24"/>
              </w:rPr>
              <w:t>І</w:t>
            </w:r>
            <w:r w:rsidRPr="0062768A">
              <w:rPr>
                <w:rFonts w:ascii="Times New Roman" w:hAnsi="Times New Roman" w:cs="Times New Roman"/>
                <w:sz w:val="24"/>
                <w:szCs w:val="24"/>
              </w:rPr>
              <w:t xml:space="preserve">З СТУДЕНТАМИ </w:t>
            </w:r>
          </w:p>
        </w:tc>
        <w:tc>
          <w:tcPr>
            <w:tcW w:w="709" w:type="dxa"/>
          </w:tcPr>
          <w:p w14:paraId="47FE655C" w14:textId="72CF6111"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14</w:t>
            </w:r>
          </w:p>
        </w:tc>
      </w:tr>
      <w:tr w:rsidR="0062768A" w:rsidRPr="0062768A" w14:paraId="003848B2" w14:textId="77777777" w:rsidTr="009C3665">
        <w:tc>
          <w:tcPr>
            <w:tcW w:w="9067" w:type="dxa"/>
          </w:tcPr>
          <w:p w14:paraId="12C8C642" w14:textId="3FF21A4B"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МОДЕЛ</w:t>
            </w:r>
            <w:r w:rsidR="008E71B4">
              <w:rPr>
                <w:rFonts w:ascii="Times New Roman" w:hAnsi="Times New Roman" w:cs="Times New Roman"/>
                <w:sz w:val="24"/>
                <w:szCs w:val="24"/>
              </w:rPr>
              <w:t>І</w:t>
            </w:r>
            <w:r w:rsidRPr="0062768A">
              <w:rPr>
                <w:rFonts w:ascii="Times New Roman" w:hAnsi="Times New Roman" w:cs="Times New Roman"/>
                <w:sz w:val="24"/>
                <w:szCs w:val="24"/>
              </w:rPr>
              <w:t xml:space="preserve"> УПРАВЛІННЯ</w:t>
            </w:r>
          </w:p>
        </w:tc>
        <w:tc>
          <w:tcPr>
            <w:tcW w:w="709" w:type="dxa"/>
          </w:tcPr>
          <w:p w14:paraId="3B6A8334" w14:textId="58FA0E06"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18</w:t>
            </w:r>
          </w:p>
        </w:tc>
      </w:tr>
      <w:tr w:rsidR="0062768A" w:rsidRPr="0062768A" w14:paraId="228619F9" w14:textId="77777777" w:rsidTr="009C3665">
        <w:tc>
          <w:tcPr>
            <w:tcW w:w="9067" w:type="dxa"/>
          </w:tcPr>
          <w:p w14:paraId="3108ECB8" w14:textId="126F669D"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ФІНАНСОВИЙ МЕНЕДЖМЕНТ</w:t>
            </w:r>
          </w:p>
        </w:tc>
        <w:tc>
          <w:tcPr>
            <w:tcW w:w="709" w:type="dxa"/>
          </w:tcPr>
          <w:p w14:paraId="3E6E24C9" w14:textId="6695D433"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19</w:t>
            </w:r>
          </w:p>
        </w:tc>
      </w:tr>
      <w:tr w:rsidR="0062768A" w:rsidRPr="0062768A" w14:paraId="7D2E14A9" w14:textId="77777777" w:rsidTr="009C3665">
        <w:tc>
          <w:tcPr>
            <w:tcW w:w="9067" w:type="dxa"/>
          </w:tcPr>
          <w:p w14:paraId="7175FB4B" w14:textId="56C05D0A"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УГОДА ПРО СПІВПРАЦЮ</w:t>
            </w:r>
          </w:p>
        </w:tc>
        <w:tc>
          <w:tcPr>
            <w:tcW w:w="709" w:type="dxa"/>
          </w:tcPr>
          <w:p w14:paraId="5636537F" w14:textId="53426C7B"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21</w:t>
            </w:r>
          </w:p>
        </w:tc>
      </w:tr>
      <w:tr w:rsidR="0062768A" w:rsidRPr="0062768A" w14:paraId="5C57294D" w14:textId="77777777" w:rsidTr="009C3665">
        <w:tc>
          <w:tcPr>
            <w:tcW w:w="9067" w:type="dxa"/>
          </w:tcPr>
          <w:p w14:paraId="67562F61" w14:textId="2CBE37D4"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ЗАБЕЗПЕЧЕННЯ ЯКОСТІ ТА АКРЕДИТАЦІЯ</w:t>
            </w:r>
          </w:p>
        </w:tc>
        <w:tc>
          <w:tcPr>
            <w:tcW w:w="709" w:type="dxa"/>
          </w:tcPr>
          <w:p w14:paraId="70648BE1" w14:textId="1894E8E5"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22</w:t>
            </w:r>
          </w:p>
        </w:tc>
      </w:tr>
      <w:tr w:rsidR="0062768A" w:rsidRPr="0062768A" w14:paraId="3313A241" w14:textId="77777777" w:rsidTr="009C3665">
        <w:tc>
          <w:tcPr>
            <w:tcW w:w="9067" w:type="dxa"/>
          </w:tcPr>
          <w:p w14:paraId="11D1C823" w14:textId="187088C6"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ВИЗНАННЯ</w:t>
            </w:r>
          </w:p>
        </w:tc>
        <w:tc>
          <w:tcPr>
            <w:tcW w:w="709" w:type="dxa"/>
          </w:tcPr>
          <w:p w14:paraId="37F7A8CD" w14:textId="4CD0CD97"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24</w:t>
            </w:r>
          </w:p>
        </w:tc>
      </w:tr>
      <w:tr w:rsidR="0062768A" w:rsidRPr="0062768A" w14:paraId="0FEDF110" w14:textId="77777777" w:rsidTr="009C3665">
        <w:tc>
          <w:tcPr>
            <w:tcW w:w="9067" w:type="dxa"/>
          </w:tcPr>
          <w:p w14:paraId="515A77EB" w14:textId="22D0FDB0" w:rsidR="0062768A" w:rsidRPr="0062768A" w:rsidRDefault="0062768A" w:rsidP="0062768A">
            <w:pPr>
              <w:pStyle w:val="af8"/>
              <w:numPr>
                <w:ilvl w:val="0"/>
                <w:numId w:val="117"/>
              </w:numPr>
              <w:spacing w:before="120" w:after="120"/>
              <w:ind w:left="448" w:hanging="357"/>
              <w:contextualSpacing w:val="0"/>
              <w:rPr>
                <w:rFonts w:ascii="Times New Roman" w:hAnsi="Times New Roman" w:cs="Times New Roman"/>
                <w:sz w:val="24"/>
                <w:szCs w:val="24"/>
              </w:rPr>
            </w:pPr>
            <w:r w:rsidRPr="0062768A">
              <w:rPr>
                <w:rFonts w:ascii="Times New Roman" w:hAnsi="Times New Roman" w:cs="Times New Roman"/>
                <w:sz w:val="24"/>
                <w:szCs w:val="24"/>
              </w:rPr>
              <w:t xml:space="preserve">СПІЛЬНІ </w:t>
            </w:r>
            <w:r w:rsidRPr="00832171">
              <w:rPr>
                <w:rFonts w:ascii="Times New Roman" w:hAnsi="Times New Roman" w:cs="Times New Roman"/>
                <w:sz w:val="24"/>
                <w:szCs w:val="24"/>
              </w:rPr>
              <w:t>ДОКТОРСЬКІ</w:t>
            </w:r>
            <w:r w:rsidRPr="0062768A">
              <w:rPr>
                <w:rFonts w:ascii="Times New Roman" w:hAnsi="Times New Roman" w:cs="Times New Roman"/>
                <w:sz w:val="24"/>
                <w:szCs w:val="24"/>
              </w:rPr>
              <w:t xml:space="preserve"> ПРОГРАМИ</w:t>
            </w:r>
            <w:r w:rsidR="005D7F23">
              <w:rPr>
                <w:rFonts w:ascii="Times New Roman" w:hAnsi="Times New Roman" w:cs="Times New Roman"/>
                <w:sz w:val="24"/>
                <w:szCs w:val="24"/>
              </w:rPr>
              <w:t xml:space="preserve"> (ДОКТОР ФІЛОСОФІЇ)</w:t>
            </w:r>
          </w:p>
        </w:tc>
        <w:tc>
          <w:tcPr>
            <w:tcW w:w="709" w:type="dxa"/>
          </w:tcPr>
          <w:p w14:paraId="16B74565" w14:textId="26D2556E" w:rsidR="0062768A" w:rsidRPr="0062768A" w:rsidRDefault="0041572B" w:rsidP="00FC7BC6">
            <w:pPr>
              <w:spacing w:before="120" w:after="120"/>
              <w:jc w:val="right"/>
              <w:rPr>
                <w:rFonts w:ascii="Times New Roman" w:hAnsi="Times New Roman" w:cs="Times New Roman"/>
                <w:sz w:val="24"/>
                <w:szCs w:val="24"/>
              </w:rPr>
            </w:pPr>
            <w:r>
              <w:rPr>
                <w:rFonts w:ascii="Times New Roman" w:hAnsi="Times New Roman" w:cs="Times New Roman"/>
                <w:sz w:val="24"/>
                <w:szCs w:val="24"/>
              </w:rPr>
              <w:t>25</w:t>
            </w:r>
          </w:p>
        </w:tc>
      </w:tr>
    </w:tbl>
    <w:p w14:paraId="10273A8A" w14:textId="77777777" w:rsidR="007C0114" w:rsidRPr="0062768A" w:rsidRDefault="007C0114" w:rsidP="0094404A">
      <w:pPr>
        <w:spacing w:line="240" w:lineRule="auto"/>
        <w:rPr>
          <w:rFonts w:ascii="Times New Roman" w:hAnsi="Times New Roman" w:cs="Times New Roman"/>
          <w:sz w:val="24"/>
          <w:szCs w:val="24"/>
        </w:rPr>
      </w:pPr>
    </w:p>
    <w:p w14:paraId="1F4F75B3" w14:textId="46630628" w:rsidR="00133D0F" w:rsidRPr="0062768A" w:rsidRDefault="00133D0F" w:rsidP="0094404A">
      <w:pPr>
        <w:spacing w:line="240" w:lineRule="auto"/>
        <w:rPr>
          <w:rFonts w:ascii="Times New Roman" w:hAnsi="Times New Roman" w:cs="Times New Roman"/>
          <w:sz w:val="24"/>
          <w:szCs w:val="24"/>
        </w:rPr>
      </w:pPr>
      <w:r w:rsidRPr="0062768A">
        <w:rPr>
          <w:rFonts w:ascii="Times New Roman" w:hAnsi="Times New Roman" w:cs="Times New Roman"/>
          <w:sz w:val="24"/>
          <w:szCs w:val="24"/>
        </w:rPr>
        <w:br w:type="page"/>
      </w:r>
    </w:p>
    <w:p w14:paraId="54A4C12D" w14:textId="7C92177C" w:rsidR="007D4583" w:rsidRPr="0024782F" w:rsidRDefault="0024782F" w:rsidP="00AC3922">
      <w:pPr>
        <w:pStyle w:val="1"/>
        <w:spacing w:before="100" w:beforeAutospacing="1" w:after="100" w:afterAutospacing="1" w:line="240" w:lineRule="auto"/>
        <w:rPr>
          <w:rFonts w:ascii="Times New Roman" w:hAnsi="Times New Roman" w:cs="Times New Roman"/>
          <w:b/>
          <w:bCs/>
          <w:sz w:val="24"/>
          <w:szCs w:val="24"/>
        </w:rPr>
      </w:pPr>
      <w:r w:rsidRPr="0024782F">
        <w:rPr>
          <w:rFonts w:ascii="Times New Roman" w:hAnsi="Times New Roman" w:cs="Times New Roman"/>
          <w:b/>
          <w:bCs/>
          <w:sz w:val="24"/>
          <w:szCs w:val="24"/>
        </w:rPr>
        <w:lastRenderedPageBreak/>
        <w:t xml:space="preserve">1. </w:t>
      </w:r>
      <w:r w:rsidRPr="00A552DD">
        <w:rPr>
          <w:rFonts w:ascii="Times New Roman" w:hAnsi="Times New Roman" w:cs="Times New Roman"/>
          <w:b/>
          <w:bCs/>
          <w:sz w:val="24"/>
          <w:szCs w:val="24"/>
        </w:rPr>
        <w:t>ВСТУП</w:t>
      </w:r>
      <w:bookmarkEnd w:id="0"/>
    </w:p>
    <w:p w14:paraId="66BBC437" w14:textId="712A7441" w:rsidR="007D4583" w:rsidRPr="00A552DD" w:rsidRDefault="005A1E41" w:rsidP="00AC3922">
      <w:pPr>
        <w:pStyle w:val="2"/>
        <w:spacing w:before="100" w:beforeAutospacing="1" w:after="100" w:afterAutospacing="1" w:line="240" w:lineRule="auto"/>
        <w:rPr>
          <w:rFonts w:ascii="Times New Roman" w:hAnsi="Times New Roman" w:cs="Times New Roman"/>
          <w:b/>
          <w:bCs/>
          <w:sz w:val="24"/>
          <w:szCs w:val="24"/>
        </w:rPr>
      </w:pPr>
      <w:bookmarkStart w:id="1" w:name="_Toc188337385"/>
      <w:r w:rsidRPr="00A552DD">
        <w:rPr>
          <w:rFonts w:ascii="Times New Roman" w:hAnsi="Times New Roman" w:cs="Times New Roman"/>
          <w:b/>
          <w:bCs/>
          <w:sz w:val="24"/>
          <w:szCs w:val="24"/>
        </w:rPr>
        <w:t xml:space="preserve">1.1 Мета </w:t>
      </w:r>
      <w:bookmarkEnd w:id="1"/>
    </w:p>
    <w:p w14:paraId="77368935" w14:textId="4934E007" w:rsidR="007D4583" w:rsidRPr="00F43628"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Мета </w:t>
      </w:r>
      <w:r w:rsidR="00CD5C2A" w:rsidRPr="00F43628">
        <w:rPr>
          <w:rFonts w:ascii="Times New Roman" w:hAnsi="Times New Roman" w:cs="Times New Roman"/>
          <w:kern w:val="0"/>
          <w:sz w:val="24"/>
          <w:szCs w:val="24"/>
        </w:rPr>
        <w:t xml:space="preserve">Методичних рекомендацій – скерувати </w:t>
      </w:r>
      <w:r w:rsidR="002946FB" w:rsidRPr="00F43628">
        <w:rPr>
          <w:rFonts w:ascii="Times New Roman" w:hAnsi="Times New Roman" w:cs="Times New Roman"/>
          <w:kern w:val="0"/>
          <w:sz w:val="24"/>
          <w:szCs w:val="24"/>
        </w:rPr>
        <w:t>заклади вищої освіти</w:t>
      </w:r>
      <w:r w:rsidR="00CD5C2A" w:rsidRPr="00F43628">
        <w:rPr>
          <w:rFonts w:ascii="Times New Roman" w:hAnsi="Times New Roman" w:cs="Times New Roman"/>
          <w:kern w:val="0"/>
          <w:sz w:val="24"/>
          <w:szCs w:val="24"/>
        </w:rPr>
        <w:t xml:space="preserve"> щодо реалізації узгоджених спільних освітніх програм </w:t>
      </w:r>
      <w:r w:rsidR="002946FB" w:rsidRPr="00F43628">
        <w:rPr>
          <w:rFonts w:ascii="Times New Roman" w:hAnsi="Times New Roman" w:cs="Times New Roman"/>
          <w:kern w:val="0"/>
          <w:sz w:val="24"/>
          <w:szCs w:val="24"/>
        </w:rPr>
        <w:t>і</w:t>
      </w:r>
      <w:r w:rsidR="00CD5C2A" w:rsidRPr="00F43628">
        <w:rPr>
          <w:rFonts w:ascii="Times New Roman" w:hAnsi="Times New Roman" w:cs="Times New Roman"/>
          <w:kern w:val="0"/>
          <w:sz w:val="24"/>
          <w:szCs w:val="24"/>
        </w:rPr>
        <w:t xml:space="preserve"> видачі спільних (подвійних) дипломів</w:t>
      </w:r>
      <w:r w:rsidR="002946FB" w:rsidRPr="00F43628">
        <w:rPr>
          <w:rFonts w:ascii="Times New Roman" w:hAnsi="Times New Roman" w:cs="Times New Roman"/>
          <w:kern w:val="0"/>
          <w:sz w:val="24"/>
          <w:szCs w:val="24"/>
        </w:rPr>
        <w:t xml:space="preserve"> </w:t>
      </w:r>
      <w:r w:rsidR="006C5690" w:rsidRPr="00F43628">
        <w:rPr>
          <w:rFonts w:ascii="Times New Roman" w:hAnsi="Times New Roman" w:cs="Times New Roman"/>
          <w:kern w:val="0"/>
          <w:sz w:val="24"/>
          <w:szCs w:val="24"/>
        </w:rPr>
        <w:t>(</w:t>
      </w:r>
      <w:r w:rsidR="006C5690" w:rsidRPr="00F43628">
        <w:rPr>
          <w:rFonts w:ascii="Times New Roman" w:hAnsi="Times New Roman" w:cs="Times New Roman"/>
          <w:i/>
          <w:iCs/>
          <w:kern w:val="0"/>
          <w:sz w:val="24"/>
          <w:szCs w:val="24"/>
        </w:rPr>
        <w:t>далі</w:t>
      </w:r>
      <w:r w:rsidR="006C5690" w:rsidRPr="00F43628">
        <w:rPr>
          <w:rFonts w:ascii="Times New Roman" w:hAnsi="Times New Roman" w:cs="Times New Roman"/>
          <w:kern w:val="0"/>
          <w:sz w:val="24"/>
          <w:szCs w:val="24"/>
        </w:rPr>
        <w:t xml:space="preserve"> – спільні програми) </w:t>
      </w:r>
      <w:r w:rsidR="002946FB" w:rsidRPr="00F43628">
        <w:rPr>
          <w:rFonts w:ascii="Times New Roman" w:hAnsi="Times New Roman" w:cs="Times New Roman"/>
          <w:kern w:val="0"/>
          <w:sz w:val="24"/>
          <w:szCs w:val="24"/>
        </w:rPr>
        <w:t xml:space="preserve">на основі європейського досвіду. Методичні рекомендації </w:t>
      </w:r>
      <w:r w:rsidRPr="00F43628">
        <w:rPr>
          <w:rFonts w:ascii="Times New Roman" w:hAnsi="Times New Roman" w:cs="Times New Roman"/>
          <w:kern w:val="0"/>
          <w:sz w:val="24"/>
          <w:szCs w:val="24"/>
        </w:rPr>
        <w:t>ґрунту</w:t>
      </w:r>
      <w:r w:rsidR="002946FB" w:rsidRPr="00F43628">
        <w:rPr>
          <w:rFonts w:ascii="Times New Roman" w:hAnsi="Times New Roman" w:cs="Times New Roman"/>
          <w:kern w:val="0"/>
          <w:sz w:val="24"/>
          <w:szCs w:val="24"/>
        </w:rPr>
        <w:t>ю</w:t>
      </w:r>
      <w:r w:rsidRPr="00F43628">
        <w:rPr>
          <w:rFonts w:ascii="Times New Roman" w:hAnsi="Times New Roman" w:cs="Times New Roman"/>
          <w:kern w:val="0"/>
          <w:sz w:val="24"/>
          <w:szCs w:val="24"/>
        </w:rPr>
        <w:t xml:space="preserve">ться на </w:t>
      </w:r>
      <w:r w:rsidR="002946FB" w:rsidRPr="00F43628">
        <w:rPr>
          <w:rFonts w:ascii="Times New Roman" w:hAnsi="Times New Roman" w:cs="Times New Roman"/>
          <w:kern w:val="0"/>
          <w:sz w:val="24"/>
          <w:szCs w:val="24"/>
        </w:rPr>
        <w:t>актуальній</w:t>
      </w:r>
      <w:r w:rsidRPr="00F43628">
        <w:rPr>
          <w:rFonts w:ascii="Times New Roman" w:hAnsi="Times New Roman" w:cs="Times New Roman"/>
          <w:kern w:val="0"/>
          <w:sz w:val="24"/>
          <w:szCs w:val="24"/>
        </w:rPr>
        <w:t xml:space="preserve"> інформації, </w:t>
      </w:r>
      <w:r w:rsidR="002946FB" w:rsidRPr="00F43628">
        <w:rPr>
          <w:rFonts w:ascii="Times New Roman" w:hAnsi="Times New Roman" w:cs="Times New Roman"/>
          <w:kern w:val="0"/>
          <w:sz w:val="24"/>
          <w:szCs w:val="24"/>
        </w:rPr>
        <w:t>що</w:t>
      </w:r>
      <w:r w:rsidRPr="00F43628">
        <w:rPr>
          <w:rFonts w:ascii="Times New Roman" w:hAnsi="Times New Roman" w:cs="Times New Roman"/>
          <w:kern w:val="0"/>
          <w:sz w:val="24"/>
          <w:szCs w:val="24"/>
        </w:rPr>
        <w:t xml:space="preserve"> </w:t>
      </w:r>
      <w:r w:rsidR="00407F7D" w:rsidRPr="00F43628">
        <w:rPr>
          <w:rFonts w:ascii="Times New Roman" w:hAnsi="Times New Roman" w:cs="Times New Roman"/>
          <w:kern w:val="0"/>
          <w:sz w:val="24"/>
          <w:szCs w:val="24"/>
        </w:rPr>
        <w:t xml:space="preserve">знаходиться </w:t>
      </w:r>
      <w:r w:rsidRPr="00F43628">
        <w:rPr>
          <w:rFonts w:ascii="Times New Roman" w:hAnsi="Times New Roman" w:cs="Times New Roman"/>
          <w:kern w:val="0"/>
          <w:sz w:val="24"/>
          <w:szCs w:val="24"/>
        </w:rPr>
        <w:t>у відкритому доступі. Об</w:t>
      </w:r>
      <w:r w:rsidR="00407F7D"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єднуючи в собі посилання на найновіші джерела інформації та рекомендації щодо належної практики, </w:t>
      </w:r>
      <w:r w:rsidR="00384742">
        <w:rPr>
          <w:rFonts w:ascii="Times New Roman" w:hAnsi="Times New Roman" w:cs="Times New Roman"/>
          <w:kern w:val="0"/>
          <w:sz w:val="24"/>
          <w:szCs w:val="24"/>
        </w:rPr>
        <w:t xml:space="preserve">Методичні </w:t>
      </w:r>
      <w:r w:rsidR="002946FB" w:rsidRPr="00F43628">
        <w:rPr>
          <w:rFonts w:ascii="Times New Roman" w:hAnsi="Times New Roman" w:cs="Times New Roman"/>
          <w:kern w:val="0"/>
          <w:sz w:val="24"/>
          <w:szCs w:val="24"/>
        </w:rPr>
        <w:t>рекомендації</w:t>
      </w:r>
      <w:r w:rsidRPr="00F43628">
        <w:rPr>
          <w:rFonts w:ascii="Times New Roman" w:hAnsi="Times New Roman" w:cs="Times New Roman"/>
          <w:kern w:val="0"/>
          <w:sz w:val="24"/>
          <w:szCs w:val="24"/>
        </w:rPr>
        <w:t xml:space="preserve"> сприятим</w:t>
      </w:r>
      <w:r w:rsidR="002946FB" w:rsidRPr="00F43628">
        <w:rPr>
          <w:rFonts w:ascii="Times New Roman" w:hAnsi="Times New Roman" w:cs="Times New Roman"/>
          <w:kern w:val="0"/>
          <w:sz w:val="24"/>
          <w:szCs w:val="24"/>
        </w:rPr>
        <w:t>уть</w:t>
      </w:r>
      <w:r w:rsidRPr="00F43628">
        <w:rPr>
          <w:rFonts w:ascii="Times New Roman" w:hAnsi="Times New Roman" w:cs="Times New Roman"/>
          <w:kern w:val="0"/>
          <w:sz w:val="24"/>
          <w:szCs w:val="24"/>
        </w:rPr>
        <w:t xml:space="preserve"> розвитку </w:t>
      </w:r>
      <w:r w:rsidR="002946FB" w:rsidRPr="00F43628">
        <w:rPr>
          <w:rFonts w:ascii="Times New Roman" w:hAnsi="Times New Roman" w:cs="Times New Roman"/>
          <w:kern w:val="0"/>
          <w:sz w:val="24"/>
          <w:szCs w:val="24"/>
        </w:rPr>
        <w:t>експертизи</w:t>
      </w:r>
      <w:r w:rsidRPr="00F43628">
        <w:rPr>
          <w:rFonts w:ascii="Times New Roman" w:hAnsi="Times New Roman" w:cs="Times New Roman"/>
          <w:kern w:val="0"/>
          <w:sz w:val="24"/>
          <w:szCs w:val="24"/>
        </w:rPr>
        <w:t xml:space="preserve"> </w:t>
      </w:r>
      <w:r w:rsidR="002946FB" w:rsidRPr="00F43628">
        <w:rPr>
          <w:rFonts w:ascii="Times New Roman" w:hAnsi="Times New Roman" w:cs="Times New Roman"/>
          <w:kern w:val="0"/>
          <w:sz w:val="24"/>
          <w:szCs w:val="24"/>
        </w:rPr>
        <w:t>розробників і гарантів</w:t>
      </w:r>
      <w:r w:rsidRPr="00F43628">
        <w:rPr>
          <w:rFonts w:ascii="Times New Roman" w:hAnsi="Times New Roman" w:cs="Times New Roman"/>
          <w:kern w:val="0"/>
          <w:sz w:val="24"/>
          <w:szCs w:val="24"/>
        </w:rPr>
        <w:t xml:space="preserve"> спільних програм.</w:t>
      </w:r>
    </w:p>
    <w:p w14:paraId="01957535" w14:textId="0DD022DE" w:rsidR="007D4583" w:rsidRPr="00F43628" w:rsidRDefault="00863002"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Методичні рекомендації </w:t>
      </w:r>
      <w:r w:rsidR="005A1E41" w:rsidRPr="00F43628">
        <w:rPr>
          <w:rFonts w:ascii="Times New Roman" w:hAnsi="Times New Roman" w:cs="Times New Roman"/>
          <w:kern w:val="0"/>
          <w:sz w:val="24"/>
          <w:szCs w:val="24"/>
        </w:rPr>
        <w:t xml:space="preserve">не є </w:t>
      </w:r>
      <w:r w:rsidRPr="00F43628">
        <w:rPr>
          <w:rFonts w:ascii="Times New Roman" w:hAnsi="Times New Roman" w:cs="Times New Roman"/>
          <w:kern w:val="0"/>
          <w:sz w:val="24"/>
          <w:szCs w:val="24"/>
        </w:rPr>
        <w:t>обов’язковими до виконання, але вони</w:t>
      </w:r>
      <w:r w:rsidR="005A1E41" w:rsidRPr="00F43628">
        <w:rPr>
          <w:rFonts w:ascii="Times New Roman" w:hAnsi="Times New Roman" w:cs="Times New Roman"/>
          <w:kern w:val="0"/>
          <w:sz w:val="24"/>
          <w:szCs w:val="24"/>
        </w:rPr>
        <w:t xml:space="preserve"> пропону</w:t>
      </w:r>
      <w:r w:rsidRPr="00F43628">
        <w:rPr>
          <w:rFonts w:ascii="Times New Roman" w:hAnsi="Times New Roman" w:cs="Times New Roman"/>
          <w:kern w:val="0"/>
          <w:sz w:val="24"/>
          <w:szCs w:val="24"/>
        </w:rPr>
        <w:t>ють</w:t>
      </w:r>
      <w:r w:rsidR="005A1E41"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поради</w:t>
      </w:r>
      <w:r w:rsidR="005A1E41" w:rsidRPr="00F43628">
        <w:rPr>
          <w:rFonts w:ascii="Times New Roman" w:hAnsi="Times New Roman" w:cs="Times New Roman"/>
          <w:kern w:val="0"/>
          <w:sz w:val="24"/>
          <w:szCs w:val="24"/>
        </w:rPr>
        <w:t xml:space="preserve"> для працівників закладів вищої освіти щодо різних </w:t>
      </w:r>
      <w:r w:rsidR="00FA4160" w:rsidRPr="00F43628">
        <w:rPr>
          <w:rFonts w:ascii="Times New Roman" w:hAnsi="Times New Roman" w:cs="Times New Roman"/>
          <w:kern w:val="0"/>
          <w:sz w:val="24"/>
          <w:szCs w:val="24"/>
        </w:rPr>
        <w:t>питань</w:t>
      </w:r>
      <w:r w:rsidR="005A1E41" w:rsidRPr="00F43628">
        <w:rPr>
          <w:rFonts w:ascii="Times New Roman" w:hAnsi="Times New Roman" w:cs="Times New Roman"/>
          <w:kern w:val="0"/>
          <w:sz w:val="24"/>
          <w:szCs w:val="24"/>
        </w:rPr>
        <w:t>, які необхідно враховувати при розроб</w:t>
      </w:r>
      <w:r w:rsidRPr="00F43628">
        <w:rPr>
          <w:rFonts w:ascii="Times New Roman" w:hAnsi="Times New Roman" w:cs="Times New Roman"/>
          <w:kern w:val="0"/>
          <w:sz w:val="24"/>
          <w:szCs w:val="24"/>
        </w:rPr>
        <w:t>ленні</w:t>
      </w:r>
      <w:r w:rsidR="005A1E41" w:rsidRPr="00F43628">
        <w:rPr>
          <w:rFonts w:ascii="Times New Roman" w:hAnsi="Times New Roman" w:cs="Times New Roman"/>
          <w:kern w:val="0"/>
          <w:sz w:val="24"/>
          <w:szCs w:val="24"/>
        </w:rPr>
        <w:t xml:space="preserve"> та </w:t>
      </w:r>
      <w:r w:rsidR="00384742">
        <w:rPr>
          <w:rFonts w:ascii="Times New Roman" w:hAnsi="Times New Roman" w:cs="Times New Roman"/>
          <w:kern w:val="0"/>
          <w:sz w:val="24"/>
          <w:szCs w:val="24"/>
        </w:rPr>
        <w:t>реалізації</w:t>
      </w:r>
      <w:r w:rsidR="005A1E41" w:rsidRPr="00F43628">
        <w:rPr>
          <w:rFonts w:ascii="Times New Roman" w:hAnsi="Times New Roman" w:cs="Times New Roman"/>
          <w:kern w:val="0"/>
          <w:sz w:val="24"/>
          <w:szCs w:val="24"/>
        </w:rPr>
        <w:t xml:space="preserve"> спільни</w:t>
      </w:r>
      <w:r w:rsidR="00384742">
        <w:rPr>
          <w:rFonts w:ascii="Times New Roman" w:hAnsi="Times New Roman" w:cs="Times New Roman"/>
          <w:kern w:val="0"/>
          <w:sz w:val="24"/>
          <w:szCs w:val="24"/>
        </w:rPr>
        <w:t>х</w:t>
      </w:r>
      <w:r w:rsidR="005A1E41" w:rsidRPr="00F43628">
        <w:rPr>
          <w:rFonts w:ascii="Times New Roman" w:hAnsi="Times New Roman" w:cs="Times New Roman"/>
          <w:kern w:val="0"/>
          <w:sz w:val="24"/>
          <w:szCs w:val="24"/>
        </w:rPr>
        <w:t xml:space="preserve"> програм. Структура розділів </w:t>
      </w:r>
      <w:r w:rsidRPr="00F43628">
        <w:rPr>
          <w:rFonts w:ascii="Times New Roman" w:hAnsi="Times New Roman" w:cs="Times New Roman"/>
          <w:kern w:val="0"/>
          <w:sz w:val="24"/>
          <w:szCs w:val="24"/>
        </w:rPr>
        <w:t xml:space="preserve">Методичних рекомендацій </w:t>
      </w:r>
      <w:r w:rsidR="005A1E41" w:rsidRPr="00F43628">
        <w:rPr>
          <w:rFonts w:ascii="Times New Roman" w:hAnsi="Times New Roman" w:cs="Times New Roman"/>
          <w:kern w:val="0"/>
          <w:sz w:val="24"/>
          <w:szCs w:val="24"/>
        </w:rPr>
        <w:t xml:space="preserve">відповідає переліку </w:t>
      </w:r>
      <w:r w:rsidRPr="00F43628">
        <w:rPr>
          <w:rFonts w:ascii="Times New Roman" w:hAnsi="Times New Roman" w:cs="Times New Roman"/>
          <w:kern w:val="0"/>
          <w:sz w:val="24"/>
          <w:szCs w:val="24"/>
        </w:rPr>
        <w:t>тих</w:t>
      </w:r>
      <w:r w:rsidR="005A1E41" w:rsidRPr="00F43628">
        <w:rPr>
          <w:rFonts w:ascii="Times New Roman" w:hAnsi="Times New Roman" w:cs="Times New Roman"/>
          <w:kern w:val="0"/>
          <w:sz w:val="24"/>
          <w:szCs w:val="24"/>
        </w:rPr>
        <w:t xml:space="preserve"> </w:t>
      </w:r>
      <w:r w:rsidR="00FA4160" w:rsidRPr="00F43628">
        <w:rPr>
          <w:rFonts w:ascii="Times New Roman" w:hAnsi="Times New Roman" w:cs="Times New Roman"/>
          <w:kern w:val="0"/>
          <w:sz w:val="24"/>
          <w:szCs w:val="24"/>
        </w:rPr>
        <w:t>питань</w:t>
      </w:r>
      <w:r w:rsidR="005A1E41" w:rsidRPr="00F43628">
        <w:rPr>
          <w:rFonts w:ascii="Times New Roman" w:hAnsi="Times New Roman" w:cs="Times New Roman"/>
          <w:kern w:val="0"/>
          <w:sz w:val="24"/>
          <w:szCs w:val="24"/>
        </w:rPr>
        <w:t>, які необхідно взяти до уваги при розроб</w:t>
      </w:r>
      <w:r w:rsidRPr="00F43628">
        <w:rPr>
          <w:rFonts w:ascii="Times New Roman" w:hAnsi="Times New Roman" w:cs="Times New Roman"/>
          <w:kern w:val="0"/>
          <w:sz w:val="24"/>
          <w:szCs w:val="24"/>
        </w:rPr>
        <w:t>ленні та реалізації</w:t>
      </w:r>
      <w:r w:rsidR="005A1E41" w:rsidRPr="00F43628">
        <w:rPr>
          <w:rFonts w:ascii="Times New Roman" w:hAnsi="Times New Roman" w:cs="Times New Roman"/>
          <w:kern w:val="0"/>
          <w:sz w:val="24"/>
          <w:szCs w:val="24"/>
        </w:rPr>
        <w:t xml:space="preserve"> спільної програми. </w:t>
      </w:r>
    </w:p>
    <w:p w14:paraId="451891A9" w14:textId="77777777" w:rsidR="007D4583" w:rsidRPr="00A552DD" w:rsidRDefault="005A1E41" w:rsidP="0094404A">
      <w:pPr>
        <w:pStyle w:val="2"/>
        <w:spacing w:before="0" w:after="120" w:line="240" w:lineRule="auto"/>
        <w:rPr>
          <w:rFonts w:ascii="Times New Roman" w:hAnsi="Times New Roman" w:cs="Times New Roman"/>
          <w:b/>
          <w:bCs/>
          <w:sz w:val="24"/>
          <w:szCs w:val="24"/>
        </w:rPr>
      </w:pPr>
      <w:bookmarkStart w:id="2" w:name="_Toc188337386"/>
      <w:r w:rsidRPr="00A552DD">
        <w:rPr>
          <w:rFonts w:ascii="Times New Roman" w:hAnsi="Times New Roman" w:cs="Times New Roman"/>
          <w:b/>
          <w:bCs/>
          <w:sz w:val="24"/>
          <w:szCs w:val="24"/>
        </w:rPr>
        <w:t>1.2 Контекст</w:t>
      </w:r>
      <w:bookmarkEnd w:id="2"/>
    </w:p>
    <w:p w14:paraId="0209F213" w14:textId="09193B4C" w:rsidR="007D4583" w:rsidRPr="00F43628" w:rsidRDefault="00783484"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Розроблення та забезпечення якості с</w:t>
      </w:r>
      <w:r w:rsidR="005A1E41" w:rsidRPr="00F43628">
        <w:rPr>
          <w:rFonts w:ascii="Times New Roman" w:hAnsi="Times New Roman" w:cs="Times New Roman"/>
          <w:kern w:val="0"/>
          <w:sz w:val="24"/>
          <w:szCs w:val="24"/>
        </w:rPr>
        <w:t>пільн</w:t>
      </w:r>
      <w:r w:rsidRPr="00F43628">
        <w:rPr>
          <w:rFonts w:ascii="Times New Roman" w:hAnsi="Times New Roman" w:cs="Times New Roman"/>
          <w:kern w:val="0"/>
          <w:sz w:val="24"/>
          <w:szCs w:val="24"/>
        </w:rPr>
        <w:t xml:space="preserve">их освітніх </w:t>
      </w:r>
      <w:r w:rsidR="005A1E41" w:rsidRPr="00F43628">
        <w:rPr>
          <w:rFonts w:ascii="Times New Roman" w:hAnsi="Times New Roman" w:cs="Times New Roman"/>
          <w:kern w:val="0"/>
          <w:sz w:val="24"/>
          <w:szCs w:val="24"/>
        </w:rPr>
        <w:t>програм (спільн</w:t>
      </w:r>
      <w:r w:rsidR="00E5091B" w:rsidRPr="00F43628">
        <w:rPr>
          <w:rFonts w:ascii="Times New Roman" w:hAnsi="Times New Roman" w:cs="Times New Roman"/>
          <w:kern w:val="0"/>
          <w:sz w:val="24"/>
          <w:szCs w:val="24"/>
        </w:rPr>
        <w:t>их (подвійних)</w:t>
      </w:r>
      <w:r w:rsidR="005A1E41" w:rsidRPr="00F43628">
        <w:rPr>
          <w:rFonts w:ascii="Times New Roman" w:hAnsi="Times New Roman" w:cs="Times New Roman"/>
          <w:kern w:val="0"/>
          <w:sz w:val="24"/>
          <w:szCs w:val="24"/>
        </w:rPr>
        <w:t xml:space="preserve"> ступені</w:t>
      </w:r>
      <w:r w:rsidR="00E5091B" w:rsidRPr="00F43628">
        <w:rPr>
          <w:rFonts w:ascii="Times New Roman" w:hAnsi="Times New Roman" w:cs="Times New Roman"/>
          <w:kern w:val="0"/>
          <w:sz w:val="24"/>
          <w:szCs w:val="24"/>
        </w:rPr>
        <w:t xml:space="preserve">в </w:t>
      </w:r>
      <w:r w:rsidRPr="00F43628">
        <w:rPr>
          <w:rFonts w:ascii="Times New Roman" w:hAnsi="Times New Roman" w:cs="Times New Roman"/>
          <w:kern w:val="0"/>
          <w:sz w:val="24"/>
          <w:szCs w:val="24"/>
        </w:rPr>
        <w:t>/диплом</w:t>
      </w:r>
      <w:r w:rsidR="00E5091B" w:rsidRPr="00F43628">
        <w:rPr>
          <w:rFonts w:ascii="Times New Roman" w:hAnsi="Times New Roman" w:cs="Times New Roman"/>
          <w:kern w:val="0"/>
          <w:sz w:val="24"/>
          <w:szCs w:val="24"/>
        </w:rPr>
        <w:t>ів</w:t>
      </w:r>
      <w:r w:rsidR="005A1E41" w:rsidRPr="00F43628">
        <w:rPr>
          <w:rFonts w:ascii="Times New Roman" w:hAnsi="Times New Roman" w:cs="Times New Roman"/>
          <w:kern w:val="0"/>
          <w:sz w:val="24"/>
          <w:szCs w:val="24"/>
        </w:rPr>
        <w:t>) заохочуються Болонським процесом як ключовий елемент інтернаціоналізації закладів</w:t>
      </w:r>
      <w:r w:rsidRPr="00F43628">
        <w:rPr>
          <w:rFonts w:ascii="Times New Roman" w:hAnsi="Times New Roman" w:cs="Times New Roman"/>
          <w:kern w:val="0"/>
          <w:sz w:val="24"/>
          <w:szCs w:val="24"/>
        </w:rPr>
        <w:t xml:space="preserve"> вищої освіти</w:t>
      </w:r>
      <w:r w:rsidR="005A1E41" w:rsidRPr="00F43628">
        <w:rPr>
          <w:rFonts w:ascii="Times New Roman" w:hAnsi="Times New Roman" w:cs="Times New Roman"/>
          <w:kern w:val="0"/>
          <w:sz w:val="24"/>
          <w:szCs w:val="24"/>
        </w:rPr>
        <w:t xml:space="preserve">. </w:t>
      </w:r>
      <w:r w:rsidR="00E5091B" w:rsidRPr="00F43628">
        <w:rPr>
          <w:rFonts w:ascii="Times New Roman" w:hAnsi="Times New Roman" w:cs="Times New Roman"/>
          <w:kern w:val="0"/>
          <w:sz w:val="24"/>
          <w:szCs w:val="24"/>
        </w:rPr>
        <w:t>У</w:t>
      </w:r>
      <w:r w:rsidR="005A1E41" w:rsidRPr="00F43628">
        <w:rPr>
          <w:rFonts w:ascii="Times New Roman" w:hAnsi="Times New Roman" w:cs="Times New Roman"/>
          <w:kern w:val="0"/>
          <w:sz w:val="24"/>
          <w:szCs w:val="24"/>
        </w:rPr>
        <w:t xml:space="preserve"> Бухарестському комюніке (2012</w:t>
      </w:r>
      <w:r w:rsidR="00FA4160" w:rsidRPr="00F43628">
        <w:rPr>
          <w:rFonts w:ascii="Times New Roman" w:hAnsi="Times New Roman" w:cs="Times New Roman"/>
          <w:kern w:val="0"/>
          <w:sz w:val="24"/>
          <w:szCs w:val="24"/>
        </w:rPr>
        <w:t xml:space="preserve"> р.</w:t>
      </w:r>
      <w:r w:rsidR="005A1E41" w:rsidRPr="00F43628">
        <w:rPr>
          <w:rFonts w:ascii="Times New Roman" w:hAnsi="Times New Roman" w:cs="Times New Roman"/>
          <w:kern w:val="0"/>
          <w:sz w:val="24"/>
          <w:szCs w:val="24"/>
        </w:rPr>
        <w:t xml:space="preserve">) міністри </w:t>
      </w:r>
      <w:r w:rsidR="00E5091B" w:rsidRPr="00F43628">
        <w:rPr>
          <w:rFonts w:ascii="Times New Roman" w:hAnsi="Times New Roman" w:cs="Times New Roman"/>
          <w:kern w:val="0"/>
          <w:sz w:val="24"/>
          <w:szCs w:val="24"/>
        </w:rPr>
        <w:t xml:space="preserve">освіти </w:t>
      </w:r>
      <w:r w:rsidR="005A1E41" w:rsidRPr="00F43628">
        <w:rPr>
          <w:rFonts w:ascii="Times New Roman" w:hAnsi="Times New Roman" w:cs="Times New Roman"/>
          <w:kern w:val="0"/>
          <w:sz w:val="24"/>
          <w:szCs w:val="24"/>
        </w:rPr>
        <w:t>зобов</w:t>
      </w:r>
      <w:r w:rsidR="00FA4160" w:rsidRPr="00F43628">
        <w:rPr>
          <w:rFonts w:ascii="Times New Roman" w:hAnsi="Times New Roman" w:cs="Times New Roman"/>
          <w:kern w:val="0"/>
          <w:sz w:val="24"/>
          <w:szCs w:val="24"/>
        </w:rPr>
        <w:t>’</w:t>
      </w:r>
      <w:r w:rsidR="005A1E41" w:rsidRPr="00F43628">
        <w:rPr>
          <w:rFonts w:ascii="Times New Roman" w:hAnsi="Times New Roman" w:cs="Times New Roman"/>
          <w:kern w:val="0"/>
          <w:sz w:val="24"/>
          <w:szCs w:val="24"/>
        </w:rPr>
        <w:t>язалися визна</w:t>
      </w:r>
      <w:r w:rsidR="00384742">
        <w:rPr>
          <w:rFonts w:ascii="Times New Roman" w:hAnsi="Times New Roman" w:cs="Times New Roman"/>
          <w:kern w:val="0"/>
          <w:sz w:val="24"/>
          <w:szCs w:val="24"/>
        </w:rPr>
        <w:t>ва</w:t>
      </w:r>
      <w:r w:rsidR="005A1E41" w:rsidRPr="00F43628">
        <w:rPr>
          <w:rFonts w:ascii="Times New Roman" w:hAnsi="Times New Roman" w:cs="Times New Roman"/>
          <w:kern w:val="0"/>
          <w:sz w:val="24"/>
          <w:szCs w:val="24"/>
        </w:rPr>
        <w:t>ти рішення щодо забезпечення якості</w:t>
      </w:r>
      <w:r w:rsidR="00384742">
        <w:rPr>
          <w:rFonts w:ascii="Times New Roman" w:hAnsi="Times New Roman" w:cs="Times New Roman"/>
          <w:kern w:val="0"/>
          <w:sz w:val="24"/>
          <w:szCs w:val="24"/>
        </w:rPr>
        <w:t xml:space="preserve"> та акредитації спільних програм</w:t>
      </w:r>
      <w:r w:rsidR="005A1E41" w:rsidRPr="00F43628">
        <w:rPr>
          <w:rFonts w:ascii="Times New Roman" w:hAnsi="Times New Roman" w:cs="Times New Roman"/>
          <w:kern w:val="0"/>
          <w:sz w:val="24"/>
          <w:szCs w:val="24"/>
        </w:rPr>
        <w:t xml:space="preserve">, прийняті </w:t>
      </w:r>
      <w:hyperlink r:id="rId9" w:history="1">
        <w:r w:rsidR="007D4583" w:rsidRPr="00F43628">
          <w:rPr>
            <w:rFonts w:ascii="Times New Roman" w:hAnsi="Times New Roman" w:cs="Times New Roman"/>
            <w:kern w:val="0"/>
            <w:sz w:val="24"/>
            <w:szCs w:val="24"/>
          </w:rPr>
          <w:t>агентствами</w:t>
        </w:r>
      </w:hyperlink>
      <w:r w:rsidR="00E12C7E" w:rsidRPr="00F43628">
        <w:rPr>
          <w:rFonts w:ascii="Times New Roman" w:hAnsi="Times New Roman" w:cs="Times New Roman"/>
          <w:kern w:val="0"/>
          <w:sz w:val="24"/>
          <w:szCs w:val="24"/>
        </w:rPr>
        <w:t>, зареєстрованими в EQAR</w:t>
      </w:r>
      <w:hyperlink r:id="rId10" w:history="1">
        <w:r w:rsidR="007D4583" w:rsidRPr="00F43628">
          <w:rPr>
            <w:rFonts w:ascii="Times New Roman" w:hAnsi="Times New Roman" w:cs="Times New Roman"/>
            <w:kern w:val="0"/>
            <w:sz w:val="24"/>
            <w:szCs w:val="24"/>
          </w:rPr>
          <w:t xml:space="preserve"> </w:t>
        </w:r>
      </w:hyperlink>
      <w:r w:rsidR="007D4583" w:rsidRPr="00F43628">
        <w:rPr>
          <w:rFonts w:ascii="Times New Roman" w:hAnsi="Times New Roman" w:cs="Times New Roman"/>
          <w:kern w:val="0"/>
          <w:sz w:val="24"/>
          <w:szCs w:val="24"/>
        </w:rPr>
        <w:t>(Європейському реєстрі забезпечення якості вищої освіти)</w:t>
      </w:r>
      <w:r w:rsidR="005A1E41" w:rsidRPr="00F43628">
        <w:rPr>
          <w:rFonts w:ascii="Times New Roman" w:hAnsi="Times New Roman" w:cs="Times New Roman"/>
          <w:kern w:val="0"/>
          <w:sz w:val="24"/>
          <w:szCs w:val="24"/>
        </w:rPr>
        <w:t>. У Єреванському (2015</w:t>
      </w:r>
      <w:r w:rsidR="00E12C7E" w:rsidRPr="00F43628">
        <w:rPr>
          <w:rFonts w:ascii="Times New Roman" w:hAnsi="Times New Roman" w:cs="Times New Roman"/>
          <w:kern w:val="0"/>
          <w:sz w:val="24"/>
          <w:szCs w:val="24"/>
        </w:rPr>
        <w:t xml:space="preserve"> р.</w:t>
      </w:r>
      <w:r w:rsidR="005A1E41" w:rsidRPr="00F43628">
        <w:rPr>
          <w:rFonts w:ascii="Times New Roman" w:hAnsi="Times New Roman" w:cs="Times New Roman"/>
          <w:kern w:val="0"/>
          <w:sz w:val="24"/>
          <w:szCs w:val="24"/>
        </w:rPr>
        <w:t>) та Паризькому (2018</w:t>
      </w:r>
      <w:r w:rsidR="00E12C7E" w:rsidRPr="00F43628">
        <w:rPr>
          <w:rFonts w:ascii="Times New Roman" w:hAnsi="Times New Roman" w:cs="Times New Roman"/>
          <w:kern w:val="0"/>
          <w:sz w:val="24"/>
          <w:szCs w:val="24"/>
        </w:rPr>
        <w:t xml:space="preserve"> р.</w:t>
      </w:r>
      <w:r w:rsidR="005A1E41" w:rsidRPr="00F43628">
        <w:rPr>
          <w:rFonts w:ascii="Times New Roman" w:hAnsi="Times New Roman" w:cs="Times New Roman"/>
          <w:kern w:val="0"/>
          <w:sz w:val="24"/>
          <w:szCs w:val="24"/>
        </w:rPr>
        <w:t xml:space="preserve">) комюніке міністри освіти погодилися впровадити </w:t>
      </w:r>
      <w:hyperlink r:id="rId11" w:history="1">
        <w:r w:rsidR="007D4583" w:rsidRPr="00F43628">
          <w:rPr>
            <w:rStyle w:val="a8"/>
            <w:rFonts w:ascii="Times New Roman" w:hAnsi="Times New Roman" w:cs="Times New Roman"/>
            <w:sz w:val="24"/>
            <w:szCs w:val="24"/>
          </w:rPr>
          <w:t xml:space="preserve">Європейський підхід до забезпечення якості спільних </w:t>
        </w:r>
      </w:hyperlink>
      <w:hyperlink r:id="rId12" w:history="1">
        <w:r w:rsidR="007D4583" w:rsidRPr="00F43628">
          <w:rPr>
            <w:rStyle w:val="a8"/>
            <w:rFonts w:ascii="Times New Roman" w:hAnsi="Times New Roman" w:cs="Times New Roman"/>
            <w:sz w:val="24"/>
            <w:szCs w:val="24"/>
          </w:rPr>
          <w:t>програм</w:t>
        </w:r>
      </w:hyperlink>
      <w:r w:rsidR="005A1E41" w:rsidRPr="00F43628">
        <w:rPr>
          <w:rFonts w:ascii="Times New Roman" w:hAnsi="Times New Roman" w:cs="Times New Roman"/>
          <w:color w:val="000000"/>
          <w:kern w:val="0"/>
          <w:sz w:val="24"/>
          <w:szCs w:val="24"/>
        </w:rPr>
        <w:t>.</w:t>
      </w:r>
    </w:p>
    <w:p w14:paraId="0D4CB14E" w14:textId="6FE1D6F3" w:rsidR="007D4583" w:rsidRPr="00F43628" w:rsidRDefault="005E29A8"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Мотивацією до </w:t>
      </w:r>
      <w:r w:rsidR="00191500" w:rsidRPr="00F43628">
        <w:rPr>
          <w:rFonts w:ascii="Times New Roman" w:hAnsi="Times New Roman" w:cs="Times New Roman"/>
          <w:kern w:val="0"/>
          <w:sz w:val="24"/>
          <w:szCs w:val="24"/>
        </w:rPr>
        <w:t xml:space="preserve">розвитку спільних програм </w:t>
      </w:r>
      <w:r w:rsidR="00E408FC" w:rsidRPr="00F43628">
        <w:rPr>
          <w:rFonts w:ascii="Times New Roman" w:hAnsi="Times New Roman" w:cs="Times New Roman"/>
          <w:kern w:val="0"/>
          <w:sz w:val="24"/>
          <w:szCs w:val="24"/>
        </w:rPr>
        <w:t>ста</w:t>
      </w:r>
      <w:r w:rsidR="00384742">
        <w:rPr>
          <w:rFonts w:ascii="Times New Roman" w:hAnsi="Times New Roman" w:cs="Times New Roman"/>
          <w:kern w:val="0"/>
          <w:sz w:val="24"/>
          <w:szCs w:val="24"/>
        </w:rPr>
        <w:t>в</w:t>
      </w:r>
      <w:r w:rsidRPr="00F43628">
        <w:rPr>
          <w:rFonts w:ascii="Times New Roman" w:hAnsi="Times New Roman" w:cs="Times New Roman"/>
          <w:kern w:val="0"/>
          <w:sz w:val="24"/>
          <w:szCs w:val="24"/>
        </w:rPr>
        <w:t xml:space="preserve"> </w:t>
      </w:r>
      <w:r w:rsidR="00384742">
        <w:rPr>
          <w:rFonts w:ascii="Times New Roman" w:hAnsi="Times New Roman" w:cs="Times New Roman"/>
          <w:kern w:val="0"/>
          <w:sz w:val="24"/>
          <w:szCs w:val="24"/>
        </w:rPr>
        <w:t>напрям Програми ЄС Темпус/Еразмус+</w:t>
      </w:r>
      <w:r w:rsidR="00191500"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Erasmus Mundus (з</w:t>
      </w:r>
      <w:r w:rsidR="00E408FC" w:rsidRPr="00F43628">
        <w:rPr>
          <w:rFonts w:ascii="Times New Roman" w:hAnsi="Times New Roman" w:cs="Times New Roman"/>
          <w:kern w:val="0"/>
          <w:sz w:val="24"/>
          <w:szCs w:val="24"/>
        </w:rPr>
        <w:t xml:space="preserve"> 2004</w:t>
      </w:r>
      <w:r w:rsidR="00384742">
        <w:rPr>
          <w:rFonts w:ascii="Times New Roman" w:hAnsi="Times New Roman" w:cs="Times New Roman"/>
          <w:kern w:val="0"/>
          <w:sz w:val="24"/>
          <w:szCs w:val="24"/>
        </w:rPr>
        <w:t xml:space="preserve"> р.</w:t>
      </w:r>
      <w:r w:rsidRPr="00F43628">
        <w:rPr>
          <w:rFonts w:ascii="Times New Roman" w:hAnsi="Times New Roman" w:cs="Times New Roman"/>
          <w:kern w:val="0"/>
          <w:sz w:val="24"/>
          <w:szCs w:val="24"/>
        </w:rPr>
        <w:t>)</w:t>
      </w:r>
      <w:r w:rsidR="00191500" w:rsidRPr="00F43628">
        <w:rPr>
          <w:rFonts w:ascii="Times New Roman" w:hAnsi="Times New Roman" w:cs="Times New Roman"/>
          <w:kern w:val="0"/>
          <w:sz w:val="24"/>
          <w:szCs w:val="24"/>
        </w:rPr>
        <w:t>, що фінансується ЄС</w:t>
      </w:r>
      <w:r w:rsidRPr="00F43628">
        <w:rPr>
          <w:rFonts w:ascii="Times New Roman" w:hAnsi="Times New Roman" w:cs="Times New Roman"/>
          <w:kern w:val="0"/>
          <w:sz w:val="24"/>
          <w:szCs w:val="24"/>
        </w:rPr>
        <w:t>, у межах яко</w:t>
      </w:r>
      <w:r w:rsidR="00384742">
        <w:rPr>
          <w:rFonts w:ascii="Times New Roman" w:hAnsi="Times New Roman" w:cs="Times New Roman"/>
          <w:kern w:val="0"/>
          <w:sz w:val="24"/>
          <w:szCs w:val="24"/>
        </w:rPr>
        <w:t>го</w:t>
      </w:r>
      <w:r w:rsidRPr="00F43628">
        <w:rPr>
          <w:rFonts w:ascii="Times New Roman" w:hAnsi="Times New Roman" w:cs="Times New Roman"/>
          <w:kern w:val="0"/>
          <w:sz w:val="24"/>
          <w:szCs w:val="24"/>
        </w:rPr>
        <w:t xml:space="preserve"> </w:t>
      </w:r>
      <w:r w:rsidR="00191500" w:rsidRPr="00F43628">
        <w:rPr>
          <w:rFonts w:ascii="Times New Roman" w:hAnsi="Times New Roman" w:cs="Times New Roman"/>
          <w:kern w:val="0"/>
          <w:sz w:val="24"/>
          <w:szCs w:val="24"/>
        </w:rPr>
        <w:t>створен</w:t>
      </w:r>
      <w:r w:rsidRPr="00F43628">
        <w:rPr>
          <w:rFonts w:ascii="Times New Roman" w:hAnsi="Times New Roman" w:cs="Times New Roman"/>
          <w:kern w:val="0"/>
          <w:sz w:val="24"/>
          <w:szCs w:val="24"/>
        </w:rPr>
        <w:t>о</w:t>
      </w:r>
      <w:r w:rsidR="00191500" w:rsidRPr="00F43628">
        <w:rPr>
          <w:rFonts w:ascii="Times New Roman" w:hAnsi="Times New Roman" w:cs="Times New Roman"/>
          <w:kern w:val="0"/>
          <w:sz w:val="24"/>
          <w:szCs w:val="24"/>
        </w:rPr>
        <w:t xml:space="preserve"> низк</w:t>
      </w:r>
      <w:r w:rsidRPr="00F43628">
        <w:rPr>
          <w:rFonts w:ascii="Times New Roman" w:hAnsi="Times New Roman" w:cs="Times New Roman"/>
          <w:kern w:val="0"/>
          <w:sz w:val="24"/>
          <w:szCs w:val="24"/>
        </w:rPr>
        <w:t>у</w:t>
      </w:r>
      <w:r w:rsidR="00191500" w:rsidRPr="00F43628">
        <w:rPr>
          <w:rFonts w:ascii="Times New Roman" w:hAnsi="Times New Roman" w:cs="Times New Roman"/>
          <w:kern w:val="0"/>
          <w:sz w:val="24"/>
          <w:szCs w:val="24"/>
        </w:rPr>
        <w:t xml:space="preserve"> спільних магістерських програм </w:t>
      </w:r>
      <w:r w:rsidR="00407F7D" w:rsidRPr="00F43628">
        <w:rPr>
          <w:rFonts w:ascii="Times New Roman" w:hAnsi="Times New Roman" w:cs="Times New Roman"/>
          <w:kern w:val="0"/>
          <w:sz w:val="24"/>
          <w:szCs w:val="24"/>
        </w:rPr>
        <w:t>Erasmus</w:t>
      </w:r>
      <w:r w:rsidR="00191500" w:rsidRPr="00F43628">
        <w:rPr>
          <w:rFonts w:ascii="Times New Roman" w:hAnsi="Times New Roman" w:cs="Times New Roman"/>
          <w:kern w:val="0"/>
          <w:sz w:val="24"/>
          <w:szCs w:val="24"/>
        </w:rPr>
        <w:t xml:space="preserve"> </w:t>
      </w:r>
      <w:r w:rsidR="00E408FC" w:rsidRPr="00F43628">
        <w:rPr>
          <w:rFonts w:ascii="Times New Roman" w:hAnsi="Times New Roman" w:cs="Times New Roman"/>
          <w:kern w:val="0"/>
          <w:sz w:val="24"/>
          <w:szCs w:val="24"/>
        </w:rPr>
        <w:t>Mundus</w:t>
      </w:r>
      <w:r w:rsidR="00191500" w:rsidRPr="00F43628">
        <w:rPr>
          <w:rFonts w:ascii="Times New Roman" w:hAnsi="Times New Roman" w:cs="Times New Roman"/>
          <w:kern w:val="0"/>
          <w:sz w:val="24"/>
          <w:szCs w:val="24"/>
        </w:rPr>
        <w:t xml:space="preserve"> (EMJMD) та спільних докторських програм </w:t>
      </w:r>
      <w:r w:rsidR="00407F7D" w:rsidRPr="00F43628">
        <w:rPr>
          <w:rFonts w:ascii="Times New Roman" w:hAnsi="Times New Roman" w:cs="Times New Roman"/>
          <w:kern w:val="0"/>
          <w:sz w:val="24"/>
          <w:szCs w:val="24"/>
        </w:rPr>
        <w:t>Erasmus</w:t>
      </w:r>
      <w:r w:rsidR="00191500" w:rsidRPr="00F43628">
        <w:rPr>
          <w:rFonts w:ascii="Times New Roman" w:hAnsi="Times New Roman" w:cs="Times New Roman"/>
          <w:kern w:val="0"/>
          <w:sz w:val="24"/>
          <w:szCs w:val="24"/>
        </w:rPr>
        <w:t xml:space="preserve"> </w:t>
      </w:r>
      <w:r w:rsidR="00E408FC" w:rsidRPr="00F43628">
        <w:rPr>
          <w:rFonts w:ascii="Times New Roman" w:hAnsi="Times New Roman" w:cs="Times New Roman"/>
          <w:kern w:val="0"/>
          <w:sz w:val="24"/>
          <w:szCs w:val="24"/>
        </w:rPr>
        <w:t>Mundus</w:t>
      </w:r>
      <w:r w:rsidR="00191500" w:rsidRPr="00F43628">
        <w:rPr>
          <w:rFonts w:ascii="Times New Roman" w:hAnsi="Times New Roman" w:cs="Times New Roman"/>
          <w:kern w:val="0"/>
          <w:sz w:val="24"/>
          <w:szCs w:val="24"/>
        </w:rPr>
        <w:t xml:space="preserve"> (Erasmus Mundus Joint Doctorates). </w:t>
      </w:r>
    </w:p>
    <w:p w14:paraId="2FA3D87D" w14:textId="196CE219" w:rsidR="007D4583" w:rsidRPr="00F43628"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Спільні програми також відіграють важливу роль у нещодавній </w:t>
      </w:r>
      <w:hyperlink r:id="rId13" w:history="1">
        <w:r w:rsidR="007D4583" w:rsidRPr="00F43628">
          <w:rPr>
            <w:rStyle w:val="a8"/>
            <w:rFonts w:ascii="Times New Roman" w:hAnsi="Times New Roman" w:cs="Times New Roman"/>
            <w:sz w:val="24"/>
            <w:szCs w:val="24"/>
          </w:rPr>
          <w:t>Ініціативі європейських університетів</w:t>
        </w:r>
      </w:hyperlink>
      <w:r w:rsidRPr="00F43628">
        <w:rPr>
          <w:rFonts w:ascii="Times New Roman" w:hAnsi="Times New Roman" w:cs="Times New Roman"/>
          <w:color w:val="000000"/>
          <w:kern w:val="0"/>
          <w:sz w:val="24"/>
          <w:szCs w:val="24"/>
        </w:rPr>
        <w:t xml:space="preserve">, яка ґрунтується на баченні Європейської Ради та </w:t>
      </w:r>
      <w:r w:rsidR="007817D5" w:rsidRPr="00F43628">
        <w:rPr>
          <w:rFonts w:ascii="Times New Roman" w:hAnsi="Times New Roman" w:cs="Times New Roman"/>
          <w:color w:val="000000"/>
          <w:kern w:val="0"/>
          <w:sz w:val="24"/>
          <w:szCs w:val="24"/>
        </w:rPr>
        <w:t xml:space="preserve">Європейської </w:t>
      </w:r>
      <w:r w:rsidRPr="00F43628">
        <w:rPr>
          <w:rFonts w:ascii="Times New Roman" w:hAnsi="Times New Roman" w:cs="Times New Roman"/>
          <w:color w:val="000000"/>
          <w:kern w:val="0"/>
          <w:sz w:val="24"/>
          <w:szCs w:val="24"/>
        </w:rPr>
        <w:t>Комісії щодо зміцнення стратегічних партнерств університет</w:t>
      </w:r>
      <w:r w:rsidR="007817D5" w:rsidRPr="00F43628">
        <w:rPr>
          <w:rFonts w:ascii="Times New Roman" w:hAnsi="Times New Roman" w:cs="Times New Roman"/>
          <w:color w:val="000000"/>
          <w:kern w:val="0"/>
          <w:sz w:val="24"/>
          <w:szCs w:val="24"/>
        </w:rPr>
        <w:t>ів</w:t>
      </w:r>
      <w:r w:rsidRPr="00F43628">
        <w:rPr>
          <w:rFonts w:ascii="Times New Roman" w:hAnsi="Times New Roman" w:cs="Times New Roman"/>
          <w:color w:val="000000"/>
          <w:kern w:val="0"/>
          <w:sz w:val="24"/>
          <w:szCs w:val="24"/>
        </w:rPr>
        <w:t xml:space="preserve"> в </w:t>
      </w:r>
      <w:r w:rsidR="009246D1">
        <w:rPr>
          <w:rFonts w:ascii="Times New Roman" w:hAnsi="Times New Roman" w:cs="Times New Roman"/>
          <w:color w:val="000000"/>
          <w:kern w:val="0"/>
          <w:sz w:val="24"/>
          <w:szCs w:val="24"/>
        </w:rPr>
        <w:t>ЄС</w:t>
      </w:r>
      <w:r w:rsidRPr="00F43628">
        <w:rPr>
          <w:rFonts w:ascii="Times New Roman" w:hAnsi="Times New Roman" w:cs="Times New Roman"/>
          <w:color w:val="000000"/>
          <w:kern w:val="0"/>
          <w:sz w:val="24"/>
          <w:szCs w:val="24"/>
        </w:rPr>
        <w:t xml:space="preserve">. Ця ініціатива заохочує створення приблизно </w:t>
      </w:r>
      <w:r w:rsidR="009246D1">
        <w:rPr>
          <w:rFonts w:ascii="Times New Roman" w:hAnsi="Times New Roman" w:cs="Times New Roman"/>
          <w:color w:val="000000"/>
          <w:kern w:val="0"/>
          <w:sz w:val="24"/>
          <w:szCs w:val="24"/>
        </w:rPr>
        <w:t xml:space="preserve">20-ти </w:t>
      </w:r>
      <w:r w:rsidR="007817D5" w:rsidRPr="00F43628">
        <w:rPr>
          <w:rFonts w:ascii="Times New Roman" w:hAnsi="Times New Roman" w:cs="Times New Roman"/>
          <w:color w:val="000000"/>
          <w:kern w:val="0"/>
          <w:sz w:val="24"/>
          <w:szCs w:val="24"/>
        </w:rPr>
        <w:t>Є</w:t>
      </w:r>
      <w:r w:rsidRPr="00F43628">
        <w:rPr>
          <w:rFonts w:ascii="Times New Roman" w:hAnsi="Times New Roman" w:cs="Times New Roman"/>
          <w:color w:val="000000"/>
          <w:kern w:val="0"/>
          <w:sz w:val="24"/>
          <w:szCs w:val="24"/>
        </w:rPr>
        <w:t xml:space="preserve">вропейських університетів, що складаються з мереж університетів </w:t>
      </w:r>
      <w:r w:rsidR="009246D1">
        <w:rPr>
          <w:rFonts w:ascii="Times New Roman" w:hAnsi="Times New Roman" w:cs="Times New Roman"/>
          <w:color w:val="000000"/>
          <w:kern w:val="0"/>
          <w:sz w:val="24"/>
          <w:szCs w:val="24"/>
        </w:rPr>
        <w:t>у межах Є</w:t>
      </w:r>
      <w:r w:rsidRPr="00F43628">
        <w:rPr>
          <w:rFonts w:ascii="Times New Roman" w:hAnsi="Times New Roman" w:cs="Times New Roman"/>
          <w:color w:val="000000"/>
          <w:kern w:val="0"/>
          <w:sz w:val="24"/>
          <w:szCs w:val="24"/>
        </w:rPr>
        <w:t>С, які дозволять студентам отримати ступінь, поєднуючи навчання в декількох країнах ЄС.</w:t>
      </w:r>
    </w:p>
    <w:p w14:paraId="5D794C1C" w14:textId="54B3ECFA" w:rsidR="007D4583" w:rsidRPr="00F43628"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Основні виклики, з якими стикаються заклади </w:t>
      </w:r>
      <w:r w:rsidR="00502702" w:rsidRPr="00F43628">
        <w:rPr>
          <w:rFonts w:ascii="Times New Roman" w:hAnsi="Times New Roman" w:cs="Times New Roman"/>
          <w:kern w:val="0"/>
          <w:sz w:val="24"/>
          <w:szCs w:val="24"/>
        </w:rPr>
        <w:t xml:space="preserve">вищої освіти </w:t>
      </w:r>
      <w:r w:rsidRPr="00F43628">
        <w:rPr>
          <w:rFonts w:ascii="Times New Roman" w:hAnsi="Times New Roman" w:cs="Times New Roman"/>
          <w:kern w:val="0"/>
          <w:sz w:val="24"/>
          <w:szCs w:val="24"/>
        </w:rPr>
        <w:t>при розроб</w:t>
      </w:r>
      <w:r w:rsidR="00502702" w:rsidRPr="00F43628">
        <w:rPr>
          <w:rFonts w:ascii="Times New Roman" w:hAnsi="Times New Roman" w:cs="Times New Roman"/>
          <w:kern w:val="0"/>
          <w:sz w:val="24"/>
          <w:szCs w:val="24"/>
        </w:rPr>
        <w:t>ленні</w:t>
      </w:r>
      <w:r w:rsidRPr="00F43628">
        <w:rPr>
          <w:rFonts w:ascii="Times New Roman" w:hAnsi="Times New Roman" w:cs="Times New Roman"/>
          <w:kern w:val="0"/>
          <w:sz w:val="24"/>
          <w:szCs w:val="24"/>
        </w:rPr>
        <w:t xml:space="preserve"> та реалізації спільних програм, пов</w:t>
      </w:r>
      <w:r w:rsidR="00A45651"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язані з фінансуванням, забезпеченням </w:t>
      </w:r>
      <w:r w:rsidR="00502702" w:rsidRPr="00F43628">
        <w:rPr>
          <w:rFonts w:ascii="Times New Roman" w:hAnsi="Times New Roman" w:cs="Times New Roman"/>
          <w:kern w:val="0"/>
          <w:sz w:val="24"/>
          <w:szCs w:val="24"/>
        </w:rPr>
        <w:t>стійкості спільної</w:t>
      </w:r>
      <w:r w:rsidRPr="00F43628">
        <w:rPr>
          <w:rFonts w:ascii="Times New Roman" w:hAnsi="Times New Roman" w:cs="Times New Roman"/>
          <w:kern w:val="0"/>
          <w:sz w:val="24"/>
          <w:szCs w:val="24"/>
        </w:rPr>
        <w:t xml:space="preserve"> програми, відмінностями між закладами консорціуму щодо тривалості </w:t>
      </w:r>
      <w:r w:rsidR="00502702" w:rsidRPr="00F43628">
        <w:rPr>
          <w:rFonts w:ascii="Times New Roman" w:hAnsi="Times New Roman" w:cs="Times New Roman"/>
          <w:kern w:val="0"/>
          <w:sz w:val="24"/>
          <w:szCs w:val="24"/>
        </w:rPr>
        <w:t>навчання</w:t>
      </w:r>
      <w:r w:rsidRPr="00F43628">
        <w:rPr>
          <w:rFonts w:ascii="Times New Roman" w:hAnsi="Times New Roman" w:cs="Times New Roman"/>
          <w:kern w:val="0"/>
          <w:sz w:val="24"/>
          <w:szCs w:val="24"/>
        </w:rPr>
        <w:t xml:space="preserve">, </w:t>
      </w:r>
      <w:r w:rsidR="00502702" w:rsidRPr="00F43628">
        <w:rPr>
          <w:rFonts w:ascii="Times New Roman" w:hAnsi="Times New Roman" w:cs="Times New Roman"/>
          <w:kern w:val="0"/>
          <w:sz w:val="24"/>
          <w:szCs w:val="24"/>
        </w:rPr>
        <w:t xml:space="preserve">визнання результатів навчання і </w:t>
      </w:r>
      <w:r w:rsidR="00A45651" w:rsidRPr="00F43628">
        <w:rPr>
          <w:rFonts w:ascii="Times New Roman" w:hAnsi="Times New Roman" w:cs="Times New Roman"/>
          <w:kern w:val="0"/>
          <w:sz w:val="24"/>
          <w:szCs w:val="24"/>
        </w:rPr>
        <w:t>перезарахування</w:t>
      </w:r>
      <w:r w:rsidRPr="00F43628">
        <w:rPr>
          <w:rFonts w:ascii="Times New Roman" w:hAnsi="Times New Roman" w:cs="Times New Roman"/>
          <w:kern w:val="0"/>
          <w:sz w:val="24"/>
          <w:szCs w:val="24"/>
        </w:rPr>
        <w:t xml:space="preserve"> </w:t>
      </w:r>
      <w:r w:rsidR="00502702" w:rsidRPr="00F43628">
        <w:rPr>
          <w:rFonts w:ascii="Times New Roman" w:hAnsi="Times New Roman" w:cs="Times New Roman"/>
          <w:kern w:val="0"/>
          <w:sz w:val="24"/>
          <w:szCs w:val="24"/>
        </w:rPr>
        <w:t xml:space="preserve">відповідних </w:t>
      </w:r>
      <w:r w:rsidRPr="00F43628">
        <w:rPr>
          <w:rFonts w:ascii="Times New Roman" w:hAnsi="Times New Roman" w:cs="Times New Roman"/>
          <w:kern w:val="0"/>
          <w:sz w:val="24"/>
          <w:szCs w:val="24"/>
        </w:rPr>
        <w:t>кредитів</w:t>
      </w:r>
      <w:r w:rsidR="00502702" w:rsidRPr="00F43628">
        <w:rPr>
          <w:rFonts w:ascii="Times New Roman" w:hAnsi="Times New Roman" w:cs="Times New Roman"/>
          <w:kern w:val="0"/>
          <w:sz w:val="24"/>
          <w:szCs w:val="24"/>
        </w:rPr>
        <w:t xml:space="preserve"> ЄКТС</w:t>
      </w:r>
      <w:r w:rsidRPr="00F43628">
        <w:rPr>
          <w:rFonts w:ascii="Times New Roman" w:hAnsi="Times New Roman" w:cs="Times New Roman"/>
          <w:kern w:val="0"/>
          <w:sz w:val="24"/>
          <w:szCs w:val="24"/>
        </w:rPr>
        <w:t>, акредитації та вимог</w:t>
      </w:r>
      <w:r w:rsidR="00502702" w:rsidRPr="00F43628">
        <w:rPr>
          <w:rFonts w:ascii="Times New Roman" w:hAnsi="Times New Roman" w:cs="Times New Roman"/>
          <w:kern w:val="0"/>
          <w:sz w:val="24"/>
          <w:szCs w:val="24"/>
        </w:rPr>
        <w:t xml:space="preserve"> до мовної компетентності.</w:t>
      </w:r>
      <w:r w:rsidR="00A45651" w:rsidRPr="00F43628">
        <w:rPr>
          <w:rFonts w:ascii="Times New Roman" w:hAnsi="Times New Roman" w:cs="Times New Roman"/>
          <w:kern w:val="0"/>
          <w:sz w:val="24"/>
          <w:szCs w:val="24"/>
        </w:rPr>
        <w:t xml:space="preserve"> </w:t>
      </w:r>
    </w:p>
    <w:p w14:paraId="6DEA8E21" w14:textId="7A5F4567" w:rsidR="007D4583"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Існують регіональні та національні схеми фінансування для </w:t>
      </w:r>
      <w:r w:rsidR="00A45651" w:rsidRPr="00F43628">
        <w:rPr>
          <w:rFonts w:ascii="Times New Roman" w:hAnsi="Times New Roman" w:cs="Times New Roman"/>
          <w:kern w:val="0"/>
          <w:sz w:val="24"/>
          <w:szCs w:val="24"/>
        </w:rPr>
        <w:t xml:space="preserve">спільних </w:t>
      </w:r>
      <w:r w:rsidRPr="00F43628">
        <w:rPr>
          <w:rFonts w:ascii="Times New Roman" w:hAnsi="Times New Roman" w:cs="Times New Roman"/>
          <w:kern w:val="0"/>
          <w:sz w:val="24"/>
          <w:szCs w:val="24"/>
        </w:rPr>
        <w:t>програм.</w:t>
      </w:r>
      <w:r w:rsidR="00752457" w:rsidRPr="00F43628">
        <w:rPr>
          <w:rFonts w:ascii="Times New Roman" w:hAnsi="Times New Roman" w:cs="Times New Roman"/>
          <w:kern w:val="0"/>
          <w:sz w:val="24"/>
          <w:szCs w:val="24"/>
        </w:rPr>
        <w:t xml:space="preserve"> Ф</w:t>
      </w:r>
      <w:r w:rsidRPr="00F43628">
        <w:rPr>
          <w:rFonts w:ascii="Times New Roman" w:hAnsi="Times New Roman" w:cs="Times New Roman"/>
          <w:kern w:val="0"/>
          <w:sz w:val="24"/>
          <w:szCs w:val="24"/>
        </w:rPr>
        <w:t xml:space="preserve">інансування </w:t>
      </w:r>
      <w:r w:rsidR="00752457" w:rsidRPr="00F43628">
        <w:rPr>
          <w:rFonts w:ascii="Times New Roman" w:hAnsi="Times New Roman" w:cs="Times New Roman"/>
          <w:kern w:val="0"/>
          <w:sz w:val="24"/>
          <w:szCs w:val="24"/>
        </w:rPr>
        <w:t xml:space="preserve">розроблення та реалізації </w:t>
      </w:r>
      <w:r w:rsidRPr="00F43628">
        <w:rPr>
          <w:rFonts w:ascii="Times New Roman" w:hAnsi="Times New Roman" w:cs="Times New Roman"/>
          <w:kern w:val="0"/>
          <w:sz w:val="24"/>
          <w:szCs w:val="24"/>
        </w:rPr>
        <w:t xml:space="preserve">спільних магістерських програм </w:t>
      </w:r>
      <w:r w:rsidR="00407F7D" w:rsidRPr="00F43628">
        <w:rPr>
          <w:rFonts w:ascii="Times New Roman" w:hAnsi="Times New Roman" w:cs="Times New Roman"/>
          <w:kern w:val="0"/>
          <w:sz w:val="24"/>
          <w:szCs w:val="24"/>
        </w:rPr>
        <w:t>Erasmus</w:t>
      </w:r>
      <w:r w:rsidRPr="00F43628">
        <w:rPr>
          <w:rFonts w:ascii="Times New Roman" w:hAnsi="Times New Roman" w:cs="Times New Roman"/>
          <w:kern w:val="0"/>
          <w:sz w:val="24"/>
          <w:szCs w:val="24"/>
        </w:rPr>
        <w:t xml:space="preserve"> </w:t>
      </w:r>
      <w:r w:rsidR="00E408FC" w:rsidRPr="00F43628">
        <w:rPr>
          <w:rFonts w:ascii="Times New Roman" w:hAnsi="Times New Roman" w:cs="Times New Roman"/>
          <w:kern w:val="0"/>
          <w:sz w:val="24"/>
          <w:szCs w:val="24"/>
        </w:rPr>
        <w:t>Mundus</w:t>
      </w:r>
      <w:r w:rsidRPr="00F43628">
        <w:rPr>
          <w:rFonts w:ascii="Times New Roman" w:hAnsi="Times New Roman" w:cs="Times New Roman"/>
          <w:kern w:val="0"/>
          <w:sz w:val="24"/>
          <w:szCs w:val="24"/>
        </w:rPr>
        <w:t xml:space="preserve"> </w:t>
      </w:r>
      <w:r w:rsidR="00752457" w:rsidRPr="00F43628">
        <w:rPr>
          <w:rFonts w:ascii="Times New Roman" w:hAnsi="Times New Roman" w:cs="Times New Roman"/>
          <w:kern w:val="0"/>
          <w:sz w:val="24"/>
          <w:szCs w:val="24"/>
        </w:rPr>
        <w:t xml:space="preserve">відбувається за гранти проєктів Програми ЄС Еразмус+. </w:t>
      </w:r>
      <w:r w:rsidRPr="00F43628">
        <w:rPr>
          <w:rFonts w:ascii="Times New Roman" w:hAnsi="Times New Roman" w:cs="Times New Roman"/>
          <w:kern w:val="0"/>
          <w:sz w:val="24"/>
          <w:szCs w:val="24"/>
        </w:rPr>
        <w:t>Інші регіональні схеми фінансування для розроб</w:t>
      </w:r>
      <w:r w:rsidR="00752457" w:rsidRPr="00F43628">
        <w:rPr>
          <w:rFonts w:ascii="Times New Roman" w:hAnsi="Times New Roman" w:cs="Times New Roman"/>
          <w:kern w:val="0"/>
          <w:sz w:val="24"/>
          <w:szCs w:val="24"/>
        </w:rPr>
        <w:t>лення</w:t>
      </w:r>
      <w:r w:rsidRPr="00F43628">
        <w:rPr>
          <w:rFonts w:ascii="Times New Roman" w:hAnsi="Times New Roman" w:cs="Times New Roman"/>
          <w:kern w:val="0"/>
          <w:sz w:val="24"/>
          <w:szCs w:val="24"/>
        </w:rPr>
        <w:t xml:space="preserve"> </w:t>
      </w:r>
      <w:r w:rsidR="005F7766" w:rsidRPr="00F43628">
        <w:rPr>
          <w:rFonts w:ascii="Times New Roman" w:hAnsi="Times New Roman" w:cs="Times New Roman"/>
          <w:kern w:val="0"/>
          <w:sz w:val="24"/>
          <w:szCs w:val="24"/>
        </w:rPr>
        <w:t xml:space="preserve">спільних </w:t>
      </w:r>
      <w:r w:rsidRPr="00F43628">
        <w:rPr>
          <w:rFonts w:ascii="Times New Roman" w:hAnsi="Times New Roman" w:cs="Times New Roman"/>
          <w:kern w:val="0"/>
          <w:sz w:val="24"/>
          <w:szCs w:val="24"/>
        </w:rPr>
        <w:t xml:space="preserve">програм включають, </w:t>
      </w:r>
      <w:r w:rsidR="00752457" w:rsidRPr="00F43628">
        <w:rPr>
          <w:rFonts w:ascii="Times New Roman" w:hAnsi="Times New Roman" w:cs="Times New Roman"/>
          <w:kern w:val="0"/>
          <w:sz w:val="24"/>
          <w:szCs w:val="24"/>
        </w:rPr>
        <w:t>зокрема</w:t>
      </w:r>
      <w:r w:rsidRPr="00F43628">
        <w:rPr>
          <w:rFonts w:ascii="Times New Roman" w:hAnsi="Times New Roman" w:cs="Times New Roman"/>
          <w:kern w:val="0"/>
          <w:sz w:val="24"/>
          <w:szCs w:val="24"/>
        </w:rPr>
        <w:t xml:space="preserve">, </w:t>
      </w:r>
      <w:r w:rsidR="005F7766" w:rsidRPr="00F43628">
        <w:rPr>
          <w:rFonts w:ascii="Times New Roman" w:hAnsi="Times New Roman" w:cs="Times New Roman"/>
          <w:kern w:val="0"/>
          <w:sz w:val="24"/>
          <w:szCs w:val="24"/>
        </w:rPr>
        <w:t xml:space="preserve">програму </w:t>
      </w:r>
      <w:hyperlink r:id="rId14" w:history="1">
        <w:r w:rsidR="005F7766" w:rsidRPr="00F43628">
          <w:rPr>
            <w:rStyle w:val="a8"/>
            <w:rFonts w:ascii="Times New Roman" w:hAnsi="Times New Roman" w:cs="Times New Roman"/>
            <w:sz w:val="24"/>
            <w:szCs w:val="24"/>
          </w:rPr>
          <w:t>Nordic Masters Progra</w:t>
        </w:r>
        <w:r w:rsidR="009246D1">
          <w:rPr>
            <w:rStyle w:val="a8"/>
            <w:rFonts w:ascii="Times New Roman" w:hAnsi="Times New Roman" w:cs="Times New Roman"/>
            <w:sz w:val="24"/>
            <w:szCs w:val="24"/>
            <w:lang w:val="en-US"/>
          </w:rPr>
          <w:t>mme</w:t>
        </w:r>
      </w:hyperlink>
      <w:r w:rsidR="007D4583" w:rsidRPr="00F43628">
        <w:rPr>
          <w:rFonts w:ascii="Times New Roman" w:hAnsi="Times New Roman" w:cs="Times New Roman"/>
          <w:kern w:val="0"/>
          <w:sz w:val="24"/>
          <w:szCs w:val="24"/>
        </w:rPr>
        <w:t xml:space="preserve">, що фінансується </w:t>
      </w:r>
      <w:r w:rsidR="00EB3DBA" w:rsidRPr="00F43628">
        <w:rPr>
          <w:rFonts w:ascii="Times New Roman" w:hAnsi="Times New Roman" w:cs="Times New Roman"/>
          <w:kern w:val="0"/>
          <w:sz w:val="24"/>
          <w:szCs w:val="24"/>
        </w:rPr>
        <w:t>Nordic Council of Ministers</w:t>
      </w:r>
      <w:r w:rsidR="00F5484E" w:rsidRPr="00F43628">
        <w:rPr>
          <w:rFonts w:ascii="Times New Roman" w:hAnsi="Times New Roman" w:cs="Times New Roman"/>
          <w:kern w:val="0"/>
          <w:sz w:val="24"/>
          <w:szCs w:val="24"/>
        </w:rPr>
        <w:t>,</w:t>
      </w:r>
      <w:r w:rsidR="00752457" w:rsidRPr="00F43628">
        <w:rPr>
          <w:rFonts w:ascii="Times New Roman" w:hAnsi="Times New Roman" w:cs="Times New Roman"/>
          <w:kern w:val="0"/>
          <w:sz w:val="24"/>
          <w:szCs w:val="24"/>
        </w:rPr>
        <w:t xml:space="preserve"> та</w:t>
      </w:r>
      <w:r w:rsidR="00F5484E" w:rsidRPr="00F43628">
        <w:rPr>
          <w:rFonts w:ascii="Times New Roman" w:hAnsi="Times New Roman" w:cs="Times New Roman"/>
          <w:kern w:val="0"/>
          <w:sz w:val="24"/>
          <w:szCs w:val="24"/>
        </w:rPr>
        <w:t xml:space="preserve"> </w:t>
      </w:r>
      <w:hyperlink r:id="rId15" w:history="1">
        <w:r w:rsidR="00F5484E" w:rsidRPr="00F43628">
          <w:rPr>
            <w:rStyle w:val="a8"/>
            <w:rFonts w:ascii="Times New Roman" w:hAnsi="Times New Roman" w:cs="Times New Roman"/>
            <w:sz w:val="24"/>
            <w:szCs w:val="24"/>
          </w:rPr>
          <w:t>French-Italian University</w:t>
        </w:r>
      </w:hyperlink>
      <w:r w:rsidR="00F5484E" w:rsidRPr="00F43628">
        <w:rPr>
          <w:rFonts w:ascii="Times New Roman" w:hAnsi="Times New Roman" w:cs="Times New Roman"/>
          <w:sz w:val="24"/>
          <w:szCs w:val="24"/>
        </w:rPr>
        <w:t>.</w:t>
      </w:r>
      <w:r w:rsidR="00752457" w:rsidRPr="00F43628">
        <w:rPr>
          <w:rFonts w:ascii="Times New Roman" w:hAnsi="Times New Roman" w:cs="Times New Roman"/>
          <w:sz w:val="24"/>
          <w:szCs w:val="24"/>
        </w:rPr>
        <w:t xml:space="preserve"> </w:t>
      </w:r>
      <w:r w:rsidRPr="00F43628">
        <w:rPr>
          <w:rFonts w:ascii="Times New Roman" w:hAnsi="Times New Roman" w:cs="Times New Roman"/>
          <w:kern w:val="0"/>
          <w:sz w:val="24"/>
          <w:szCs w:val="24"/>
        </w:rPr>
        <w:t xml:space="preserve">У деяких країнах </w:t>
      </w:r>
      <w:r w:rsidR="005F7766" w:rsidRPr="00F43628">
        <w:rPr>
          <w:rFonts w:ascii="Times New Roman" w:hAnsi="Times New Roman" w:cs="Times New Roman"/>
          <w:kern w:val="0"/>
          <w:sz w:val="24"/>
          <w:szCs w:val="24"/>
        </w:rPr>
        <w:t xml:space="preserve">для розвитку спільних програм </w:t>
      </w:r>
      <w:r w:rsidRPr="00F43628">
        <w:rPr>
          <w:rFonts w:ascii="Times New Roman" w:hAnsi="Times New Roman" w:cs="Times New Roman"/>
          <w:kern w:val="0"/>
          <w:sz w:val="24"/>
          <w:szCs w:val="24"/>
        </w:rPr>
        <w:t xml:space="preserve">існує </w:t>
      </w:r>
      <w:r w:rsidR="005F7766" w:rsidRPr="00F43628">
        <w:rPr>
          <w:rFonts w:ascii="Times New Roman" w:hAnsi="Times New Roman" w:cs="Times New Roman"/>
          <w:kern w:val="0"/>
          <w:sz w:val="24"/>
          <w:szCs w:val="24"/>
        </w:rPr>
        <w:t>спеціальна</w:t>
      </w:r>
      <w:r w:rsidRPr="00F43628">
        <w:rPr>
          <w:rFonts w:ascii="Times New Roman" w:hAnsi="Times New Roman" w:cs="Times New Roman"/>
          <w:kern w:val="0"/>
          <w:sz w:val="24"/>
          <w:szCs w:val="24"/>
        </w:rPr>
        <w:t xml:space="preserve"> національна державна підтримка</w:t>
      </w:r>
      <w:r w:rsidR="00752457" w:rsidRPr="00F43628">
        <w:rPr>
          <w:rFonts w:ascii="Times New Roman" w:hAnsi="Times New Roman" w:cs="Times New Roman"/>
          <w:kern w:val="0"/>
          <w:sz w:val="24"/>
          <w:szCs w:val="24"/>
        </w:rPr>
        <w:t xml:space="preserve">, зокрема в </w:t>
      </w:r>
      <w:r w:rsidRPr="00F43628">
        <w:rPr>
          <w:rFonts w:ascii="Times New Roman" w:hAnsi="Times New Roman" w:cs="Times New Roman"/>
          <w:kern w:val="0"/>
          <w:sz w:val="24"/>
          <w:szCs w:val="24"/>
        </w:rPr>
        <w:t>Німеччин</w:t>
      </w:r>
      <w:r w:rsidR="00752457" w:rsidRPr="00F43628">
        <w:rPr>
          <w:rFonts w:ascii="Times New Roman" w:hAnsi="Times New Roman" w:cs="Times New Roman"/>
          <w:kern w:val="0"/>
          <w:sz w:val="24"/>
          <w:szCs w:val="24"/>
        </w:rPr>
        <w:t>і</w:t>
      </w:r>
      <w:r w:rsidRPr="00F43628">
        <w:rPr>
          <w:rFonts w:ascii="Times New Roman" w:hAnsi="Times New Roman" w:cs="Times New Roman"/>
          <w:kern w:val="0"/>
          <w:sz w:val="24"/>
          <w:szCs w:val="24"/>
        </w:rPr>
        <w:t>, де DAAD надає фінансування для розроб</w:t>
      </w:r>
      <w:r w:rsidR="00752457" w:rsidRPr="00F43628">
        <w:rPr>
          <w:rFonts w:ascii="Times New Roman" w:hAnsi="Times New Roman" w:cs="Times New Roman"/>
          <w:kern w:val="0"/>
          <w:sz w:val="24"/>
          <w:szCs w:val="24"/>
        </w:rPr>
        <w:t xml:space="preserve">лення </w:t>
      </w:r>
      <w:r w:rsidRPr="00F43628">
        <w:rPr>
          <w:rFonts w:ascii="Times New Roman" w:hAnsi="Times New Roman" w:cs="Times New Roman"/>
          <w:kern w:val="0"/>
          <w:sz w:val="24"/>
          <w:szCs w:val="24"/>
        </w:rPr>
        <w:t xml:space="preserve">спільних програм німецьким університетами </w:t>
      </w:r>
      <w:r w:rsidR="009246D1" w:rsidRPr="009246D1">
        <w:rPr>
          <w:rFonts w:ascii="Times New Roman" w:hAnsi="Times New Roman" w:cs="Times New Roman"/>
          <w:kern w:val="0"/>
          <w:sz w:val="24"/>
          <w:szCs w:val="24"/>
        </w:rPr>
        <w:t>сп</w:t>
      </w:r>
      <w:r w:rsidR="009246D1">
        <w:rPr>
          <w:rFonts w:ascii="Times New Roman" w:hAnsi="Times New Roman" w:cs="Times New Roman"/>
          <w:kern w:val="0"/>
          <w:sz w:val="24"/>
          <w:szCs w:val="24"/>
        </w:rPr>
        <w:t>і</w:t>
      </w:r>
      <w:r w:rsidR="009246D1" w:rsidRPr="009246D1">
        <w:rPr>
          <w:rFonts w:ascii="Times New Roman" w:hAnsi="Times New Roman" w:cs="Times New Roman"/>
          <w:kern w:val="0"/>
          <w:sz w:val="24"/>
          <w:szCs w:val="24"/>
        </w:rPr>
        <w:t>льно з</w:t>
      </w:r>
      <w:r w:rsidRPr="00F43628">
        <w:rPr>
          <w:rFonts w:ascii="Times New Roman" w:hAnsi="Times New Roman" w:cs="Times New Roman"/>
          <w:kern w:val="0"/>
          <w:sz w:val="24"/>
          <w:szCs w:val="24"/>
        </w:rPr>
        <w:t xml:space="preserve"> </w:t>
      </w:r>
      <w:r w:rsidR="00752457" w:rsidRPr="00F43628">
        <w:rPr>
          <w:rFonts w:ascii="Times New Roman" w:hAnsi="Times New Roman" w:cs="Times New Roman"/>
          <w:kern w:val="0"/>
          <w:sz w:val="24"/>
          <w:szCs w:val="24"/>
        </w:rPr>
        <w:t xml:space="preserve">закордонними </w:t>
      </w:r>
      <w:r w:rsidRPr="00F43628">
        <w:rPr>
          <w:rFonts w:ascii="Times New Roman" w:hAnsi="Times New Roman" w:cs="Times New Roman"/>
          <w:kern w:val="0"/>
          <w:sz w:val="24"/>
          <w:szCs w:val="24"/>
        </w:rPr>
        <w:t>партнерами.</w:t>
      </w:r>
      <w:r w:rsidR="00AD10D2">
        <w:rPr>
          <w:rFonts w:ascii="Times New Roman" w:hAnsi="Times New Roman" w:cs="Times New Roman"/>
          <w:kern w:val="0"/>
          <w:sz w:val="24"/>
          <w:szCs w:val="24"/>
        </w:rPr>
        <w:t xml:space="preserve"> В Україні спеціальних державних програм підтримки для запровадження національних або міжнародних спільних програм немає.</w:t>
      </w:r>
    </w:p>
    <w:p w14:paraId="3170DAF7" w14:textId="6941B822" w:rsidR="00856866" w:rsidRDefault="00856866">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63886860" w14:textId="5A902462" w:rsidR="007D4583" w:rsidRPr="00A552DD" w:rsidRDefault="005A1E41" w:rsidP="0094404A">
      <w:pPr>
        <w:pStyle w:val="1"/>
        <w:spacing w:before="0" w:after="120" w:line="240" w:lineRule="auto"/>
        <w:rPr>
          <w:rFonts w:ascii="Times New Roman" w:hAnsi="Times New Roman" w:cs="Times New Roman"/>
          <w:b/>
          <w:bCs/>
          <w:sz w:val="24"/>
          <w:szCs w:val="24"/>
        </w:rPr>
      </w:pPr>
      <w:bookmarkStart w:id="3" w:name="_Toc188337388"/>
      <w:r w:rsidRPr="00A552DD">
        <w:rPr>
          <w:rFonts w:ascii="Times New Roman" w:hAnsi="Times New Roman" w:cs="Times New Roman"/>
          <w:b/>
          <w:bCs/>
          <w:sz w:val="24"/>
          <w:szCs w:val="24"/>
        </w:rPr>
        <w:lastRenderedPageBreak/>
        <w:t>2.</w:t>
      </w:r>
      <w:r w:rsidR="001A7BD6" w:rsidRPr="00A552DD">
        <w:rPr>
          <w:rFonts w:ascii="Times New Roman" w:hAnsi="Times New Roman" w:cs="Times New Roman"/>
          <w:b/>
          <w:bCs/>
          <w:sz w:val="24"/>
          <w:szCs w:val="24"/>
        </w:rPr>
        <w:t xml:space="preserve"> </w:t>
      </w:r>
      <w:r w:rsidR="00BD74D5" w:rsidRPr="00A552DD">
        <w:rPr>
          <w:rFonts w:ascii="Times New Roman" w:hAnsi="Times New Roman" w:cs="Times New Roman"/>
          <w:b/>
          <w:bCs/>
          <w:sz w:val="24"/>
          <w:szCs w:val="24"/>
        </w:rPr>
        <w:t>ВИЗНАЧЕННЯ</w:t>
      </w:r>
      <w:bookmarkEnd w:id="3"/>
    </w:p>
    <w:p w14:paraId="12A7C760" w14:textId="7E8FE35B" w:rsidR="005D6648" w:rsidRPr="00D24C9F" w:rsidRDefault="005E3F21" w:rsidP="00D24C9F">
      <w:pPr>
        <w:spacing w:before="100" w:beforeAutospacing="1" w:after="100" w:afterAutospacing="1" w:line="240" w:lineRule="auto"/>
        <w:jc w:val="both"/>
        <w:rPr>
          <w:rFonts w:ascii="Times New Roman" w:hAnsi="Times New Roman" w:cs="Times New Roman"/>
          <w:color w:val="000000"/>
          <w:kern w:val="0"/>
          <w:sz w:val="24"/>
          <w:szCs w:val="24"/>
        </w:rPr>
      </w:pPr>
      <w:r w:rsidRPr="00D24C9F">
        <w:rPr>
          <w:rFonts w:ascii="Times New Roman" w:hAnsi="Times New Roman" w:cs="Times New Roman"/>
          <w:kern w:val="0"/>
          <w:sz w:val="24"/>
          <w:szCs w:val="24"/>
        </w:rPr>
        <w:t>С</w:t>
      </w:r>
      <w:r w:rsidR="006C5690" w:rsidRPr="00D24C9F">
        <w:rPr>
          <w:rFonts w:ascii="Times New Roman" w:hAnsi="Times New Roman" w:cs="Times New Roman"/>
          <w:kern w:val="0"/>
          <w:sz w:val="24"/>
          <w:szCs w:val="24"/>
        </w:rPr>
        <w:t>півпрац</w:t>
      </w:r>
      <w:r w:rsidRPr="00D24C9F">
        <w:rPr>
          <w:rFonts w:ascii="Times New Roman" w:hAnsi="Times New Roman" w:cs="Times New Roman"/>
          <w:kern w:val="0"/>
          <w:sz w:val="24"/>
          <w:szCs w:val="24"/>
        </w:rPr>
        <w:t>я</w:t>
      </w:r>
      <w:r w:rsidR="006C5690" w:rsidRPr="00D24C9F">
        <w:rPr>
          <w:rFonts w:ascii="Times New Roman" w:hAnsi="Times New Roman" w:cs="Times New Roman"/>
          <w:kern w:val="0"/>
          <w:sz w:val="24"/>
          <w:szCs w:val="24"/>
        </w:rPr>
        <w:t xml:space="preserve"> з розроблення та реалізації спільної програми </w:t>
      </w:r>
      <w:r w:rsidRPr="00D24C9F">
        <w:rPr>
          <w:rFonts w:ascii="Times New Roman" w:hAnsi="Times New Roman" w:cs="Times New Roman"/>
          <w:kern w:val="0"/>
          <w:sz w:val="24"/>
          <w:szCs w:val="24"/>
        </w:rPr>
        <w:t xml:space="preserve">має починатися </w:t>
      </w:r>
      <w:r w:rsidR="006C5690" w:rsidRPr="00D24C9F">
        <w:rPr>
          <w:rFonts w:ascii="Times New Roman" w:hAnsi="Times New Roman" w:cs="Times New Roman"/>
          <w:kern w:val="0"/>
          <w:sz w:val="24"/>
          <w:szCs w:val="24"/>
        </w:rPr>
        <w:t xml:space="preserve">з чіткого визначення </w:t>
      </w:r>
      <w:r w:rsidRPr="00D24C9F">
        <w:rPr>
          <w:rFonts w:ascii="Times New Roman" w:hAnsi="Times New Roman" w:cs="Times New Roman"/>
          <w:kern w:val="0"/>
          <w:sz w:val="24"/>
          <w:szCs w:val="24"/>
        </w:rPr>
        <w:t>понять та основних термінів</w:t>
      </w:r>
      <w:r w:rsidR="006C5690" w:rsidRPr="00D24C9F">
        <w:rPr>
          <w:rFonts w:ascii="Times New Roman" w:hAnsi="Times New Roman" w:cs="Times New Roman"/>
          <w:kern w:val="0"/>
          <w:sz w:val="24"/>
          <w:szCs w:val="24"/>
        </w:rPr>
        <w:t>.</w:t>
      </w:r>
      <w:r w:rsidR="00B15A78" w:rsidRPr="00D24C9F">
        <w:rPr>
          <w:rFonts w:ascii="Times New Roman" w:hAnsi="Times New Roman" w:cs="Times New Roman"/>
          <w:kern w:val="0"/>
          <w:sz w:val="24"/>
          <w:szCs w:val="24"/>
        </w:rPr>
        <w:t xml:space="preserve"> </w:t>
      </w:r>
      <w:r w:rsidR="006C5690" w:rsidRPr="00D24C9F">
        <w:rPr>
          <w:rFonts w:ascii="Times New Roman" w:hAnsi="Times New Roman" w:cs="Times New Roman"/>
          <w:kern w:val="0"/>
          <w:sz w:val="24"/>
          <w:szCs w:val="24"/>
        </w:rPr>
        <w:t>Це важливо через плутанину в термінології</w:t>
      </w:r>
      <w:r w:rsidR="00B15A78" w:rsidRPr="00D24C9F">
        <w:rPr>
          <w:rFonts w:ascii="Times New Roman" w:hAnsi="Times New Roman" w:cs="Times New Roman"/>
          <w:kern w:val="0"/>
          <w:sz w:val="24"/>
          <w:szCs w:val="24"/>
        </w:rPr>
        <w:t>, адже</w:t>
      </w:r>
      <w:r w:rsidR="006C5690" w:rsidRPr="00D24C9F">
        <w:rPr>
          <w:rFonts w:ascii="Times New Roman" w:hAnsi="Times New Roman" w:cs="Times New Roman"/>
          <w:kern w:val="0"/>
          <w:sz w:val="24"/>
          <w:szCs w:val="24"/>
        </w:rPr>
        <w:t xml:space="preserve"> деякі національні та міжнародні організації розробили власні визначення, які </w:t>
      </w:r>
      <w:r w:rsidR="00B15A78" w:rsidRPr="00D24C9F">
        <w:rPr>
          <w:rFonts w:ascii="Times New Roman" w:hAnsi="Times New Roman" w:cs="Times New Roman"/>
          <w:kern w:val="0"/>
          <w:sz w:val="24"/>
          <w:szCs w:val="24"/>
        </w:rPr>
        <w:t xml:space="preserve">подекуди </w:t>
      </w:r>
      <w:r w:rsidR="006C5690" w:rsidRPr="00D24C9F">
        <w:rPr>
          <w:rFonts w:ascii="Times New Roman" w:hAnsi="Times New Roman" w:cs="Times New Roman"/>
          <w:kern w:val="0"/>
          <w:sz w:val="24"/>
          <w:szCs w:val="24"/>
        </w:rPr>
        <w:t>суперечать одне одному.</w:t>
      </w:r>
      <w:r w:rsidR="009D1FD0" w:rsidRPr="00D24C9F">
        <w:rPr>
          <w:rFonts w:ascii="Times New Roman" w:hAnsi="Times New Roman" w:cs="Times New Roman"/>
          <w:kern w:val="0"/>
          <w:sz w:val="24"/>
          <w:szCs w:val="24"/>
        </w:rPr>
        <w:t xml:space="preserve"> </w:t>
      </w:r>
      <w:r w:rsidR="005D6648" w:rsidRPr="00D24C9F">
        <w:rPr>
          <w:rFonts w:ascii="Times New Roman" w:hAnsi="Times New Roman" w:cs="Times New Roman"/>
          <w:kern w:val="0"/>
          <w:sz w:val="24"/>
          <w:szCs w:val="24"/>
        </w:rPr>
        <w:t xml:space="preserve">Офіційно визнаними в Європейському просторі вищої освіти є визначення, що містяться в </w:t>
      </w:r>
      <w:hyperlink r:id="rId16" w:history="1">
        <w:r w:rsidR="005D6648" w:rsidRPr="00D24C9F">
          <w:rPr>
            <w:rStyle w:val="a8"/>
            <w:rFonts w:ascii="Times New Roman" w:hAnsi="Times New Roman" w:cs="Times New Roman"/>
            <w:sz w:val="24"/>
            <w:szCs w:val="24"/>
          </w:rPr>
          <w:t xml:space="preserve">Європейському підході до забезпечення якості спільних </w:t>
        </w:r>
      </w:hyperlink>
      <w:hyperlink r:id="rId17" w:history="1">
        <w:r w:rsidR="005D6648" w:rsidRPr="00D24C9F">
          <w:rPr>
            <w:rStyle w:val="a8"/>
            <w:rFonts w:ascii="Times New Roman" w:hAnsi="Times New Roman" w:cs="Times New Roman"/>
            <w:sz w:val="24"/>
            <w:szCs w:val="24"/>
          </w:rPr>
          <w:t>програм</w:t>
        </w:r>
      </w:hyperlink>
      <w:r w:rsidR="005D6648" w:rsidRPr="00D24C9F">
        <w:rPr>
          <w:rFonts w:ascii="Times New Roman" w:hAnsi="Times New Roman" w:cs="Times New Roman"/>
          <w:color w:val="000000"/>
          <w:kern w:val="0"/>
          <w:sz w:val="24"/>
          <w:szCs w:val="24"/>
        </w:rPr>
        <w:t xml:space="preserve">, оскільки цей документ був прийнятий міністрами Європейського простору вищої освіти (ЄПВО) у 2015 р. </w:t>
      </w:r>
    </w:p>
    <w:p w14:paraId="76571161" w14:textId="3FC46EE7" w:rsidR="005D6648" w:rsidRDefault="005D6648" w:rsidP="00D24C9F">
      <w:pPr>
        <w:spacing w:before="100" w:beforeAutospacing="1" w:after="100" w:afterAutospacing="1" w:line="240" w:lineRule="auto"/>
        <w:jc w:val="both"/>
        <w:rPr>
          <w:rFonts w:ascii="Times New Roman" w:hAnsi="Times New Roman" w:cs="Times New Roman"/>
          <w:kern w:val="0"/>
          <w:sz w:val="24"/>
          <w:szCs w:val="24"/>
        </w:rPr>
      </w:pPr>
      <w:hyperlink r:id="rId18" w:anchor="w1_1" w:history="1">
        <w:r w:rsidRPr="008F0736">
          <w:rPr>
            <w:rStyle w:val="a8"/>
            <w:rFonts w:ascii="Times New Roman" w:hAnsi="Times New Roman" w:cs="Times New Roman"/>
            <w:b/>
            <w:bCs/>
            <w:kern w:val="0"/>
            <w:sz w:val="24"/>
            <w:szCs w:val="24"/>
          </w:rPr>
          <w:t>Положення про акредитацію освітніх програм, за якими здійснюється підготовка здобувачів вищої освіти</w:t>
        </w:r>
      </w:hyperlink>
      <w:r w:rsidRPr="00D24C9F">
        <w:rPr>
          <w:rFonts w:ascii="Times New Roman" w:hAnsi="Times New Roman" w:cs="Times New Roman"/>
          <w:kern w:val="0"/>
          <w:sz w:val="24"/>
          <w:szCs w:val="24"/>
        </w:rPr>
        <w:t xml:space="preserve"> (наказ МОН від 15.05.2024 р. № 686) включає розділ VI. Акредитація узгоджених освітніх програм, що враховує Європейський підхід </w:t>
      </w:r>
      <w:r w:rsidR="008127D9" w:rsidRPr="00D24C9F">
        <w:rPr>
          <w:rFonts w:ascii="Times New Roman" w:hAnsi="Times New Roman" w:cs="Times New Roman"/>
          <w:kern w:val="0"/>
          <w:sz w:val="24"/>
          <w:szCs w:val="24"/>
        </w:rPr>
        <w:t xml:space="preserve">(узгоджені спільні освітні програми – відповідно до </w:t>
      </w:r>
      <w:hyperlink r:id="rId19" w:anchor="w1_3" w:history="1">
        <w:r w:rsidR="008127D9" w:rsidRPr="00D24C9F">
          <w:rPr>
            <w:rStyle w:val="a8"/>
            <w:rFonts w:ascii="Times New Roman" w:hAnsi="Times New Roman" w:cs="Times New Roman"/>
            <w:kern w:val="0"/>
            <w:sz w:val="24"/>
            <w:szCs w:val="24"/>
          </w:rPr>
          <w:t>Закону України «Про вищу освіту»</w:t>
        </w:r>
      </w:hyperlink>
      <w:r w:rsidR="008127D9" w:rsidRPr="00D24C9F">
        <w:rPr>
          <w:rFonts w:ascii="Times New Roman" w:hAnsi="Times New Roman" w:cs="Times New Roman"/>
          <w:kern w:val="0"/>
          <w:sz w:val="24"/>
          <w:szCs w:val="24"/>
        </w:rPr>
        <w:t>)</w:t>
      </w:r>
      <w:r w:rsidR="008F0736">
        <w:rPr>
          <w:rFonts w:ascii="Times New Roman" w:hAnsi="Times New Roman" w:cs="Times New Roman"/>
          <w:kern w:val="0"/>
          <w:sz w:val="24"/>
          <w:szCs w:val="24"/>
        </w:rPr>
        <w:t>:</w:t>
      </w:r>
    </w:p>
    <w:p w14:paraId="12F06099" w14:textId="53F60BB8" w:rsidR="008F0736" w:rsidRPr="00D24C9F" w:rsidRDefault="008F0736" w:rsidP="00D24C9F">
      <w:pPr>
        <w:spacing w:before="100" w:beforeAutospacing="1" w:after="100" w:afterAutospacing="1" w:line="240" w:lineRule="auto"/>
        <w:jc w:val="both"/>
        <w:rPr>
          <w:rFonts w:ascii="Times New Roman" w:hAnsi="Times New Roman" w:cs="Times New Roman"/>
          <w:kern w:val="0"/>
          <w:sz w:val="24"/>
          <w:szCs w:val="24"/>
        </w:rPr>
      </w:pPr>
      <w:hyperlink r:id="rId20" w:anchor="w1_2" w:history="1">
        <w:r w:rsidRPr="008F0736">
          <w:rPr>
            <w:rFonts w:ascii="Times New Roman" w:eastAsiaTheme="majorEastAsia" w:hAnsi="Times New Roman" w:cs="Times New Roman"/>
            <w:b/>
            <w:bCs/>
            <w:color w:val="365F91" w:themeColor="accent1" w:themeShade="BF"/>
            <w:sz w:val="24"/>
            <w:szCs w:val="24"/>
          </w:rPr>
          <w:t>Узгоджен</w:t>
        </w:r>
      </w:hyperlink>
      <w:r w:rsidRPr="008F0736">
        <w:rPr>
          <w:rFonts w:ascii="Times New Roman" w:eastAsiaTheme="majorEastAsia" w:hAnsi="Times New Roman" w:cs="Times New Roman"/>
          <w:b/>
          <w:bCs/>
          <w:color w:val="365F91" w:themeColor="accent1" w:themeShade="BF"/>
          <w:sz w:val="24"/>
          <w:szCs w:val="24"/>
        </w:rPr>
        <w:t>а освітня програма</w:t>
      </w:r>
      <w:r>
        <w:rPr>
          <w:rFonts w:ascii="Times New Roman" w:eastAsiaTheme="majorEastAsia" w:hAnsi="Times New Roman" w:cs="Times New Roman"/>
          <w:b/>
          <w:bCs/>
          <w:color w:val="365F91" w:themeColor="accent1" w:themeShade="BF"/>
          <w:sz w:val="24"/>
          <w:szCs w:val="24"/>
        </w:rPr>
        <w:t>:</w:t>
      </w:r>
      <w:r w:rsidRPr="008F0736">
        <w:rPr>
          <w:rFonts w:ascii="Times New Roman" w:hAnsi="Times New Roman" w:cs="Times New Roman"/>
          <w:kern w:val="0"/>
          <w:sz w:val="24"/>
          <w:szCs w:val="24"/>
        </w:rPr>
        <w:t xml:space="preserve"> </w:t>
      </w:r>
      <w:r>
        <w:rPr>
          <w:rFonts w:ascii="Times New Roman" w:hAnsi="Times New Roman" w:cs="Times New Roman"/>
          <w:kern w:val="0"/>
          <w:sz w:val="24"/>
          <w:szCs w:val="24"/>
        </w:rPr>
        <w:t>О</w:t>
      </w:r>
      <w:r w:rsidRPr="008F0736">
        <w:rPr>
          <w:rFonts w:ascii="Times New Roman" w:hAnsi="Times New Roman" w:cs="Times New Roman"/>
          <w:kern w:val="0"/>
          <w:sz w:val="24"/>
          <w:szCs w:val="24"/>
        </w:rPr>
        <w:t>світня програма, що передбачає спільне провадження</w:t>
      </w:r>
      <w:r w:rsidRPr="00F118C1">
        <w:rPr>
          <w:rFonts w:ascii="Times New Roman" w:hAnsi="Times New Roman" w:cs="Times New Roman"/>
          <w:kern w:val="0"/>
          <w:sz w:val="24"/>
          <w:szCs w:val="24"/>
        </w:rPr>
        <w:t xml:space="preserve"> освітньої діяльності та реалізується між закладами вищої освіти (науковими установами), у тому числі іноземними</w:t>
      </w:r>
    </w:p>
    <w:p w14:paraId="30C872B4" w14:textId="49AAE7C3" w:rsidR="0024782F" w:rsidRPr="00D24C9F" w:rsidRDefault="0024782F" w:rsidP="00D24C9F">
      <w:pPr>
        <w:spacing w:before="100" w:beforeAutospacing="1" w:after="100" w:afterAutospacing="1" w:line="240" w:lineRule="auto"/>
        <w:jc w:val="both"/>
        <w:rPr>
          <w:rFonts w:ascii="Times New Roman" w:hAnsi="Times New Roman" w:cs="Times New Roman"/>
          <w:kern w:val="0"/>
          <w:sz w:val="24"/>
          <w:szCs w:val="24"/>
        </w:rPr>
      </w:pPr>
      <w:hyperlink r:id="rId21" w:history="1">
        <w:r w:rsidRPr="00D24C9F">
          <w:rPr>
            <w:rStyle w:val="a8"/>
            <w:rFonts w:ascii="Times New Roman" w:hAnsi="Times New Roman" w:cs="Times New Roman"/>
            <w:b/>
            <w:bCs/>
            <w:kern w:val="0"/>
            <w:sz w:val="24"/>
            <w:szCs w:val="24"/>
          </w:rPr>
          <w:t>Національний освітній глосарій: вища освіта</w:t>
        </w:r>
      </w:hyperlink>
      <w:r w:rsidRPr="00D24C9F">
        <w:rPr>
          <w:rFonts w:ascii="Times New Roman" w:hAnsi="Times New Roman" w:cs="Times New Roman"/>
          <w:kern w:val="0"/>
          <w:sz w:val="24"/>
          <w:szCs w:val="24"/>
        </w:rPr>
        <w:t xml:space="preserve"> (2024) надає такі визначення основних понять щодо спільних програм</w:t>
      </w:r>
      <w:r w:rsidR="00F118C1">
        <w:rPr>
          <w:rFonts w:ascii="Times New Roman" w:hAnsi="Times New Roman" w:cs="Times New Roman"/>
          <w:kern w:val="0"/>
          <w:sz w:val="24"/>
          <w:szCs w:val="24"/>
        </w:rPr>
        <w:t xml:space="preserve"> (зокрема відповідно до законодавства України)</w:t>
      </w:r>
      <w:r w:rsidR="0091748A" w:rsidRPr="00D24C9F">
        <w:rPr>
          <w:rFonts w:ascii="Times New Roman" w:hAnsi="Times New Roman" w:cs="Times New Roman"/>
          <w:kern w:val="0"/>
          <w:sz w:val="24"/>
          <w:szCs w:val="24"/>
        </w:rPr>
        <w:t>:</w:t>
      </w:r>
    </w:p>
    <w:p w14:paraId="0738FE79" w14:textId="57AFB637" w:rsidR="0024782F" w:rsidRPr="00D24C9F" w:rsidRDefault="0024782F" w:rsidP="00D24C9F">
      <w:pPr>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t>Спільна програма (Joint programme)</w:t>
      </w:r>
      <w:r w:rsidRPr="00D24C9F">
        <w:rPr>
          <w:rFonts w:ascii="Times New Roman" w:hAnsi="Times New Roman" w:cs="Times New Roman"/>
          <w:kern w:val="0"/>
          <w:sz w:val="24"/>
          <w:szCs w:val="24"/>
        </w:rPr>
        <w:t xml:space="preserve">: Освітня програма, узгоджена на основі міжінституційних домовленостей між двома або більше закладами вищої освіти (науковими установами), що веде до спільного (joint) або подвійного (double), або багатостороннього (multiple) ступеня. Частини спільної програми, які опановуються студентами в закладах-партнерах, автоматично визнаються іншими закладами-партнерами. </w:t>
      </w:r>
    </w:p>
    <w:p w14:paraId="53634787" w14:textId="54EC45A7" w:rsidR="0024782F" w:rsidRPr="00D24C9F" w:rsidRDefault="0024782F" w:rsidP="00D24C9F">
      <w:pPr>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t>Спільний ступінь (Joint degree)</w:t>
      </w:r>
      <w:r w:rsidRPr="00D24C9F">
        <w:rPr>
          <w:rFonts w:ascii="Times New Roman" w:hAnsi="Times New Roman" w:cs="Times New Roman"/>
          <w:kern w:val="0"/>
          <w:sz w:val="24"/>
          <w:szCs w:val="24"/>
        </w:rPr>
        <w:t>: Ступінь, що присуджується принаймні двома закладами вищої освіти на основі освітньої програми, що розроблена та/або реалізується спільно цими закладами-партнерами, та засвідчується одним документом. У разі, якщо заклади-партнери є резидентами різних країн, такий ступінь має визнаватися в відповідних країнах, відповідно до їх законодавства. Присудження спільних ступенів сприяє академічній і професійній мобільності, розвитку Європейського простору вищої освіти.</w:t>
      </w:r>
    </w:p>
    <w:p w14:paraId="78DB4E16" w14:textId="088A9597" w:rsidR="0024782F" w:rsidRPr="00D24C9F" w:rsidRDefault="0024782F" w:rsidP="00D24C9F">
      <w:pPr>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t>Подвійний диплом / ступінь (Double diploma / degree)</w:t>
      </w:r>
      <w:r w:rsidRPr="00D24C9F">
        <w:rPr>
          <w:rFonts w:ascii="Times New Roman" w:hAnsi="Times New Roman" w:cs="Times New Roman"/>
          <w:kern w:val="0"/>
          <w:sz w:val="24"/>
          <w:szCs w:val="24"/>
        </w:rPr>
        <w:t>: Документ про вищу освіту, що нада</w:t>
      </w:r>
      <w:r w:rsidR="006D6F62" w:rsidRPr="00D24C9F">
        <w:rPr>
          <w:rFonts w:ascii="Times New Roman" w:hAnsi="Times New Roman" w:cs="Times New Roman"/>
          <w:kern w:val="0"/>
          <w:sz w:val="24"/>
          <w:szCs w:val="24"/>
        </w:rPr>
        <w:t>є</w:t>
      </w:r>
      <w:r w:rsidRPr="00D24C9F">
        <w:rPr>
          <w:rFonts w:ascii="Times New Roman" w:hAnsi="Times New Roman" w:cs="Times New Roman"/>
          <w:kern w:val="0"/>
          <w:sz w:val="24"/>
          <w:szCs w:val="24"/>
        </w:rPr>
        <w:t xml:space="preserve">ться окремо кожним з двох закладів вищої освіти після успішного завершення здобувачем вищої освіти спільної освітньої програми на певному циклі/рівні вищої освіти, яка узгоджена між цими закладами вищої освіти. </w:t>
      </w:r>
    </w:p>
    <w:p w14:paraId="226F94B7" w14:textId="6020C46A" w:rsidR="0024782F" w:rsidRDefault="0024782F" w:rsidP="00D24C9F">
      <w:pPr>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t>Європейський підхід до забезпечення якості спільних програм (European Approach for Quality Assurance of Joint Programmes)</w:t>
      </w:r>
      <w:r w:rsidRPr="00D24C9F">
        <w:rPr>
          <w:rFonts w:ascii="Times New Roman" w:hAnsi="Times New Roman" w:cs="Times New Roman"/>
          <w:kern w:val="0"/>
          <w:sz w:val="24"/>
          <w:szCs w:val="24"/>
        </w:rPr>
        <w:t>: Підхід встановлює стандарти і процедуру зовнішнього забезпечення якості для проведення єдиного оцінювання або акредитації всієї спільної програми на основі узгоджених інструментів ЄПВО без застосування додаткових національних критеріїв.</w:t>
      </w:r>
      <w:r w:rsidR="00903154" w:rsidRPr="00D24C9F">
        <w:rPr>
          <w:rFonts w:ascii="Times New Roman" w:hAnsi="Times New Roman" w:cs="Times New Roman"/>
          <w:kern w:val="0"/>
          <w:sz w:val="24"/>
          <w:szCs w:val="24"/>
        </w:rPr>
        <w:t xml:space="preserve"> </w:t>
      </w:r>
      <w:r w:rsidRPr="00D24C9F">
        <w:rPr>
          <w:rFonts w:ascii="Times New Roman" w:hAnsi="Times New Roman" w:cs="Times New Roman"/>
          <w:kern w:val="0"/>
          <w:sz w:val="24"/>
          <w:szCs w:val="24"/>
        </w:rPr>
        <w:t xml:space="preserve">Стандарти засновані на ESG і включають вимоги до таких складових: статус/прийнятність програми; результати навчання; опис освітньої програми; вступ на програму та визнання; навчання, викладання та оцінювання; підтримка студентів; ресурси; прозорість та документація; забезпечення якості. </w:t>
      </w:r>
      <w:r w:rsidR="00903154" w:rsidRPr="00D24C9F">
        <w:rPr>
          <w:rFonts w:ascii="Times New Roman" w:hAnsi="Times New Roman" w:cs="Times New Roman"/>
          <w:kern w:val="0"/>
          <w:sz w:val="24"/>
          <w:szCs w:val="24"/>
        </w:rPr>
        <w:t xml:space="preserve"> </w:t>
      </w:r>
      <w:r w:rsidRPr="00D24C9F">
        <w:rPr>
          <w:rFonts w:ascii="Times New Roman" w:hAnsi="Times New Roman" w:cs="Times New Roman"/>
          <w:kern w:val="0"/>
          <w:sz w:val="24"/>
          <w:szCs w:val="24"/>
        </w:rPr>
        <w:t>Процедура зовнішнього забезпечення якості передбачає такі складові: звіт з самооцінювання; експертна панель; візит експертів; звіт експертів; формальні результати та рішення; апеляція; публічне звітування; заходи за результатами рекомендацій експертів; періодичність.</w:t>
      </w:r>
    </w:p>
    <w:p w14:paraId="2FB6168A" w14:textId="2AA586CC" w:rsidR="0091748A" w:rsidRPr="00D24C9F" w:rsidRDefault="007D4583" w:rsidP="00D24C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hyperlink r:id="rId22" w:history="1">
        <w:r w:rsidRPr="00D24C9F">
          <w:rPr>
            <w:rStyle w:val="a8"/>
            <w:rFonts w:ascii="Times New Roman" w:hAnsi="Times New Roman" w:cs="Times New Roman"/>
            <w:b/>
            <w:bCs/>
            <w:sz w:val="24"/>
            <w:szCs w:val="24"/>
          </w:rPr>
          <w:t>Європейський підхід до забезпечення якості спільних</w:t>
        </w:r>
      </w:hyperlink>
      <w:r w:rsidRPr="00D24C9F">
        <w:rPr>
          <w:rFonts w:ascii="Times New Roman" w:hAnsi="Times New Roman" w:cs="Times New Roman"/>
          <w:b/>
          <w:bCs/>
          <w:kern w:val="0"/>
          <w:sz w:val="24"/>
          <w:szCs w:val="24"/>
        </w:rPr>
        <w:t xml:space="preserve"> </w:t>
      </w:r>
      <w:r w:rsidR="008666A1" w:rsidRPr="00D24C9F">
        <w:rPr>
          <w:rFonts w:ascii="Times New Roman" w:hAnsi="Times New Roman" w:cs="Times New Roman"/>
          <w:kern w:val="0"/>
          <w:sz w:val="24"/>
          <w:szCs w:val="24"/>
        </w:rPr>
        <w:t>програм</w:t>
      </w:r>
      <w:r w:rsidR="0091748A" w:rsidRPr="00D24C9F">
        <w:rPr>
          <w:rFonts w:ascii="Times New Roman" w:hAnsi="Times New Roman" w:cs="Times New Roman"/>
          <w:kern w:val="0"/>
          <w:sz w:val="24"/>
          <w:szCs w:val="24"/>
        </w:rPr>
        <w:t xml:space="preserve"> надає так</w:t>
      </w:r>
      <w:r w:rsidR="00761A96" w:rsidRPr="00D24C9F">
        <w:rPr>
          <w:rFonts w:ascii="Times New Roman" w:hAnsi="Times New Roman" w:cs="Times New Roman"/>
          <w:kern w:val="0"/>
          <w:sz w:val="24"/>
          <w:szCs w:val="24"/>
        </w:rPr>
        <w:t>і</w:t>
      </w:r>
      <w:r w:rsidR="008666A1" w:rsidRPr="00D24C9F">
        <w:rPr>
          <w:rFonts w:ascii="Times New Roman" w:hAnsi="Times New Roman" w:cs="Times New Roman"/>
          <w:kern w:val="0"/>
          <w:sz w:val="24"/>
          <w:szCs w:val="24"/>
        </w:rPr>
        <w:t xml:space="preserve"> визнач</w:t>
      </w:r>
      <w:r w:rsidR="0091748A" w:rsidRPr="00D24C9F">
        <w:rPr>
          <w:rFonts w:ascii="Times New Roman" w:hAnsi="Times New Roman" w:cs="Times New Roman"/>
          <w:kern w:val="0"/>
          <w:sz w:val="24"/>
          <w:szCs w:val="24"/>
        </w:rPr>
        <w:t>ення:</w:t>
      </w:r>
    </w:p>
    <w:p w14:paraId="27A427F5" w14:textId="22397330" w:rsidR="007D4583" w:rsidRPr="00D24C9F" w:rsidRDefault="0091748A" w:rsidP="00D24C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t>Спільна програма (Joint programme)</w:t>
      </w:r>
      <w:r w:rsidRPr="00D24C9F">
        <w:rPr>
          <w:rFonts w:ascii="Times New Roman" w:hAnsi="Times New Roman" w:cs="Times New Roman"/>
          <w:kern w:val="0"/>
          <w:sz w:val="24"/>
          <w:szCs w:val="24"/>
        </w:rPr>
        <w:t xml:space="preserve">: </w:t>
      </w:r>
      <w:r w:rsidR="00761A96" w:rsidRPr="00D24C9F">
        <w:rPr>
          <w:rFonts w:ascii="Times New Roman" w:hAnsi="Times New Roman" w:cs="Times New Roman"/>
          <w:kern w:val="0"/>
          <w:sz w:val="24"/>
          <w:szCs w:val="24"/>
        </w:rPr>
        <w:t>І</w:t>
      </w:r>
      <w:r w:rsidR="007D4583" w:rsidRPr="00D24C9F">
        <w:rPr>
          <w:rFonts w:ascii="Times New Roman" w:hAnsi="Times New Roman" w:cs="Times New Roman"/>
          <w:kern w:val="0"/>
          <w:sz w:val="24"/>
          <w:szCs w:val="24"/>
        </w:rPr>
        <w:t>нтегрован</w:t>
      </w:r>
      <w:r w:rsidRPr="00D24C9F">
        <w:rPr>
          <w:rFonts w:ascii="Times New Roman" w:hAnsi="Times New Roman" w:cs="Times New Roman"/>
          <w:kern w:val="0"/>
          <w:sz w:val="24"/>
          <w:szCs w:val="24"/>
        </w:rPr>
        <w:t>а</w:t>
      </w:r>
      <w:r w:rsidR="007D4583" w:rsidRPr="00D24C9F">
        <w:rPr>
          <w:rFonts w:ascii="Times New Roman" w:hAnsi="Times New Roman" w:cs="Times New Roman"/>
          <w:kern w:val="0"/>
          <w:sz w:val="24"/>
          <w:szCs w:val="24"/>
        </w:rPr>
        <w:t xml:space="preserve"> </w:t>
      </w:r>
      <w:r w:rsidR="00315B26" w:rsidRPr="00D24C9F">
        <w:rPr>
          <w:rFonts w:ascii="Times New Roman" w:hAnsi="Times New Roman" w:cs="Times New Roman"/>
          <w:kern w:val="0"/>
          <w:sz w:val="24"/>
          <w:szCs w:val="24"/>
        </w:rPr>
        <w:t>освітн</w:t>
      </w:r>
      <w:r w:rsidRPr="00D24C9F">
        <w:rPr>
          <w:rFonts w:ascii="Times New Roman" w:hAnsi="Times New Roman" w:cs="Times New Roman"/>
          <w:kern w:val="0"/>
          <w:sz w:val="24"/>
          <w:szCs w:val="24"/>
        </w:rPr>
        <w:t>я</w:t>
      </w:r>
      <w:r w:rsidR="007D4583" w:rsidRPr="00D24C9F">
        <w:rPr>
          <w:rFonts w:ascii="Times New Roman" w:hAnsi="Times New Roman" w:cs="Times New Roman"/>
          <w:kern w:val="0"/>
          <w:sz w:val="24"/>
          <w:szCs w:val="24"/>
        </w:rPr>
        <w:t xml:space="preserve"> програ</w:t>
      </w:r>
      <w:r w:rsidRPr="00D24C9F">
        <w:rPr>
          <w:rFonts w:ascii="Times New Roman" w:hAnsi="Times New Roman" w:cs="Times New Roman"/>
          <w:kern w:val="0"/>
          <w:sz w:val="24"/>
          <w:szCs w:val="24"/>
        </w:rPr>
        <w:t>ма</w:t>
      </w:r>
      <w:r w:rsidR="007D4583" w:rsidRPr="00D24C9F">
        <w:rPr>
          <w:rFonts w:ascii="Times New Roman" w:hAnsi="Times New Roman" w:cs="Times New Roman"/>
          <w:kern w:val="0"/>
          <w:sz w:val="24"/>
          <w:szCs w:val="24"/>
        </w:rPr>
        <w:t>, як</w:t>
      </w:r>
      <w:r w:rsidR="00B37224" w:rsidRPr="00D24C9F">
        <w:rPr>
          <w:rFonts w:ascii="Times New Roman" w:hAnsi="Times New Roman" w:cs="Times New Roman"/>
          <w:kern w:val="0"/>
          <w:sz w:val="24"/>
          <w:szCs w:val="24"/>
        </w:rPr>
        <w:t>у</w:t>
      </w:r>
      <w:r w:rsidR="007D4583" w:rsidRPr="00D24C9F">
        <w:rPr>
          <w:rFonts w:ascii="Times New Roman" w:hAnsi="Times New Roman" w:cs="Times New Roman"/>
          <w:kern w:val="0"/>
          <w:sz w:val="24"/>
          <w:szCs w:val="24"/>
        </w:rPr>
        <w:t xml:space="preserve"> </w:t>
      </w:r>
      <w:r w:rsidR="00B37224" w:rsidRPr="00D24C9F">
        <w:rPr>
          <w:rFonts w:ascii="Times New Roman" w:hAnsi="Times New Roman" w:cs="Times New Roman"/>
          <w:kern w:val="0"/>
          <w:sz w:val="24"/>
          <w:szCs w:val="24"/>
        </w:rPr>
        <w:t xml:space="preserve">спільно </w:t>
      </w:r>
      <w:r w:rsidR="007D4583" w:rsidRPr="00D24C9F">
        <w:rPr>
          <w:rFonts w:ascii="Times New Roman" w:hAnsi="Times New Roman" w:cs="Times New Roman"/>
          <w:kern w:val="0"/>
          <w:sz w:val="24"/>
          <w:szCs w:val="24"/>
        </w:rPr>
        <w:t>координу</w:t>
      </w:r>
      <w:r w:rsidR="00B37224" w:rsidRPr="00D24C9F">
        <w:rPr>
          <w:rFonts w:ascii="Times New Roman" w:hAnsi="Times New Roman" w:cs="Times New Roman"/>
          <w:kern w:val="0"/>
          <w:sz w:val="24"/>
          <w:szCs w:val="24"/>
        </w:rPr>
        <w:t>ють</w:t>
      </w:r>
      <w:r w:rsidR="007D4583" w:rsidRPr="00D24C9F">
        <w:rPr>
          <w:rFonts w:ascii="Times New Roman" w:hAnsi="Times New Roman" w:cs="Times New Roman"/>
          <w:kern w:val="0"/>
          <w:sz w:val="24"/>
          <w:szCs w:val="24"/>
        </w:rPr>
        <w:t xml:space="preserve"> і пропону</w:t>
      </w:r>
      <w:r w:rsidR="00B37224" w:rsidRPr="00D24C9F">
        <w:rPr>
          <w:rFonts w:ascii="Times New Roman" w:hAnsi="Times New Roman" w:cs="Times New Roman"/>
          <w:kern w:val="0"/>
          <w:sz w:val="24"/>
          <w:szCs w:val="24"/>
        </w:rPr>
        <w:t>ють</w:t>
      </w:r>
      <w:r w:rsidR="007D4583" w:rsidRPr="00D24C9F">
        <w:rPr>
          <w:rFonts w:ascii="Times New Roman" w:hAnsi="Times New Roman" w:cs="Times New Roman"/>
          <w:kern w:val="0"/>
          <w:sz w:val="24"/>
          <w:szCs w:val="24"/>
        </w:rPr>
        <w:t xml:space="preserve"> різн</w:t>
      </w:r>
      <w:r w:rsidR="00B37224" w:rsidRPr="00D24C9F">
        <w:rPr>
          <w:rFonts w:ascii="Times New Roman" w:hAnsi="Times New Roman" w:cs="Times New Roman"/>
          <w:kern w:val="0"/>
          <w:sz w:val="24"/>
          <w:szCs w:val="24"/>
        </w:rPr>
        <w:t>і</w:t>
      </w:r>
      <w:r w:rsidR="007D4583" w:rsidRPr="00D24C9F">
        <w:rPr>
          <w:rFonts w:ascii="Times New Roman" w:hAnsi="Times New Roman" w:cs="Times New Roman"/>
          <w:kern w:val="0"/>
          <w:sz w:val="24"/>
          <w:szCs w:val="24"/>
        </w:rPr>
        <w:t xml:space="preserve"> заклади вищої освіти</w:t>
      </w:r>
      <w:r w:rsidR="00315B26" w:rsidRPr="00D24C9F">
        <w:rPr>
          <w:rFonts w:ascii="Times New Roman" w:hAnsi="Times New Roman" w:cs="Times New Roman"/>
          <w:kern w:val="0"/>
          <w:sz w:val="24"/>
          <w:szCs w:val="24"/>
        </w:rPr>
        <w:t>,</w:t>
      </w:r>
      <w:r w:rsidR="00B37224" w:rsidRPr="00D24C9F">
        <w:rPr>
          <w:rFonts w:ascii="Times New Roman" w:hAnsi="Times New Roman" w:cs="Times New Roman"/>
          <w:kern w:val="0"/>
          <w:sz w:val="24"/>
          <w:szCs w:val="24"/>
        </w:rPr>
        <w:t xml:space="preserve"> </w:t>
      </w:r>
      <w:r w:rsidR="007D4583" w:rsidRPr="00D24C9F">
        <w:rPr>
          <w:rFonts w:ascii="Times New Roman" w:hAnsi="Times New Roman" w:cs="Times New Roman"/>
          <w:kern w:val="0"/>
          <w:sz w:val="24"/>
          <w:szCs w:val="24"/>
        </w:rPr>
        <w:t>і</w:t>
      </w:r>
      <w:r w:rsidR="00B37224" w:rsidRPr="00D24C9F">
        <w:rPr>
          <w:rFonts w:ascii="Times New Roman" w:hAnsi="Times New Roman" w:cs="Times New Roman"/>
          <w:kern w:val="0"/>
          <w:sz w:val="24"/>
          <w:szCs w:val="24"/>
        </w:rPr>
        <w:t xml:space="preserve"> яка</w:t>
      </w:r>
      <w:r w:rsidR="007D4583" w:rsidRPr="00D24C9F">
        <w:rPr>
          <w:rFonts w:ascii="Times New Roman" w:hAnsi="Times New Roman" w:cs="Times New Roman"/>
          <w:kern w:val="0"/>
          <w:sz w:val="24"/>
          <w:szCs w:val="24"/>
        </w:rPr>
        <w:t xml:space="preserve"> веде до отримання подвійного/</w:t>
      </w:r>
      <w:r w:rsidR="001A7BD6" w:rsidRPr="00D24C9F">
        <w:rPr>
          <w:rFonts w:ascii="Times New Roman" w:hAnsi="Times New Roman" w:cs="Times New Roman"/>
          <w:kern w:val="0"/>
          <w:sz w:val="24"/>
          <w:szCs w:val="24"/>
        </w:rPr>
        <w:t>багатостороннь</w:t>
      </w:r>
      <w:r w:rsidR="007D4583" w:rsidRPr="00D24C9F">
        <w:rPr>
          <w:rFonts w:ascii="Times New Roman" w:hAnsi="Times New Roman" w:cs="Times New Roman"/>
          <w:kern w:val="0"/>
          <w:sz w:val="24"/>
          <w:szCs w:val="24"/>
        </w:rPr>
        <w:t>ого ступеня або спільного ступеня</w:t>
      </w:r>
      <w:r w:rsidRPr="00D24C9F">
        <w:rPr>
          <w:rFonts w:ascii="Times New Roman" w:hAnsi="Times New Roman" w:cs="Times New Roman"/>
          <w:kern w:val="0"/>
          <w:sz w:val="24"/>
          <w:szCs w:val="24"/>
        </w:rPr>
        <w:t xml:space="preserve"> (</w:t>
      </w:r>
      <w:r w:rsidRPr="00D24C9F">
        <w:rPr>
          <w:rFonts w:ascii="Times New Roman" w:hAnsi="Times New Roman" w:cs="Times New Roman"/>
          <w:kern w:val="0"/>
          <w:sz w:val="24"/>
          <w:szCs w:val="24"/>
          <w:lang w:val="en-US"/>
        </w:rPr>
        <w:t>Double</w:t>
      </w:r>
      <w:r w:rsidRPr="00D24C9F">
        <w:rPr>
          <w:rFonts w:ascii="Times New Roman" w:hAnsi="Times New Roman" w:cs="Times New Roman"/>
          <w:kern w:val="0"/>
          <w:sz w:val="24"/>
          <w:szCs w:val="24"/>
        </w:rPr>
        <w:t>/</w:t>
      </w:r>
      <w:r w:rsidRPr="00D24C9F">
        <w:rPr>
          <w:rFonts w:ascii="Times New Roman" w:hAnsi="Times New Roman" w:cs="Times New Roman"/>
          <w:kern w:val="0"/>
          <w:sz w:val="24"/>
          <w:szCs w:val="24"/>
          <w:lang w:val="en-US"/>
        </w:rPr>
        <w:t>Multiple</w:t>
      </w:r>
      <w:r w:rsidRPr="00D24C9F">
        <w:rPr>
          <w:rFonts w:ascii="Times New Roman" w:hAnsi="Times New Roman" w:cs="Times New Roman"/>
          <w:kern w:val="0"/>
          <w:sz w:val="24"/>
          <w:szCs w:val="24"/>
        </w:rPr>
        <w:t>/</w:t>
      </w:r>
      <w:r w:rsidRPr="00D24C9F">
        <w:rPr>
          <w:rFonts w:ascii="Times New Roman" w:hAnsi="Times New Roman" w:cs="Times New Roman"/>
          <w:kern w:val="0"/>
          <w:sz w:val="24"/>
          <w:szCs w:val="24"/>
          <w:lang w:val="en-US"/>
        </w:rPr>
        <w:t>Joint</w:t>
      </w:r>
      <w:r w:rsidRPr="00D24C9F">
        <w:rPr>
          <w:rFonts w:ascii="Times New Roman" w:hAnsi="Times New Roman" w:cs="Times New Roman"/>
          <w:kern w:val="0"/>
          <w:sz w:val="24"/>
          <w:szCs w:val="24"/>
        </w:rPr>
        <w:t xml:space="preserve"> </w:t>
      </w:r>
      <w:r w:rsidRPr="00D24C9F">
        <w:rPr>
          <w:rFonts w:ascii="Times New Roman" w:hAnsi="Times New Roman" w:cs="Times New Roman"/>
          <w:kern w:val="0"/>
          <w:sz w:val="24"/>
          <w:szCs w:val="24"/>
          <w:lang w:val="en-US"/>
        </w:rPr>
        <w:t>Degree</w:t>
      </w:r>
      <w:r w:rsidRPr="00D24C9F">
        <w:rPr>
          <w:rFonts w:ascii="Times New Roman" w:hAnsi="Times New Roman" w:cs="Times New Roman"/>
          <w:kern w:val="0"/>
          <w:sz w:val="24"/>
          <w:szCs w:val="24"/>
        </w:rPr>
        <w:t>)</w:t>
      </w:r>
      <w:r w:rsidR="007D4583" w:rsidRPr="00D24C9F">
        <w:rPr>
          <w:rFonts w:ascii="Times New Roman" w:hAnsi="Times New Roman" w:cs="Times New Roman"/>
          <w:kern w:val="0"/>
          <w:sz w:val="24"/>
          <w:szCs w:val="24"/>
        </w:rPr>
        <w:t xml:space="preserve">. </w:t>
      </w:r>
    </w:p>
    <w:p w14:paraId="34CA6D27" w14:textId="37EB71C8" w:rsidR="007D4583" w:rsidRPr="00D24C9F" w:rsidRDefault="008666A1" w:rsidP="00D24C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eastAsiaTheme="majorEastAsia" w:hAnsi="Times New Roman" w:cs="Times New Roman"/>
          <w:b/>
          <w:bCs/>
          <w:color w:val="365F91" w:themeColor="accent1" w:themeShade="BF"/>
          <w:sz w:val="24"/>
          <w:szCs w:val="24"/>
        </w:rPr>
        <w:lastRenderedPageBreak/>
        <w:t>Спільність програми</w:t>
      </w:r>
      <w:r w:rsidR="00761A96" w:rsidRPr="00D24C9F">
        <w:rPr>
          <w:rFonts w:ascii="Times New Roman" w:eastAsiaTheme="majorEastAsia" w:hAnsi="Times New Roman" w:cs="Times New Roman"/>
          <w:b/>
          <w:bCs/>
          <w:color w:val="365F91" w:themeColor="accent1" w:themeShade="BF"/>
          <w:sz w:val="24"/>
          <w:szCs w:val="24"/>
        </w:rPr>
        <w:t xml:space="preserve"> (Jointness of a programme)</w:t>
      </w:r>
      <w:r w:rsidR="00761A96" w:rsidRPr="00D24C9F">
        <w:rPr>
          <w:rFonts w:ascii="Times New Roman" w:hAnsi="Times New Roman" w:cs="Times New Roman"/>
          <w:kern w:val="0"/>
          <w:sz w:val="24"/>
          <w:szCs w:val="24"/>
        </w:rPr>
        <w:t>: С</w:t>
      </w:r>
      <w:r w:rsidRPr="00D24C9F">
        <w:rPr>
          <w:rFonts w:ascii="Times New Roman" w:hAnsi="Times New Roman" w:cs="Times New Roman"/>
          <w:kern w:val="0"/>
          <w:sz w:val="24"/>
          <w:szCs w:val="24"/>
        </w:rPr>
        <w:t>тупінь,</w:t>
      </w:r>
      <w:r w:rsidR="00761A96" w:rsidRPr="00D24C9F">
        <w:rPr>
          <w:rFonts w:ascii="Times New Roman" w:hAnsi="Times New Roman" w:cs="Times New Roman"/>
          <w:kern w:val="0"/>
          <w:sz w:val="24"/>
          <w:szCs w:val="24"/>
        </w:rPr>
        <w:t xml:space="preserve"> що визначає</w:t>
      </w:r>
      <w:r w:rsidRPr="00D24C9F">
        <w:rPr>
          <w:rFonts w:ascii="Times New Roman" w:hAnsi="Times New Roman" w:cs="Times New Roman"/>
          <w:kern w:val="0"/>
          <w:sz w:val="24"/>
          <w:szCs w:val="24"/>
        </w:rPr>
        <w:t xml:space="preserve"> </w:t>
      </w:r>
      <w:r w:rsidR="00761A96" w:rsidRPr="00D24C9F">
        <w:rPr>
          <w:rFonts w:ascii="Times New Roman" w:hAnsi="Times New Roman" w:cs="Times New Roman"/>
          <w:kern w:val="0"/>
          <w:sz w:val="24"/>
          <w:szCs w:val="24"/>
        </w:rPr>
        <w:t>наскільки спільно</w:t>
      </w:r>
      <w:r w:rsidRPr="00D24C9F">
        <w:rPr>
          <w:rFonts w:ascii="Times New Roman" w:hAnsi="Times New Roman" w:cs="Times New Roman"/>
          <w:kern w:val="0"/>
          <w:sz w:val="24"/>
          <w:szCs w:val="24"/>
        </w:rPr>
        <w:t xml:space="preserve"> була розроблена </w:t>
      </w:r>
      <w:r w:rsidR="00761A96" w:rsidRPr="00D24C9F">
        <w:rPr>
          <w:rFonts w:ascii="Times New Roman" w:hAnsi="Times New Roman" w:cs="Times New Roman"/>
          <w:kern w:val="0"/>
          <w:sz w:val="24"/>
          <w:szCs w:val="24"/>
        </w:rPr>
        <w:t xml:space="preserve">програма </w:t>
      </w:r>
      <w:r w:rsidRPr="00D24C9F">
        <w:rPr>
          <w:rFonts w:ascii="Times New Roman" w:hAnsi="Times New Roman" w:cs="Times New Roman"/>
          <w:kern w:val="0"/>
          <w:sz w:val="24"/>
          <w:szCs w:val="24"/>
        </w:rPr>
        <w:t xml:space="preserve">всіма залученими партнерами, а також рівень інтеграції програми між </w:t>
      </w:r>
      <w:r w:rsidR="00EB531C" w:rsidRPr="00D24C9F">
        <w:rPr>
          <w:rFonts w:ascii="Times New Roman" w:hAnsi="Times New Roman" w:cs="Times New Roman"/>
          <w:kern w:val="0"/>
          <w:sz w:val="24"/>
          <w:szCs w:val="24"/>
        </w:rPr>
        <w:t>закладами</w:t>
      </w:r>
      <w:r w:rsidRPr="00D24C9F">
        <w:rPr>
          <w:rFonts w:ascii="Times New Roman" w:hAnsi="Times New Roman" w:cs="Times New Roman"/>
          <w:kern w:val="0"/>
          <w:sz w:val="24"/>
          <w:szCs w:val="24"/>
        </w:rPr>
        <w:t>-партнерами, включаючи навчальний план, забезпечення якості, маркетинг, відбір і прийом</w:t>
      </w:r>
      <w:r w:rsidR="00B37224" w:rsidRPr="00D24C9F">
        <w:rPr>
          <w:rFonts w:ascii="Times New Roman" w:hAnsi="Times New Roman" w:cs="Times New Roman"/>
          <w:kern w:val="0"/>
          <w:sz w:val="24"/>
          <w:szCs w:val="24"/>
        </w:rPr>
        <w:t xml:space="preserve"> студентів</w:t>
      </w:r>
      <w:r w:rsidRPr="00D24C9F">
        <w:rPr>
          <w:rFonts w:ascii="Times New Roman" w:hAnsi="Times New Roman" w:cs="Times New Roman"/>
          <w:kern w:val="0"/>
          <w:sz w:val="24"/>
          <w:szCs w:val="24"/>
        </w:rPr>
        <w:t>, управління, забезпечення якості, правила проведення іспитів і фінансування.</w:t>
      </w:r>
    </w:p>
    <w:p w14:paraId="676F71B7" w14:textId="522C8198" w:rsidR="007D4583" w:rsidRPr="00D24C9F" w:rsidRDefault="005A1E41" w:rsidP="00D24C9F">
      <w:pPr>
        <w:pStyle w:val="2"/>
        <w:spacing w:before="100" w:beforeAutospacing="1" w:after="100" w:afterAutospacing="1" w:line="240" w:lineRule="auto"/>
        <w:jc w:val="both"/>
        <w:rPr>
          <w:rFonts w:ascii="Times New Roman" w:eastAsiaTheme="minorHAnsi" w:hAnsi="Times New Roman" w:cs="Times New Roman"/>
          <w:color w:val="auto"/>
          <w:kern w:val="0"/>
          <w:sz w:val="24"/>
          <w:szCs w:val="24"/>
        </w:rPr>
      </w:pPr>
      <w:bookmarkStart w:id="4" w:name="_Toc188337392"/>
      <w:r w:rsidRPr="00D24C9F">
        <w:rPr>
          <w:rFonts w:ascii="Times New Roman" w:hAnsi="Times New Roman" w:cs="Times New Roman"/>
          <w:b/>
          <w:bCs/>
          <w:sz w:val="24"/>
          <w:szCs w:val="24"/>
        </w:rPr>
        <w:t>Спільний ступінь</w:t>
      </w:r>
      <w:bookmarkEnd w:id="4"/>
      <w:r w:rsidR="00761A96" w:rsidRPr="00D24C9F">
        <w:rPr>
          <w:rFonts w:ascii="Times New Roman" w:hAnsi="Times New Roman" w:cs="Times New Roman"/>
          <w:sz w:val="24"/>
          <w:szCs w:val="24"/>
        </w:rPr>
        <w:t xml:space="preserve"> </w:t>
      </w:r>
      <w:r w:rsidR="00761A96" w:rsidRPr="00D24C9F">
        <w:rPr>
          <w:rFonts w:ascii="Times New Roman" w:hAnsi="Times New Roman" w:cs="Times New Roman"/>
          <w:b/>
          <w:bCs/>
          <w:sz w:val="24"/>
          <w:szCs w:val="24"/>
        </w:rPr>
        <w:t>(Joint degree)</w:t>
      </w:r>
      <w:r w:rsidR="00761A96" w:rsidRPr="00D24C9F">
        <w:rPr>
          <w:rFonts w:ascii="Times New Roman" w:hAnsi="Times New Roman" w:cs="Times New Roman"/>
          <w:kern w:val="0"/>
          <w:sz w:val="24"/>
          <w:szCs w:val="24"/>
        </w:rPr>
        <w:t>:</w:t>
      </w:r>
      <w:r w:rsidR="008306B7" w:rsidRPr="00D24C9F">
        <w:rPr>
          <w:rFonts w:ascii="Times New Roman" w:hAnsi="Times New Roman" w:cs="Times New Roman"/>
          <w:kern w:val="0"/>
          <w:sz w:val="24"/>
          <w:szCs w:val="24"/>
        </w:rPr>
        <w:t xml:space="preserve"> </w:t>
      </w:r>
      <w:r w:rsidR="008306B7" w:rsidRPr="00D24C9F">
        <w:rPr>
          <w:rFonts w:ascii="Times New Roman" w:eastAsiaTheme="minorHAnsi" w:hAnsi="Times New Roman" w:cs="Times New Roman"/>
          <w:color w:val="auto"/>
          <w:kern w:val="0"/>
          <w:sz w:val="24"/>
          <w:szCs w:val="24"/>
        </w:rPr>
        <w:t>Є</w:t>
      </w:r>
      <w:r w:rsidRPr="00D24C9F">
        <w:rPr>
          <w:rFonts w:ascii="Times New Roman" w:eastAsiaTheme="minorHAnsi" w:hAnsi="Times New Roman" w:cs="Times New Roman"/>
          <w:color w:val="auto"/>
          <w:kern w:val="0"/>
          <w:sz w:val="24"/>
          <w:szCs w:val="24"/>
        </w:rPr>
        <w:t>диний документ</w:t>
      </w:r>
      <w:r w:rsidR="00BB6BA0" w:rsidRPr="00D24C9F">
        <w:rPr>
          <w:rFonts w:ascii="Times New Roman" w:eastAsiaTheme="minorHAnsi" w:hAnsi="Times New Roman" w:cs="Times New Roman"/>
          <w:color w:val="auto"/>
          <w:kern w:val="0"/>
          <w:sz w:val="24"/>
          <w:szCs w:val="24"/>
        </w:rPr>
        <w:t>/кваліфікація</w:t>
      </w:r>
      <w:r w:rsidRPr="00D24C9F">
        <w:rPr>
          <w:rFonts w:ascii="Times New Roman" w:eastAsiaTheme="minorHAnsi" w:hAnsi="Times New Roman" w:cs="Times New Roman"/>
          <w:color w:val="auto"/>
          <w:kern w:val="0"/>
          <w:sz w:val="24"/>
          <w:szCs w:val="24"/>
        </w:rPr>
        <w:t xml:space="preserve">, що присуджується закладами вищої освіти, які пропонують спільну програму, і визнається на національному рівні як </w:t>
      </w:r>
      <w:r w:rsidR="001233DF" w:rsidRPr="00D24C9F">
        <w:rPr>
          <w:rFonts w:ascii="Times New Roman" w:eastAsiaTheme="minorHAnsi" w:hAnsi="Times New Roman" w:cs="Times New Roman"/>
          <w:color w:val="auto"/>
          <w:kern w:val="0"/>
          <w:sz w:val="24"/>
          <w:szCs w:val="24"/>
        </w:rPr>
        <w:t>такий, що засвідчує успішне завершення</w:t>
      </w:r>
      <w:r w:rsidRPr="00D24C9F">
        <w:rPr>
          <w:rFonts w:ascii="Times New Roman" w:eastAsiaTheme="minorHAnsi" w:hAnsi="Times New Roman" w:cs="Times New Roman"/>
          <w:color w:val="auto"/>
          <w:kern w:val="0"/>
          <w:sz w:val="24"/>
          <w:szCs w:val="24"/>
        </w:rPr>
        <w:t xml:space="preserve"> спільної програми</w:t>
      </w:r>
      <w:r w:rsidR="00534EC5" w:rsidRPr="00D24C9F">
        <w:rPr>
          <w:rFonts w:ascii="Times New Roman" w:eastAsiaTheme="minorHAnsi" w:hAnsi="Times New Roman" w:cs="Times New Roman"/>
          <w:color w:val="auto"/>
          <w:kern w:val="0"/>
          <w:sz w:val="24"/>
          <w:szCs w:val="24"/>
        </w:rPr>
        <w:t>. В</w:t>
      </w:r>
      <w:r w:rsidRPr="00D24C9F">
        <w:rPr>
          <w:rFonts w:ascii="Times New Roman" w:eastAsiaTheme="minorHAnsi" w:hAnsi="Times New Roman" w:cs="Times New Roman"/>
          <w:color w:val="auto"/>
          <w:kern w:val="0"/>
          <w:sz w:val="24"/>
          <w:szCs w:val="24"/>
        </w:rPr>
        <w:t>ажливо зазначити, що ступінь</w:t>
      </w:r>
      <w:r w:rsidR="00525498" w:rsidRPr="00D24C9F">
        <w:rPr>
          <w:rFonts w:ascii="Times New Roman" w:eastAsiaTheme="minorHAnsi" w:hAnsi="Times New Roman" w:cs="Times New Roman"/>
          <w:color w:val="auto"/>
          <w:kern w:val="0"/>
          <w:sz w:val="24"/>
          <w:szCs w:val="24"/>
        </w:rPr>
        <w:t xml:space="preserve"> –</w:t>
      </w:r>
      <w:r w:rsidRPr="00D24C9F">
        <w:rPr>
          <w:rFonts w:ascii="Times New Roman" w:eastAsiaTheme="minorHAnsi" w:hAnsi="Times New Roman" w:cs="Times New Roman"/>
          <w:color w:val="auto"/>
          <w:kern w:val="0"/>
          <w:sz w:val="24"/>
          <w:szCs w:val="24"/>
        </w:rPr>
        <w:t xml:space="preserve"> це </w:t>
      </w:r>
      <w:r w:rsidR="001233DF" w:rsidRPr="00D24C9F">
        <w:rPr>
          <w:rFonts w:ascii="Times New Roman" w:eastAsiaTheme="minorHAnsi" w:hAnsi="Times New Roman" w:cs="Times New Roman"/>
          <w:color w:val="auto"/>
          <w:kern w:val="0"/>
          <w:sz w:val="24"/>
          <w:szCs w:val="24"/>
        </w:rPr>
        <w:t>кваліфікація</w:t>
      </w:r>
      <w:r w:rsidRPr="00D24C9F">
        <w:rPr>
          <w:rFonts w:ascii="Times New Roman" w:eastAsiaTheme="minorHAnsi" w:hAnsi="Times New Roman" w:cs="Times New Roman"/>
          <w:color w:val="auto"/>
          <w:kern w:val="0"/>
          <w:sz w:val="24"/>
          <w:szCs w:val="24"/>
        </w:rPr>
        <w:t xml:space="preserve">, а </w:t>
      </w:r>
      <w:r w:rsidR="00534EC5" w:rsidRPr="00D24C9F">
        <w:rPr>
          <w:rFonts w:ascii="Times New Roman" w:eastAsiaTheme="minorHAnsi" w:hAnsi="Times New Roman" w:cs="Times New Roman"/>
          <w:color w:val="auto"/>
          <w:kern w:val="0"/>
          <w:sz w:val="24"/>
          <w:szCs w:val="24"/>
        </w:rPr>
        <w:t>диплом – це</w:t>
      </w:r>
      <w:r w:rsidRPr="00D24C9F">
        <w:rPr>
          <w:rFonts w:ascii="Times New Roman" w:eastAsiaTheme="minorHAnsi" w:hAnsi="Times New Roman" w:cs="Times New Roman"/>
          <w:color w:val="auto"/>
          <w:kern w:val="0"/>
          <w:sz w:val="24"/>
          <w:szCs w:val="24"/>
        </w:rPr>
        <w:t xml:space="preserve"> документ, що підтверджує </w:t>
      </w:r>
      <w:r w:rsidR="001233DF" w:rsidRPr="00D24C9F">
        <w:rPr>
          <w:rFonts w:ascii="Times New Roman" w:eastAsiaTheme="minorHAnsi" w:hAnsi="Times New Roman" w:cs="Times New Roman"/>
          <w:color w:val="auto"/>
          <w:kern w:val="0"/>
          <w:sz w:val="24"/>
          <w:szCs w:val="24"/>
        </w:rPr>
        <w:t xml:space="preserve">її </w:t>
      </w:r>
      <w:r w:rsidRPr="00D24C9F">
        <w:rPr>
          <w:rFonts w:ascii="Times New Roman" w:eastAsiaTheme="minorHAnsi" w:hAnsi="Times New Roman" w:cs="Times New Roman"/>
          <w:color w:val="auto"/>
          <w:kern w:val="0"/>
          <w:sz w:val="24"/>
          <w:szCs w:val="24"/>
        </w:rPr>
        <w:t xml:space="preserve">здобуття. Можна </w:t>
      </w:r>
      <w:r w:rsidR="00B37224" w:rsidRPr="00D24C9F">
        <w:rPr>
          <w:rFonts w:ascii="Times New Roman" w:eastAsiaTheme="minorHAnsi" w:hAnsi="Times New Roman" w:cs="Times New Roman"/>
          <w:color w:val="auto"/>
          <w:kern w:val="0"/>
          <w:sz w:val="24"/>
          <w:szCs w:val="24"/>
        </w:rPr>
        <w:t>отримати</w:t>
      </w:r>
      <w:r w:rsidRPr="00D24C9F">
        <w:rPr>
          <w:rFonts w:ascii="Times New Roman" w:eastAsiaTheme="minorHAnsi" w:hAnsi="Times New Roman" w:cs="Times New Roman"/>
          <w:color w:val="auto"/>
          <w:kern w:val="0"/>
          <w:sz w:val="24"/>
          <w:szCs w:val="24"/>
        </w:rPr>
        <w:t xml:space="preserve"> спільн</w:t>
      </w:r>
      <w:r w:rsidR="00B37224" w:rsidRPr="00D24C9F">
        <w:rPr>
          <w:rFonts w:ascii="Times New Roman" w:eastAsiaTheme="minorHAnsi" w:hAnsi="Times New Roman" w:cs="Times New Roman"/>
          <w:color w:val="auto"/>
          <w:kern w:val="0"/>
          <w:sz w:val="24"/>
          <w:szCs w:val="24"/>
        </w:rPr>
        <w:t>ий</w:t>
      </w:r>
      <w:r w:rsidRPr="00D24C9F">
        <w:rPr>
          <w:rFonts w:ascii="Times New Roman" w:eastAsiaTheme="minorHAnsi" w:hAnsi="Times New Roman" w:cs="Times New Roman"/>
          <w:color w:val="auto"/>
          <w:kern w:val="0"/>
          <w:sz w:val="24"/>
          <w:szCs w:val="24"/>
        </w:rPr>
        <w:t xml:space="preserve"> ступ</w:t>
      </w:r>
      <w:r w:rsidR="00B37224" w:rsidRPr="00D24C9F">
        <w:rPr>
          <w:rFonts w:ascii="Times New Roman" w:eastAsiaTheme="minorHAnsi" w:hAnsi="Times New Roman" w:cs="Times New Roman"/>
          <w:color w:val="auto"/>
          <w:kern w:val="0"/>
          <w:sz w:val="24"/>
          <w:szCs w:val="24"/>
        </w:rPr>
        <w:t>інь</w:t>
      </w:r>
      <w:r w:rsidRPr="00D24C9F">
        <w:rPr>
          <w:rFonts w:ascii="Times New Roman" w:eastAsiaTheme="minorHAnsi" w:hAnsi="Times New Roman" w:cs="Times New Roman"/>
          <w:color w:val="auto"/>
          <w:kern w:val="0"/>
          <w:sz w:val="24"/>
          <w:szCs w:val="24"/>
        </w:rPr>
        <w:t>, про що свідчит</w:t>
      </w:r>
      <w:r w:rsidR="008306B7" w:rsidRPr="00D24C9F">
        <w:rPr>
          <w:rFonts w:ascii="Times New Roman" w:eastAsiaTheme="minorHAnsi" w:hAnsi="Times New Roman" w:cs="Times New Roman"/>
          <w:color w:val="auto"/>
          <w:kern w:val="0"/>
          <w:sz w:val="24"/>
          <w:szCs w:val="24"/>
        </w:rPr>
        <w:t>име</w:t>
      </w:r>
      <w:r w:rsidRPr="00D24C9F">
        <w:rPr>
          <w:rFonts w:ascii="Times New Roman" w:eastAsiaTheme="minorHAnsi" w:hAnsi="Times New Roman" w:cs="Times New Roman"/>
          <w:color w:val="auto"/>
          <w:kern w:val="0"/>
          <w:sz w:val="24"/>
          <w:szCs w:val="24"/>
        </w:rPr>
        <w:t xml:space="preserve"> видача окремих документів (дипломів).</w:t>
      </w:r>
    </w:p>
    <w:p w14:paraId="2E2CC5ED" w14:textId="22350656" w:rsidR="007D4583" w:rsidRPr="00D24C9F" w:rsidRDefault="005A1E41" w:rsidP="00D24C9F">
      <w:pPr>
        <w:pStyle w:val="2"/>
        <w:spacing w:before="100" w:beforeAutospacing="1" w:after="100" w:afterAutospacing="1" w:line="240" w:lineRule="auto"/>
        <w:jc w:val="both"/>
        <w:rPr>
          <w:rFonts w:ascii="Times New Roman" w:eastAsiaTheme="minorHAnsi" w:hAnsi="Times New Roman" w:cs="Times New Roman"/>
          <w:color w:val="auto"/>
          <w:kern w:val="0"/>
          <w:sz w:val="24"/>
          <w:szCs w:val="24"/>
        </w:rPr>
      </w:pPr>
      <w:bookmarkStart w:id="5" w:name="_Toc188337393"/>
      <w:r w:rsidRPr="00D24C9F">
        <w:rPr>
          <w:rFonts w:ascii="Times New Roman" w:hAnsi="Times New Roman" w:cs="Times New Roman"/>
          <w:b/>
          <w:bCs/>
          <w:sz w:val="24"/>
          <w:szCs w:val="24"/>
        </w:rPr>
        <w:t>Подвійний / багато</w:t>
      </w:r>
      <w:r w:rsidR="00525498" w:rsidRPr="00D24C9F">
        <w:rPr>
          <w:rFonts w:ascii="Times New Roman" w:hAnsi="Times New Roman" w:cs="Times New Roman"/>
          <w:b/>
          <w:bCs/>
          <w:sz w:val="24"/>
          <w:szCs w:val="24"/>
        </w:rPr>
        <w:t>сторонній</w:t>
      </w:r>
      <w:r w:rsidRPr="00D24C9F">
        <w:rPr>
          <w:rFonts w:ascii="Times New Roman" w:hAnsi="Times New Roman" w:cs="Times New Roman"/>
          <w:b/>
          <w:bCs/>
          <w:sz w:val="24"/>
          <w:szCs w:val="24"/>
        </w:rPr>
        <w:t xml:space="preserve"> ступінь</w:t>
      </w:r>
      <w:bookmarkEnd w:id="5"/>
      <w:r w:rsidR="00D3688A" w:rsidRPr="00D24C9F">
        <w:rPr>
          <w:rFonts w:ascii="Times New Roman" w:hAnsi="Times New Roman" w:cs="Times New Roman"/>
          <w:b/>
          <w:bCs/>
          <w:sz w:val="24"/>
          <w:szCs w:val="24"/>
        </w:rPr>
        <w:t xml:space="preserve"> (Double/</w:t>
      </w:r>
      <w:r w:rsidR="00D3688A" w:rsidRPr="00D24C9F">
        <w:rPr>
          <w:rFonts w:ascii="Times New Roman" w:hAnsi="Times New Roman" w:cs="Times New Roman"/>
          <w:b/>
          <w:bCs/>
          <w:kern w:val="0"/>
          <w:sz w:val="24"/>
          <w:szCs w:val="24"/>
          <w:lang w:val="en-US"/>
        </w:rPr>
        <w:t>Multiple</w:t>
      </w:r>
      <w:r w:rsidR="00D3688A" w:rsidRPr="00D24C9F">
        <w:rPr>
          <w:rFonts w:ascii="Times New Roman" w:hAnsi="Times New Roman" w:cs="Times New Roman"/>
          <w:b/>
          <w:bCs/>
          <w:sz w:val="24"/>
          <w:szCs w:val="24"/>
        </w:rPr>
        <w:t xml:space="preserve"> degree)</w:t>
      </w:r>
      <w:r w:rsidR="00D3688A" w:rsidRPr="00D24C9F">
        <w:rPr>
          <w:rFonts w:ascii="Times New Roman" w:hAnsi="Times New Roman" w:cs="Times New Roman"/>
          <w:kern w:val="0"/>
          <w:sz w:val="24"/>
          <w:szCs w:val="24"/>
        </w:rPr>
        <w:t xml:space="preserve">: </w:t>
      </w:r>
      <w:r w:rsidR="00D3688A" w:rsidRPr="00D24C9F">
        <w:rPr>
          <w:rFonts w:ascii="Times New Roman" w:eastAsiaTheme="minorHAnsi" w:hAnsi="Times New Roman" w:cs="Times New Roman"/>
          <w:color w:val="auto"/>
          <w:kern w:val="0"/>
          <w:sz w:val="24"/>
          <w:szCs w:val="24"/>
        </w:rPr>
        <w:t>О</w:t>
      </w:r>
      <w:r w:rsidRPr="00D24C9F">
        <w:rPr>
          <w:rFonts w:ascii="Times New Roman" w:eastAsiaTheme="minorHAnsi" w:hAnsi="Times New Roman" w:cs="Times New Roman"/>
          <w:color w:val="auto"/>
          <w:kern w:val="0"/>
          <w:sz w:val="24"/>
          <w:szCs w:val="24"/>
        </w:rPr>
        <w:t>кремі ступені, що присуджуються закладами</w:t>
      </w:r>
      <w:r w:rsidR="00024B66" w:rsidRPr="00D24C9F">
        <w:rPr>
          <w:rFonts w:ascii="Times New Roman" w:eastAsiaTheme="minorHAnsi" w:hAnsi="Times New Roman" w:cs="Times New Roman"/>
          <w:color w:val="auto"/>
          <w:kern w:val="0"/>
          <w:sz w:val="24"/>
          <w:szCs w:val="24"/>
        </w:rPr>
        <w:t xml:space="preserve"> вищої освіти</w:t>
      </w:r>
      <w:r w:rsidRPr="00D24C9F">
        <w:rPr>
          <w:rFonts w:ascii="Times New Roman" w:eastAsiaTheme="minorHAnsi" w:hAnsi="Times New Roman" w:cs="Times New Roman"/>
          <w:color w:val="auto"/>
          <w:kern w:val="0"/>
          <w:sz w:val="24"/>
          <w:szCs w:val="24"/>
        </w:rPr>
        <w:t>, які пропонують спільну програму, і засвідчують успішне завершення цієї програми (якщо два ступені присуджуються двома</w:t>
      </w:r>
      <w:r w:rsidR="00D1699B" w:rsidRPr="00D24C9F">
        <w:rPr>
          <w:rFonts w:ascii="Times New Roman" w:eastAsiaTheme="minorHAnsi" w:hAnsi="Times New Roman" w:cs="Times New Roman"/>
          <w:color w:val="auto"/>
          <w:kern w:val="0"/>
          <w:sz w:val="24"/>
          <w:szCs w:val="24"/>
        </w:rPr>
        <w:t xml:space="preserve"> закладами, це подвійний ступінь)</w:t>
      </w:r>
      <w:r w:rsidRPr="00D24C9F">
        <w:rPr>
          <w:rFonts w:ascii="Times New Roman" w:eastAsiaTheme="minorHAnsi" w:hAnsi="Times New Roman" w:cs="Times New Roman"/>
          <w:color w:val="auto"/>
          <w:kern w:val="0"/>
          <w:sz w:val="24"/>
          <w:szCs w:val="24"/>
        </w:rPr>
        <w:t>.</w:t>
      </w:r>
    </w:p>
    <w:p w14:paraId="093D0E2E" w14:textId="3F290B49" w:rsidR="007D4583" w:rsidRPr="00D24C9F" w:rsidRDefault="005A1E41" w:rsidP="00D24C9F">
      <w:pPr>
        <w:pStyle w:val="2"/>
        <w:spacing w:before="100" w:beforeAutospacing="1" w:after="100" w:afterAutospacing="1" w:line="240" w:lineRule="auto"/>
        <w:jc w:val="both"/>
        <w:rPr>
          <w:rFonts w:ascii="Times New Roman" w:eastAsiaTheme="minorHAnsi" w:hAnsi="Times New Roman" w:cs="Times New Roman"/>
          <w:color w:val="auto"/>
          <w:kern w:val="0"/>
          <w:sz w:val="24"/>
          <w:szCs w:val="24"/>
        </w:rPr>
      </w:pPr>
      <w:bookmarkStart w:id="6" w:name="_Toc188337395"/>
      <w:r w:rsidRPr="00D24C9F">
        <w:rPr>
          <w:rFonts w:ascii="Times New Roman" w:hAnsi="Times New Roman" w:cs="Times New Roman"/>
          <w:b/>
          <w:bCs/>
          <w:sz w:val="24"/>
          <w:szCs w:val="24"/>
        </w:rPr>
        <w:t>Спільний диплом</w:t>
      </w:r>
      <w:bookmarkEnd w:id="6"/>
      <w:r w:rsidR="00D3688A" w:rsidRPr="00D24C9F">
        <w:rPr>
          <w:rFonts w:ascii="Times New Roman" w:hAnsi="Times New Roman" w:cs="Times New Roman"/>
          <w:b/>
          <w:bCs/>
          <w:sz w:val="24"/>
          <w:szCs w:val="24"/>
        </w:rPr>
        <w:t xml:space="preserve"> </w:t>
      </w:r>
      <w:r w:rsidR="00702E4C" w:rsidRPr="00D24C9F">
        <w:rPr>
          <w:rFonts w:ascii="Times New Roman" w:hAnsi="Times New Roman" w:cs="Times New Roman"/>
          <w:b/>
          <w:bCs/>
          <w:sz w:val="24"/>
          <w:szCs w:val="24"/>
        </w:rPr>
        <w:t>(Joint d</w:t>
      </w:r>
      <w:r w:rsidR="00702E4C" w:rsidRPr="00D24C9F">
        <w:rPr>
          <w:rFonts w:ascii="Times New Roman" w:hAnsi="Times New Roman" w:cs="Times New Roman"/>
          <w:b/>
          <w:bCs/>
          <w:sz w:val="24"/>
          <w:szCs w:val="24"/>
          <w:lang w:val="en-US"/>
        </w:rPr>
        <w:t>iploma</w:t>
      </w:r>
      <w:r w:rsidR="00702E4C" w:rsidRPr="00D24C9F">
        <w:rPr>
          <w:rFonts w:ascii="Times New Roman" w:hAnsi="Times New Roman" w:cs="Times New Roman"/>
          <w:b/>
          <w:bCs/>
          <w:sz w:val="24"/>
          <w:szCs w:val="24"/>
        </w:rPr>
        <w:t>)</w:t>
      </w:r>
      <w:r w:rsidR="00702E4C" w:rsidRPr="00D24C9F">
        <w:rPr>
          <w:rFonts w:ascii="Times New Roman" w:hAnsi="Times New Roman" w:cs="Times New Roman"/>
          <w:kern w:val="0"/>
          <w:sz w:val="24"/>
          <w:szCs w:val="24"/>
        </w:rPr>
        <w:t xml:space="preserve">: </w:t>
      </w:r>
      <w:r w:rsidR="00702E4C" w:rsidRPr="00D24C9F">
        <w:rPr>
          <w:rFonts w:ascii="Times New Roman" w:eastAsiaTheme="minorHAnsi" w:hAnsi="Times New Roman" w:cs="Times New Roman"/>
          <w:color w:val="auto"/>
          <w:kern w:val="0"/>
          <w:sz w:val="24"/>
          <w:szCs w:val="24"/>
        </w:rPr>
        <w:t>О</w:t>
      </w:r>
      <w:r w:rsidR="00FD5D9F" w:rsidRPr="00D24C9F">
        <w:rPr>
          <w:rFonts w:ascii="Times New Roman" w:eastAsiaTheme="minorHAnsi" w:hAnsi="Times New Roman" w:cs="Times New Roman"/>
          <w:color w:val="auto"/>
          <w:kern w:val="0"/>
          <w:sz w:val="24"/>
          <w:szCs w:val="24"/>
        </w:rPr>
        <w:t xml:space="preserve">дин </w:t>
      </w:r>
      <w:r w:rsidRPr="00D24C9F">
        <w:rPr>
          <w:rFonts w:ascii="Times New Roman" w:eastAsiaTheme="minorHAnsi" w:hAnsi="Times New Roman" w:cs="Times New Roman"/>
          <w:color w:val="auto"/>
          <w:kern w:val="0"/>
          <w:sz w:val="24"/>
          <w:szCs w:val="24"/>
        </w:rPr>
        <w:t xml:space="preserve">документ, виданий після успішного завершення </w:t>
      </w:r>
      <w:r w:rsidR="00FD2B2C" w:rsidRPr="00D24C9F">
        <w:rPr>
          <w:rFonts w:ascii="Times New Roman" w:eastAsiaTheme="minorHAnsi" w:hAnsi="Times New Roman" w:cs="Times New Roman"/>
          <w:color w:val="auto"/>
          <w:kern w:val="0"/>
          <w:sz w:val="24"/>
          <w:szCs w:val="24"/>
        </w:rPr>
        <w:t xml:space="preserve">спільної </w:t>
      </w:r>
      <w:r w:rsidRPr="00D24C9F">
        <w:rPr>
          <w:rFonts w:ascii="Times New Roman" w:eastAsiaTheme="minorHAnsi" w:hAnsi="Times New Roman" w:cs="Times New Roman"/>
          <w:color w:val="auto"/>
          <w:kern w:val="0"/>
          <w:sz w:val="24"/>
          <w:szCs w:val="24"/>
        </w:rPr>
        <w:t>програми, який засвідчує, що власник диплома здобув відповідний ступінь.</w:t>
      </w:r>
    </w:p>
    <w:p w14:paraId="345E0B00" w14:textId="072789C6" w:rsidR="007D4583" w:rsidRPr="00D24C9F" w:rsidRDefault="005A1E41" w:rsidP="00D24C9F">
      <w:pPr>
        <w:pStyle w:val="2"/>
        <w:spacing w:before="100" w:beforeAutospacing="1" w:after="100" w:afterAutospacing="1" w:line="240" w:lineRule="auto"/>
        <w:jc w:val="both"/>
        <w:rPr>
          <w:rFonts w:ascii="Times New Roman" w:eastAsiaTheme="minorHAnsi" w:hAnsi="Times New Roman" w:cs="Times New Roman"/>
          <w:color w:val="auto"/>
          <w:kern w:val="0"/>
          <w:sz w:val="24"/>
          <w:szCs w:val="24"/>
        </w:rPr>
      </w:pPr>
      <w:bookmarkStart w:id="7" w:name="_Toc188337396"/>
      <w:r w:rsidRPr="00D24C9F">
        <w:rPr>
          <w:rFonts w:ascii="Times New Roman" w:hAnsi="Times New Roman" w:cs="Times New Roman"/>
          <w:b/>
          <w:bCs/>
          <w:sz w:val="24"/>
          <w:szCs w:val="24"/>
        </w:rPr>
        <w:t>Спільна кваліфікація</w:t>
      </w:r>
      <w:bookmarkEnd w:id="7"/>
      <w:r w:rsidR="00702E4C" w:rsidRPr="00D24C9F">
        <w:rPr>
          <w:rFonts w:ascii="Times New Roman" w:hAnsi="Times New Roman" w:cs="Times New Roman"/>
          <w:sz w:val="24"/>
          <w:szCs w:val="24"/>
        </w:rPr>
        <w:t xml:space="preserve"> </w:t>
      </w:r>
      <w:r w:rsidR="00702E4C" w:rsidRPr="00D24C9F">
        <w:rPr>
          <w:rFonts w:ascii="Times New Roman" w:hAnsi="Times New Roman" w:cs="Times New Roman"/>
          <w:b/>
          <w:bCs/>
          <w:sz w:val="24"/>
          <w:szCs w:val="24"/>
        </w:rPr>
        <w:t xml:space="preserve">(Joint </w:t>
      </w:r>
      <w:r w:rsidR="00702E4C" w:rsidRPr="00D24C9F">
        <w:rPr>
          <w:rFonts w:ascii="Times New Roman" w:hAnsi="Times New Roman" w:cs="Times New Roman"/>
          <w:b/>
          <w:bCs/>
          <w:sz w:val="24"/>
          <w:szCs w:val="24"/>
          <w:lang w:val="en-US"/>
        </w:rPr>
        <w:t>qualification</w:t>
      </w:r>
      <w:r w:rsidR="00702E4C" w:rsidRPr="00D24C9F">
        <w:rPr>
          <w:rFonts w:ascii="Times New Roman" w:hAnsi="Times New Roman" w:cs="Times New Roman"/>
          <w:b/>
          <w:bCs/>
          <w:sz w:val="24"/>
          <w:szCs w:val="24"/>
        </w:rPr>
        <w:t>)</w:t>
      </w:r>
      <w:r w:rsidR="00702E4C" w:rsidRPr="00D24C9F">
        <w:rPr>
          <w:rFonts w:ascii="Times New Roman" w:hAnsi="Times New Roman" w:cs="Times New Roman"/>
          <w:kern w:val="0"/>
          <w:sz w:val="24"/>
          <w:szCs w:val="24"/>
        </w:rPr>
        <w:t xml:space="preserve">: </w:t>
      </w:r>
      <w:r w:rsidR="00702E4C" w:rsidRPr="00D24C9F">
        <w:rPr>
          <w:rFonts w:ascii="Times New Roman" w:eastAsiaTheme="minorHAnsi" w:hAnsi="Times New Roman" w:cs="Times New Roman"/>
          <w:color w:val="auto"/>
          <w:kern w:val="0"/>
          <w:sz w:val="24"/>
          <w:szCs w:val="24"/>
        </w:rPr>
        <w:t>О</w:t>
      </w:r>
      <w:r w:rsidRPr="00D24C9F">
        <w:rPr>
          <w:rFonts w:ascii="Times New Roman" w:eastAsiaTheme="minorHAnsi" w:hAnsi="Times New Roman" w:cs="Times New Roman"/>
          <w:color w:val="auto"/>
          <w:kern w:val="0"/>
          <w:sz w:val="24"/>
          <w:szCs w:val="24"/>
        </w:rPr>
        <w:t>дн</w:t>
      </w:r>
      <w:r w:rsidR="00702E4C" w:rsidRPr="00D24C9F">
        <w:rPr>
          <w:rFonts w:ascii="Times New Roman" w:eastAsiaTheme="minorHAnsi" w:hAnsi="Times New Roman" w:cs="Times New Roman"/>
          <w:color w:val="auto"/>
          <w:kern w:val="0"/>
          <w:sz w:val="24"/>
          <w:szCs w:val="24"/>
        </w:rPr>
        <w:t>а</w:t>
      </w:r>
      <w:r w:rsidR="00DD313D" w:rsidRPr="00D24C9F">
        <w:rPr>
          <w:rFonts w:ascii="Times New Roman" w:eastAsiaTheme="minorHAnsi" w:hAnsi="Times New Roman" w:cs="Times New Roman"/>
          <w:color w:val="auto"/>
          <w:kern w:val="0"/>
          <w:sz w:val="24"/>
          <w:szCs w:val="24"/>
        </w:rPr>
        <w:t>,</w:t>
      </w:r>
      <w:r w:rsidRPr="00D24C9F">
        <w:rPr>
          <w:rFonts w:ascii="Times New Roman" w:eastAsiaTheme="minorHAnsi" w:hAnsi="Times New Roman" w:cs="Times New Roman"/>
          <w:color w:val="auto"/>
          <w:kern w:val="0"/>
          <w:sz w:val="24"/>
          <w:szCs w:val="24"/>
        </w:rPr>
        <w:t xml:space="preserve"> єдин</w:t>
      </w:r>
      <w:r w:rsidR="00702E4C" w:rsidRPr="00D24C9F">
        <w:rPr>
          <w:rFonts w:ascii="Times New Roman" w:eastAsiaTheme="minorHAnsi" w:hAnsi="Times New Roman" w:cs="Times New Roman"/>
          <w:color w:val="auto"/>
          <w:kern w:val="0"/>
          <w:sz w:val="24"/>
          <w:szCs w:val="24"/>
        </w:rPr>
        <w:t>а</w:t>
      </w:r>
      <w:r w:rsidRPr="00D24C9F">
        <w:rPr>
          <w:rFonts w:ascii="Times New Roman" w:eastAsiaTheme="minorHAnsi" w:hAnsi="Times New Roman" w:cs="Times New Roman"/>
          <w:color w:val="auto"/>
          <w:kern w:val="0"/>
          <w:sz w:val="24"/>
          <w:szCs w:val="24"/>
        </w:rPr>
        <w:t xml:space="preserve"> кваліфікацію, до </w:t>
      </w:r>
      <w:r w:rsidR="00F7272D" w:rsidRPr="00D24C9F">
        <w:rPr>
          <w:rFonts w:ascii="Times New Roman" w:eastAsiaTheme="minorHAnsi" w:hAnsi="Times New Roman" w:cs="Times New Roman"/>
          <w:color w:val="auto"/>
          <w:kern w:val="0"/>
          <w:sz w:val="24"/>
          <w:szCs w:val="24"/>
        </w:rPr>
        <w:t xml:space="preserve">набуття </w:t>
      </w:r>
      <w:r w:rsidRPr="00D24C9F">
        <w:rPr>
          <w:rFonts w:ascii="Times New Roman" w:eastAsiaTheme="minorHAnsi" w:hAnsi="Times New Roman" w:cs="Times New Roman"/>
          <w:color w:val="auto"/>
          <w:kern w:val="0"/>
          <w:sz w:val="24"/>
          <w:szCs w:val="24"/>
        </w:rPr>
        <w:t>якої може призв</w:t>
      </w:r>
      <w:r w:rsidR="00DD313D" w:rsidRPr="00D24C9F">
        <w:rPr>
          <w:rFonts w:ascii="Times New Roman" w:eastAsiaTheme="minorHAnsi" w:hAnsi="Times New Roman" w:cs="Times New Roman"/>
          <w:color w:val="auto"/>
          <w:kern w:val="0"/>
          <w:sz w:val="24"/>
          <w:szCs w:val="24"/>
        </w:rPr>
        <w:t>одити</w:t>
      </w:r>
      <w:r w:rsidRPr="00D24C9F">
        <w:rPr>
          <w:rFonts w:ascii="Times New Roman" w:eastAsiaTheme="minorHAnsi" w:hAnsi="Times New Roman" w:cs="Times New Roman"/>
          <w:color w:val="auto"/>
          <w:kern w:val="0"/>
          <w:sz w:val="24"/>
          <w:szCs w:val="24"/>
        </w:rPr>
        <w:t xml:space="preserve"> спільна програма. У цьому випадку </w:t>
      </w:r>
      <w:r w:rsidR="00EE2B57" w:rsidRPr="00D24C9F">
        <w:rPr>
          <w:rFonts w:ascii="Times New Roman" w:eastAsiaTheme="minorHAnsi" w:hAnsi="Times New Roman" w:cs="Times New Roman"/>
          <w:color w:val="auto"/>
          <w:kern w:val="0"/>
          <w:sz w:val="24"/>
          <w:szCs w:val="24"/>
        </w:rPr>
        <w:t>заклади вищої освіти</w:t>
      </w:r>
      <w:r w:rsidRPr="00D24C9F">
        <w:rPr>
          <w:rFonts w:ascii="Times New Roman" w:eastAsiaTheme="minorHAnsi" w:hAnsi="Times New Roman" w:cs="Times New Roman"/>
          <w:color w:val="auto"/>
          <w:kern w:val="0"/>
          <w:sz w:val="24"/>
          <w:szCs w:val="24"/>
        </w:rPr>
        <w:t>, що присуджують ступені, видають спільний/подвійний/</w:t>
      </w:r>
      <w:r w:rsidR="00DD313D" w:rsidRPr="00D24C9F">
        <w:rPr>
          <w:rFonts w:ascii="Times New Roman" w:eastAsiaTheme="minorHAnsi" w:hAnsi="Times New Roman" w:cs="Times New Roman"/>
          <w:color w:val="auto"/>
          <w:kern w:val="0"/>
          <w:sz w:val="24"/>
          <w:szCs w:val="24"/>
        </w:rPr>
        <w:t>багатосторонній</w:t>
      </w:r>
      <w:r w:rsidRPr="00D24C9F">
        <w:rPr>
          <w:rFonts w:ascii="Times New Roman" w:eastAsiaTheme="minorHAnsi" w:hAnsi="Times New Roman" w:cs="Times New Roman"/>
          <w:color w:val="auto"/>
          <w:kern w:val="0"/>
          <w:sz w:val="24"/>
          <w:szCs w:val="24"/>
        </w:rPr>
        <w:t xml:space="preserve"> ступінь, що веде до </w:t>
      </w:r>
      <w:r w:rsidR="00DD313D" w:rsidRPr="00D24C9F">
        <w:rPr>
          <w:rFonts w:ascii="Times New Roman" w:eastAsiaTheme="minorHAnsi" w:hAnsi="Times New Roman" w:cs="Times New Roman"/>
          <w:color w:val="auto"/>
          <w:kern w:val="0"/>
          <w:sz w:val="24"/>
          <w:szCs w:val="24"/>
        </w:rPr>
        <w:t>тієї самої</w:t>
      </w:r>
      <w:r w:rsidRPr="00D24C9F">
        <w:rPr>
          <w:rFonts w:ascii="Times New Roman" w:eastAsiaTheme="minorHAnsi" w:hAnsi="Times New Roman" w:cs="Times New Roman"/>
          <w:color w:val="auto"/>
          <w:kern w:val="0"/>
          <w:sz w:val="24"/>
          <w:szCs w:val="24"/>
        </w:rPr>
        <w:t xml:space="preserve"> кваліфікації (наприклад, бакалавр мистецтв, бакалавр наук, магістр мистецтв, магістр наук, магістр права, доктор філософії).</w:t>
      </w:r>
    </w:p>
    <w:p w14:paraId="1557608F" w14:textId="4B90688C" w:rsidR="007D4583" w:rsidRDefault="005A1E41" w:rsidP="004B5D8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D24C9F">
        <w:rPr>
          <w:rFonts w:ascii="Times New Roman" w:hAnsi="Times New Roman" w:cs="Times New Roman"/>
          <w:kern w:val="0"/>
          <w:sz w:val="24"/>
          <w:szCs w:val="24"/>
        </w:rPr>
        <w:t xml:space="preserve">Зверніть увагу, що спільна програма </w:t>
      </w:r>
      <w:r w:rsidR="00407B82" w:rsidRPr="00D24C9F">
        <w:rPr>
          <w:rFonts w:ascii="Times New Roman" w:hAnsi="Times New Roman" w:cs="Times New Roman"/>
          <w:kern w:val="0"/>
          <w:sz w:val="24"/>
          <w:szCs w:val="24"/>
        </w:rPr>
        <w:t xml:space="preserve">в ЄПВО </w:t>
      </w:r>
      <w:r w:rsidRPr="00D24C9F">
        <w:rPr>
          <w:rFonts w:ascii="Times New Roman" w:hAnsi="Times New Roman" w:cs="Times New Roman"/>
          <w:kern w:val="0"/>
          <w:sz w:val="24"/>
          <w:szCs w:val="24"/>
        </w:rPr>
        <w:t>також може призв</w:t>
      </w:r>
      <w:r w:rsidR="00553F65" w:rsidRPr="00D24C9F">
        <w:rPr>
          <w:rFonts w:ascii="Times New Roman" w:hAnsi="Times New Roman" w:cs="Times New Roman"/>
          <w:kern w:val="0"/>
          <w:sz w:val="24"/>
          <w:szCs w:val="24"/>
        </w:rPr>
        <w:t>оди</w:t>
      </w:r>
      <w:r w:rsidRPr="00D24C9F">
        <w:rPr>
          <w:rFonts w:ascii="Times New Roman" w:hAnsi="Times New Roman" w:cs="Times New Roman"/>
          <w:kern w:val="0"/>
          <w:sz w:val="24"/>
          <w:szCs w:val="24"/>
        </w:rPr>
        <w:t xml:space="preserve">ти до отримання одного спільного ступеня і двох різних кваліфікацій. </w:t>
      </w:r>
      <w:r w:rsidR="00407B82" w:rsidRPr="00D24C9F">
        <w:rPr>
          <w:rFonts w:ascii="Times New Roman" w:hAnsi="Times New Roman" w:cs="Times New Roman"/>
          <w:kern w:val="0"/>
          <w:sz w:val="24"/>
          <w:szCs w:val="24"/>
        </w:rPr>
        <w:t xml:space="preserve">Наприклад, </w:t>
      </w:r>
      <w:r w:rsidRPr="00D24C9F">
        <w:rPr>
          <w:rFonts w:ascii="Times New Roman" w:hAnsi="Times New Roman" w:cs="Times New Roman"/>
          <w:kern w:val="0"/>
          <w:sz w:val="24"/>
          <w:szCs w:val="24"/>
        </w:rPr>
        <w:t xml:space="preserve">спільна програма </w:t>
      </w:r>
      <w:hyperlink r:id="rId23" w:history="1">
        <w:r w:rsidR="0071677B" w:rsidRPr="00D24C9F">
          <w:rPr>
            <w:rStyle w:val="a8"/>
            <w:rFonts w:ascii="Times New Roman" w:hAnsi="Times New Roman" w:cs="Times New Roman"/>
            <w:sz w:val="24"/>
            <w:szCs w:val="24"/>
          </w:rPr>
          <w:t>European Master in Law and Economics</w:t>
        </w:r>
      </w:hyperlink>
      <w:hyperlink r:id="rId24" w:history="1">
        <w:r w:rsidR="007D4583" w:rsidRPr="00D24C9F">
          <w:rPr>
            <w:rStyle w:val="a8"/>
            <w:rFonts w:ascii="Times New Roman" w:hAnsi="Times New Roman" w:cs="Times New Roman"/>
            <w:sz w:val="24"/>
            <w:szCs w:val="24"/>
          </w:rPr>
          <w:t xml:space="preserve"> (EMLE)</w:t>
        </w:r>
      </w:hyperlink>
      <w:r w:rsidR="00553F65" w:rsidRPr="00D24C9F">
        <w:rPr>
          <w:rFonts w:ascii="Times New Roman" w:hAnsi="Times New Roman" w:cs="Times New Roman"/>
          <w:color w:val="000000"/>
          <w:kern w:val="0"/>
          <w:sz w:val="24"/>
          <w:szCs w:val="24"/>
        </w:rPr>
        <w:t xml:space="preserve">, яка веде до отримання одного </w:t>
      </w:r>
      <w:r w:rsidRPr="00D24C9F">
        <w:rPr>
          <w:rFonts w:ascii="Times New Roman" w:hAnsi="Times New Roman" w:cs="Times New Roman"/>
          <w:color w:val="000000"/>
          <w:kern w:val="0"/>
          <w:sz w:val="24"/>
          <w:szCs w:val="24"/>
        </w:rPr>
        <w:t>спільного</w:t>
      </w:r>
      <w:r w:rsidR="00553F65" w:rsidRPr="00D24C9F">
        <w:rPr>
          <w:rFonts w:ascii="Times New Roman" w:hAnsi="Times New Roman" w:cs="Times New Roman"/>
          <w:color w:val="000000"/>
          <w:kern w:val="0"/>
          <w:sz w:val="24"/>
          <w:szCs w:val="24"/>
        </w:rPr>
        <w:t xml:space="preserve"> </w:t>
      </w:r>
      <w:r w:rsidRPr="00D24C9F">
        <w:rPr>
          <w:rFonts w:ascii="Times New Roman" w:hAnsi="Times New Roman" w:cs="Times New Roman"/>
          <w:color w:val="000000"/>
          <w:kern w:val="0"/>
          <w:sz w:val="24"/>
          <w:szCs w:val="24"/>
        </w:rPr>
        <w:t xml:space="preserve">магістерського ступеня, де </w:t>
      </w:r>
      <w:r w:rsidR="00FC4D59" w:rsidRPr="00D24C9F">
        <w:rPr>
          <w:rFonts w:ascii="Times New Roman" w:hAnsi="Times New Roman" w:cs="Times New Roman"/>
          <w:color w:val="000000"/>
          <w:kern w:val="0"/>
          <w:sz w:val="24"/>
          <w:szCs w:val="24"/>
        </w:rPr>
        <w:t>де</w:t>
      </w:r>
      <w:r w:rsidRPr="00D24C9F">
        <w:rPr>
          <w:rFonts w:ascii="Times New Roman" w:hAnsi="Times New Roman" w:cs="Times New Roman"/>
          <w:color w:val="000000"/>
          <w:kern w:val="0"/>
          <w:sz w:val="24"/>
          <w:szCs w:val="24"/>
        </w:rPr>
        <w:t xml:space="preserve">кілька університетів, що присуджують ступінь (на даний момент: чотири), видають спільний ступінь з кваліфікацією "Європейський магістр з права та економіки", </w:t>
      </w:r>
      <w:r w:rsidR="00FC4D59" w:rsidRPr="00D24C9F">
        <w:rPr>
          <w:rFonts w:ascii="Times New Roman" w:hAnsi="Times New Roman" w:cs="Times New Roman"/>
          <w:color w:val="000000"/>
          <w:kern w:val="0"/>
          <w:sz w:val="24"/>
          <w:szCs w:val="24"/>
        </w:rPr>
        <w:t>а</w:t>
      </w:r>
      <w:r w:rsidRPr="00D24C9F">
        <w:rPr>
          <w:rFonts w:ascii="Times New Roman" w:hAnsi="Times New Roman" w:cs="Times New Roman"/>
          <w:color w:val="000000"/>
          <w:kern w:val="0"/>
          <w:sz w:val="24"/>
          <w:szCs w:val="24"/>
        </w:rPr>
        <w:t xml:space="preserve"> інші університети-партнери (на даний момент: шість) присуджують окремі ступені з різними кваліфікаціями, в тому числі</w:t>
      </w:r>
      <w:r w:rsidR="00FC4D59" w:rsidRPr="00D24C9F">
        <w:rPr>
          <w:rFonts w:ascii="Times New Roman" w:hAnsi="Times New Roman" w:cs="Times New Roman"/>
          <w:color w:val="000000"/>
          <w:kern w:val="0"/>
          <w:sz w:val="24"/>
          <w:szCs w:val="24"/>
        </w:rPr>
        <w:t xml:space="preserve"> «м</w:t>
      </w:r>
      <w:r w:rsidRPr="00D24C9F">
        <w:rPr>
          <w:rFonts w:ascii="Times New Roman" w:hAnsi="Times New Roman" w:cs="Times New Roman"/>
          <w:kern w:val="0"/>
          <w:sz w:val="24"/>
          <w:szCs w:val="24"/>
        </w:rPr>
        <w:t>агістр наук</w:t>
      </w:r>
      <w:r w:rsidR="00FC4D59" w:rsidRPr="00D24C9F">
        <w:rPr>
          <w:rFonts w:ascii="Times New Roman" w:hAnsi="Times New Roman" w:cs="Times New Roman"/>
          <w:kern w:val="0"/>
          <w:sz w:val="24"/>
          <w:szCs w:val="24"/>
        </w:rPr>
        <w:t>»</w:t>
      </w:r>
      <w:r w:rsidRPr="00D24C9F">
        <w:rPr>
          <w:rFonts w:ascii="Times New Roman" w:hAnsi="Times New Roman" w:cs="Times New Roman"/>
          <w:kern w:val="0"/>
          <w:sz w:val="24"/>
          <w:szCs w:val="24"/>
        </w:rPr>
        <w:t xml:space="preserve"> та </w:t>
      </w:r>
      <w:r w:rsidR="00FC4D59" w:rsidRPr="00D24C9F">
        <w:rPr>
          <w:rFonts w:ascii="Times New Roman" w:hAnsi="Times New Roman" w:cs="Times New Roman"/>
          <w:kern w:val="0"/>
          <w:sz w:val="24"/>
          <w:szCs w:val="24"/>
        </w:rPr>
        <w:t>«м</w:t>
      </w:r>
      <w:r w:rsidRPr="00D24C9F">
        <w:rPr>
          <w:rFonts w:ascii="Times New Roman" w:hAnsi="Times New Roman" w:cs="Times New Roman"/>
          <w:kern w:val="0"/>
          <w:sz w:val="24"/>
          <w:szCs w:val="24"/>
        </w:rPr>
        <w:t>агістр мистецтв</w:t>
      </w:r>
      <w:r w:rsidR="00FC4D59" w:rsidRPr="00D24C9F">
        <w:rPr>
          <w:rFonts w:ascii="Times New Roman" w:hAnsi="Times New Roman" w:cs="Times New Roman"/>
          <w:kern w:val="0"/>
          <w:sz w:val="24"/>
          <w:szCs w:val="24"/>
        </w:rPr>
        <w:t>»</w:t>
      </w:r>
      <w:r w:rsidRPr="00D24C9F">
        <w:rPr>
          <w:rFonts w:ascii="Times New Roman" w:hAnsi="Times New Roman" w:cs="Times New Roman"/>
          <w:kern w:val="0"/>
          <w:sz w:val="24"/>
          <w:szCs w:val="24"/>
        </w:rPr>
        <w:t>.</w:t>
      </w:r>
    </w:p>
    <w:p w14:paraId="58751907" w14:textId="77777777" w:rsidR="001C170B" w:rsidRPr="00D24C9F" w:rsidRDefault="001C170B" w:rsidP="004B5D8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4847C52D" w14:textId="4F3FA7C1" w:rsidR="007D4583" w:rsidRPr="00D24C9F" w:rsidRDefault="00B83CA4" w:rsidP="004B5D86">
      <w:pPr>
        <w:pStyle w:val="1"/>
        <w:spacing w:before="100" w:beforeAutospacing="1" w:after="100" w:afterAutospacing="1" w:line="240" w:lineRule="auto"/>
        <w:rPr>
          <w:rFonts w:ascii="Times New Roman" w:hAnsi="Times New Roman" w:cs="Times New Roman"/>
          <w:b/>
          <w:bCs/>
          <w:sz w:val="24"/>
          <w:szCs w:val="24"/>
        </w:rPr>
      </w:pPr>
      <w:bookmarkStart w:id="8" w:name="_Toc188337400"/>
      <w:r w:rsidRPr="00D24C9F">
        <w:rPr>
          <w:rFonts w:ascii="Times New Roman" w:hAnsi="Times New Roman" w:cs="Times New Roman"/>
          <w:b/>
          <w:bCs/>
          <w:sz w:val="24"/>
          <w:szCs w:val="24"/>
        </w:rPr>
        <w:t>3. ЕТАП ОРІЄНТАЦІЇ</w:t>
      </w:r>
      <w:bookmarkEnd w:id="8"/>
      <w:r w:rsidRPr="00D24C9F">
        <w:rPr>
          <w:rFonts w:ascii="Times New Roman" w:hAnsi="Times New Roman" w:cs="Times New Roman"/>
          <w:b/>
          <w:bCs/>
          <w:sz w:val="24"/>
          <w:szCs w:val="24"/>
        </w:rPr>
        <w:t xml:space="preserve"> </w:t>
      </w:r>
    </w:p>
    <w:p w14:paraId="7A76FA8F" w14:textId="244D2CF8" w:rsidR="00B83CA4" w:rsidRPr="00B83CA4" w:rsidRDefault="00B83CA4" w:rsidP="00FA7A2E">
      <w:pPr>
        <w:spacing w:before="100" w:beforeAutospacing="1" w:after="100" w:afterAutospacing="1"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Ініціатива, наприклад кафедри або факультету,</w:t>
      </w:r>
      <w:r w:rsidRPr="00B83CA4">
        <w:rPr>
          <w:rFonts w:ascii="Times New Roman" w:hAnsi="Times New Roman" w:cs="Times New Roman"/>
          <w:color w:val="000000"/>
          <w:kern w:val="0"/>
          <w:sz w:val="24"/>
          <w:szCs w:val="24"/>
        </w:rPr>
        <w:t xml:space="preserve"> щодо </w:t>
      </w:r>
      <w:r>
        <w:rPr>
          <w:rFonts w:ascii="Times New Roman" w:hAnsi="Times New Roman" w:cs="Times New Roman"/>
          <w:color w:val="000000"/>
          <w:kern w:val="0"/>
          <w:sz w:val="24"/>
          <w:szCs w:val="24"/>
        </w:rPr>
        <w:t xml:space="preserve">розроблення спільної програми в закладі вищої освіти має бути оцінена та підтримана керівництвом закладу. Отже, слід розпочинати роботу з залучення колег до обговорення ідеї, яку необхідно документально оформити </w:t>
      </w:r>
      <w:r w:rsidR="001318DF">
        <w:rPr>
          <w:rFonts w:ascii="Times New Roman" w:hAnsi="Times New Roman" w:cs="Times New Roman"/>
          <w:color w:val="000000"/>
          <w:kern w:val="0"/>
          <w:sz w:val="24"/>
          <w:szCs w:val="24"/>
        </w:rPr>
        <w:t xml:space="preserve">відповідно до інституційних документів, що регулюють цей процес в закладі вищої освіти, </w:t>
      </w:r>
      <w:r>
        <w:rPr>
          <w:rFonts w:ascii="Times New Roman" w:hAnsi="Times New Roman" w:cs="Times New Roman"/>
          <w:color w:val="000000"/>
          <w:kern w:val="0"/>
          <w:sz w:val="24"/>
          <w:szCs w:val="24"/>
        </w:rPr>
        <w:t xml:space="preserve">для представлення керівництву та відповідному підрозділу (наприклад науково-методичній раді) закладу вищої освіти, що відповідає за впровадження освітніх програм, їх акредитацію тощо. </w:t>
      </w:r>
    </w:p>
    <w:p w14:paraId="0D81842E" w14:textId="3AAC221E" w:rsidR="001318DF" w:rsidRPr="00A552DD" w:rsidRDefault="00CA1B5D" w:rsidP="00FA7A2E">
      <w:pPr>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sidRPr="00A552DD">
        <w:rPr>
          <w:rFonts w:ascii="Times New Roman" w:hAnsi="Times New Roman" w:cs="Times New Roman"/>
          <w:b/>
          <w:bCs/>
          <w:color w:val="365F91" w:themeColor="accent1" w:themeShade="BF"/>
          <w:kern w:val="0"/>
          <w:sz w:val="24"/>
          <w:szCs w:val="24"/>
        </w:rPr>
        <w:t xml:space="preserve">3.1. </w:t>
      </w:r>
      <w:r w:rsidR="001318DF" w:rsidRPr="00A552DD">
        <w:rPr>
          <w:rFonts w:ascii="Times New Roman" w:hAnsi="Times New Roman" w:cs="Times New Roman"/>
          <w:b/>
          <w:bCs/>
          <w:color w:val="365F91" w:themeColor="accent1" w:themeShade="BF"/>
          <w:kern w:val="0"/>
          <w:sz w:val="24"/>
          <w:szCs w:val="24"/>
        </w:rPr>
        <w:t>Інституційна підтримка</w:t>
      </w:r>
    </w:p>
    <w:p w14:paraId="1B128116" w14:textId="77777777" w:rsidR="001318DF" w:rsidRDefault="001318DF"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І</w:t>
      </w:r>
      <w:r w:rsidRPr="00F43628">
        <w:rPr>
          <w:rFonts w:ascii="Times New Roman" w:hAnsi="Times New Roman" w:cs="Times New Roman"/>
          <w:kern w:val="0"/>
          <w:sz w:val="24"/>
          <w:szCs w:val="24"/>
        </w:rPr>
        <w:t>нституційна підтримка (стратегічна і практична) та гнучкість на всіх рівнях закладу</w:t>
      </w:r>
      <w:r>
        <w:rPr>
          <w:rFonts w:ascii="Times New Roman" w:hAnsi="Times New Roman" w:cs="Times New Roman"/>
          <w:kern w:val="0"/>
          <w:sz w:val="24"/>
          <w:szCs w:val="24"/>
        </w:rPr>
        <w:t xml:space="preserve"> вищої освіти</w:t>
      </w:r>
      <w:r w:rsidRPr="001318DF">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мають</w:t>
      </w:r>
      <w:r w:rsidRPr="001318DF">
        <w:rPr>
          <w:rFonts w:ascii="Times New Roman" w:hAnsi="Times New Roman" w:cs="Times New Roman"/>
          <w:kern w:val="0"/>
          <w:sz w:val="24"/>
          <w:szCs w:val="24"/>
        </w:rPr>
        <w:t xml:space="preserve"> </w:t>
      </w:r>
      <w:r>
        <w:rPr>
          <w:rFonts w:ascii="Times New Roman" w:hAnsi="Times New Roman" w:cs="Times New Roman"/>
          <w:kern w:val="0"/>
          <w:sz w:val="24"/>
          <w:szCs w:val="24"/>
        </w:rPr>
        <w:t>в</w:t>
      </w:r>
      <w:r w:rsidRPr="00F43628">
        <w:rPr>
          <w:rFonts w:ascii="Times New Roman" w:hAnsi="Times New Roman" w:cs="Times New Roman"/>
          <w:kern w:val="0"/>
          <w:sz w:val="24"/>
          <w:szCs w:val="24"/>
        </w:rPr>
        <w:t xml:space="preserve">ирішальне значення. Цю підтримку необхідно забезпечити на </w:t>
      </w:r>
      <w:r>
        <w:rPr>
          <w:rFonts w:ascii="Times New Roman" w:hAnsi="Times New Roman" w:cs="Times New Roman"/>
          <w:kern w:val="0"/>
          <w:sz w:val="24"/>
          <w:szCs w:val="24"/>
        </w:rPr>
        <w:t xml:space="preserve">самому </w:t>
      </w:r>
      <w:r w:rsidRPr="00F43628">
        <w:rPr>
          <w:rFonts w:ascii="Times New Roman" w:hAnsi="Times New Roman" w:cs="Times New Roman"/>
          <w:kern w:val="0"/>
          <w:sz w:val="24"/>
          <w:szCs w:val="24"/>
        </w:rPr>
        <w:t>початку етапу розроб</w:t>
      </w:r>
      <w:r>
        <w:rPr>
          <w:rFonts w:ascii="Times New Roman" w:hAnsi="Times New Roman" w:cs="Times New Roman"/>
          <w:kern w:val="0"/>
          <w:sz w:val="24"/>
          <w:szCs w:val="24"/>
        </w:rPr>
        <w:t>лення</w:t>
      </w:r>
      <w:r w:rsidRPr="00F43628">
        <w:rPr>
          <w:rFonts w:ascii="Times New Roman" w:hAnsi="Times New Roman" w:cs="Times New Roman"/>
          <w:kern w:val="0"/>
          <w:sz w:val="24"/>
          <w:szCs w:val="24"/>
        </w:rPr>
        <w:t xml:space="preserve"> спільної програми.</w:t>
      </w:r>
      <w:r>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Особиста підтримка </w:t>
      </w:r>
      <w:r>
        <w:rPr>
          <w:rFonts w:ascii="Times New Roman" w:hAnsi="Times New Roman" w:cs="Times New Roman"/>
          <w:kern w:val="0"/>
          <w:sz w:val="24"/>
          <w:szCs w:val="24"/>
        </w:rPr>
        <w:t xml:space="preserve">та залученість </w:t>
      </w:r>
      <w:r w:rsidRPr="00F43628">
        <w:rPr>
          <w:rFonts w:ascii="Times New Roman" w:hAnsi="Times New Roman" w:cs="Times New Roman"/>
          <w:kern w:val="0"/>
          <w:sz w:val="24"/>
          <w:szCs w:val="24"/>
        </w:rPr>
        <w:t>окремих викладачів іноді може бути відправною точкою для спільної програми, але без інституційної підтримки на всіх рівнях так</w:t>
      </w:r>
      <w:r>
        <w:rPr>
          <w:rFonts w:ascii="Times New Roman" w:hAnsi="Times New Roman" w:cs="Times New Roman"/>
          <w:kern w:val="0"/>
          <w:sz w:val="24"/>
          <w:szCs w:val="24"/>
        </w:rPr>
        <w:t>а</w:t>
      </w:r>
      <w:r w:rsidRPr="00F43628">
        <w:rPr>
          <w:rFonts w:ascii="Times New Roman" w:hAnsi="Times New Roman" w:cs="Times New Roman"/>
          <w:kern w:val="0"/>
          <w:sz w:val="24"/>
          <w:szCs w:val="24"/>
        </w:rPr>
        <w:t xml:space="preserve"> ініціатив</w:t>
      </w:r>
      <w:r>
        <w:rPr>
          <w:rFonts w:ascii="Times New Roman" w:hAnsi="Times New Roman" w:cs="Times New Roman"/>
          <w:kern w:val="0"/>
          <w:sz w:val="24"/>
          <w:szCs w:val="24"/>
        </w:rPr>
        <w:t>а не</w:t>
      </w:r>
      <w:r w:rsidRPr="00F43628">
        <w:rPr>
          <w:rFonts w:ascii="Times New Roman" w:hAnsi="Times New Roman" w:cs="Times New Roman"/>
          <w:kern w:val="0"/>
          <w:sz w:val="24"/>
          <w:szCs w:val="24"/>
        </w:rPr>
        <w:t xml:space="preserve"> буд</w:t>
      </w:r>
      <w:r>
        <w:rPr>
          <w:rFonts w:ascii="Times New Roman" w:hAnsi="Times New Roman" w:cs="Times New Roman"/>
          <w:kern w:val="0"/>
          <w:sz w:val="24"/>
          <w:szCs w:val="24"/>
        </w:rPr>
        <w:t>е реалізована</w:t>
      </w:r>
      <w:r w:rsidRPr="00F43628">
        <w:rPr>
          <w:rFonts w:ascii="Times New Roman" w:hAnsi="Times New Roman" w:cs="Times New Roman"/>
          <w:kern w:val="0"/>
          <w:sz w:val="24"/>
          <w:szCs w:val="24"/>
        </w:rPr>
        <w:t xml:space="preserve">. </w:t>
      </w:r>
    </w:p>
    <w:p w14:paraId="11AFBF0A" w14:textId="5589BB91" w:rsidR="001318DF" w:rsidRPr="00F43628" w:rsidRDefault="001318DF"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color w:val="000000"/>
          <w:kern w:val="0"/>
          <w:sz w:val="24"/>
          <w:szCs w:val="24"/>
        </w:rPr>
        <w:t>Проаналізуйте інституційні документи щодо можливостей запровадження спільної програми.</w:t>
      </w:r>
      <w:r w:rsidRPr="00F43628">
        <w:rPr>
          <w:rFonts w:ascii="Times New Roman" w:hAnsi="Times New Roman" w:cs="Times New Roman"/>
          <w:kern w:val="0"/>
          <w:sz w:val="24"/>
          <w:szCs w:val="24"/>
        </w:rPr>
        <w:t xml:space="preserve"> Деякі університети закріплюють </w:t>
      </w:r>
      <w:r w:rsidR="000973C5">
        <w:rPr>
          <w:rFonts w:ascii="Times New Roman" w:hAnsi="Times New Roman" w:cs="Times New Roman"/>
          <w:kern w:val="0"/>
          <w:sz w:val="24"/>
          <w:szCs w:val="24"/>
        </w:rPr>
        <w:t xml:space="preserve">положення щодо </w:t>
      </w:r>
      <w:r w:rsidRPr="00F43628">
        <w:rPr>
          <w:rFonts w:ascii="Times New Roman" w:hAnsi="Times New Roman" w:cs="Times New Roman"/>
          <w:kern w:val="0"/>
          <w:sz w:val="24"/>
          <w:szCs w:val="24"/>
        </w:rPr>
        <w:t>спільн</w:t>
      </w:r>
      <w:r w:rsidR="000973C5">
        <w:rPr>
          <w:rFonts w:ascii="Times New Roman" w:hAnsi="Times New Roman" w:cs="Times New Roman"/>
          <w:kern w:val="0"/>
          <w:sz w:val="24"/>
          <w:szCs w:val="24"/>
        </w:rPr>
        <w:t>их програм</w:t>
      </w:r>
      <w:r w:rsidRPr="00F43628">
        <w:rPr>
          <w:rFonts w:ascii="Times New Roman" w:hAnsi="Times New Roman" w:cs="Times New Roman"/>
          <w:kern w:val="0"/>
          <w:sz w:val="24"/>
          <w:szCs w:val="24"/>
        </w:rPr>
        <w:t xml:space="preserve"> </w:t>
      </w:r>
      <w:r w:rsidR="000973C5">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своїх офіційних документах і покладають відповідальність за </w:t>
      </w:r>
      <w:r w:rsidR="000973C5">
        <w:rPr>
          <w:rFonts w:ascii="Times New Roman" w:hAnsi="Times New Roman" w:cs="Times New Roman"/>
          <w:kern w:val="0"/>
          <w:sz w:val="24"/>
          <w:szCs w:val="24"/>
        </w:rPr>
        <w:t xml:space="preserve">їх </w:t>
      </w:r>
      <w:r w:rsidRPr="00F43628">
        <w:rPr>
          <w:rFonts w:ascii="Times New Roman" w:hAnsi="Times New Roman" w:cs="Times New Roman"/>
          <w:kern w:val="0"/>
          <w:sz w:val="24"/>
          <w:szCs w:val="24"/>
        </w:rPr>
        <w:t>розроб</w:t>
      </w:r>
      <w:r w:rsidR="000973C5">
        <w:rPr>
          <w:rFonts w:ascii="Times New Roman" w:hAnsi="Times New Roman" w:cs="Times New Roman"/>
          <w:kern w:val="0"/>
          <w:sz w:val="24"/>
          <w:szCs w:val="24"/>
        </w:rPr>
        <w:t>лення</w:t>
      </w:r>
      <w:r w:rsidRPr="00F43628">
        <w:rPr>
          <w:rFonts w:ascii="Times New Roman" w:hAnsi="Times New Roman" w:cs="Times New Roman"/>
          <w:kern w:val="0"/>
          <w:sz w:val="24"/>
          <w:szCs w:val="24"/>
        </w:rPr>
        <w:t xml:space="preserve"> переважно на факультети, а </w:t>
      </w:r>
      <w:r w:rsidRPr="00F43628">
        <w:rPr>
          <w:rFonts w:ascii="Times New Roman" w:hAnsi="Times New Roman" w:cs="Times New Roman"/>
          <w:kern w:val="0"/>
          <w:sz w:val="24"/>
          <w:szCs w:val="24"/>
        </w:rPr>
        <w:lastRenderedPageBreak/>
        <w:t xml:space="preserve">допомога центральних офісів полягає у </w:t>
      </w:r>
      <w:r w:rsidR="000973C5">
        <w:rPr>
          <w:rFonts w:ascii="Times New Roman" w:hAnsi="Times New Roman" w:cs="Times New Roman"/>
          <w:kern w:val="0"/>
          <w:sz w:val="24"/>
          <w:szCs w:val="24"/>
        </w:rPr>
        <w:t xml:space="preserve">забезпеченні матеріально-технічних </w:t>
      </w:r>
      <w:r w:rsidR="00BE5C12">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фінанс</w:t>
      </w:r>
      <w:r w:rsidR="000973C5">
        <w:rPr>
          <w:rFonts w:ascii="Times New Roman" w:hAnsi="Times New Roman" w:cs="Times New Roman"/>
          <w:kern w:val="0"/>
          <w:sz w:val="24"/>
          <w:szCs w:val="24"/>
        </w:rPr>
        <w:t>ових ресурсів</w:t>
      </w:r>
      <w:r w:rsidRPr="00F43628">
        <w:rPr>
          <w:rFonts w:ascii="Times New Roman" w:hAnsi="Times New Roman" w:cs="Times New Roman"/>
          <w:kern w:val="0"/>
          <w:sz w:val="24"/>
          <w:szCs w:val="24"/>
        </w:rPr>
        <w:t>.</w:t>
      </w:r>
    </w:p>
    <w:p w14:paraId="672CDE70" w14:textId="49AC3922" w:rsidR="00F7272D" w:rsidRPr="00F43628" w:rsidRDefault="001318DF" w:rsidP="00FA7A2E">
      <w:pPr>
        <w:tabs>
          <w:tab w:val="left" w:pos="851"/>
        </w:tabs>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У випадку розроблення спільної програми, особливо з міжнародними партнерами, необхідно </w:t>
      </w:r>
      <w:r w:rsidR="007D2866">
        <w:rPr>
          <w:rFonts w:ascii="Times New Roman" w:hAnsi="Times New Roman" w:cs="Times New Roman"/>
          <w:color w:val="000000"/>
          <w:kern w:val="0"/>
          <w:sz w:val="24"/>
          <w:szCs w:val="24"/>
        </w:rPr>
        <w:t xml:space="preserve">також </w:t>
      </w:r>
      <w:r>
        <w:rPr>
          <w:rFonts w:ascii="Times New Roman" w:hAnsi="Times New Roman" w:cs="Times New Roman"/>
          <w:color w:val="000000"/>
          <w:kern w:val="0"/>
          <w:sz w:val="24"/>
          <w:szCs w:val="24"/>
        </w:rPr>
        <w:t>визначитися</w:t>
      </w:r>
      <w:r w:rsidR="007D2866">
        <w:rPr>
          <w:rFonts w:ascii="Times New Roman" w:hAnsi="Times New Roman" w:cs="Times New Roman"/>
          <w:color w:val="000000"/>
          <w:kern w:val="0"/>
          <w:sz w:val="24"/>
          <w:szCs w:val="24"/>
        </w:rPr>
        <w:t xml:space="preserve">, яка мета </w:t>
      </w:r>
      <w:r w:rsidR="00F7272D" w:rsidRPr="00B83CA4">
        <w:rPr>
          <w:rFonts w:ascii="Times New Roman" w:hAnsi="Times New Roman" w:cs="Times New Roman"/>
          <w:color w:val="000000"/>
          <w:kern w:val="0"/>
          <w:sz w:val="24"/>
          <w:szCs w:val="24"/>
        </w:rPr>
        <w:t>спільної програми</w:t>
      </w:r>
      <w:r w:rsidR="007D2866">
        <w:rPr>
          <w:rFonts w:ascii="Times New Roman" w:hAnsi="Times New Roman" w:cs="Times New Roman"/>
          <w:color w:val="000000"/>
          <w:kern w:val="0"/>
          <w:sz w:val="24"/>
          <w:szCs w:val="24"/>
        </w:rPr>
        <w:t xml:space="preserve"> та чи</w:t>
      </w:r>
      <w:r w:rsidR="00F7272D" w:rsidRPr="00F43628">
        <w:rPr>
          <w:rFonts w:ascii="Times New Roman" w:hAnsi="Times New Roman" w:cs="Times New Roman"/>
          <w:kern w:val="0"/>
          <w:sz w:val="24"/>
          <w:szCs w:val="24"/>
        </w:rPr>
        <w:t xml:space="preserve"> існує відповідний </w:t>
      </w:r>
      <w:r w:rsidR="007D2866">
        <w:rPr>
          <w:rFonts w:ascii="Times New Roman" w:hAnsi="Times New Roman" w:cs="Times New Roman"/>
          <w:kern w:val="0"/>
          <w:sz w:val="24"/>
          <w:szCs w:val="24"/>
        </w:rPr>
        <w:t>запит від</w:t>
      </w:r>
      <w:r w:rsidR="00F7272D" w:rsidRPr="00F43628">
        <w:rPr>
          <w:rFonts w:ascii="Times New Roman" w:hAnsi="Times New Roman" w:cs="Times New Roman"/>
          <w:kern w:val="0"/>
          <w:sz w:val="24"/>
          <w:szCs w:val="24"/>
        </w:rPr>
        <w:t xml:space="preserve"> студентів </w:t>
      </w:r>
      <w:r w:rsidR="007D2866">
        <w:rPr>
          <w:rFonts w:ascii="Times New Roman" w:hAnsi="Times New Roman" w:cs="Times New Roman"/>
          <w:kern w:val="0"/>
          <w:sz w:val="24"/>
          <w:szCs w:val="24"/>
        </w:rPr>
        <w:t>і від</w:t>
      </w:r>
      <w:r w:rsidR="00F7272D" w:rsidRPr="00F43628">
        <w:rPr>
          <w:rFonts w:ascii="Times New Roman" w:hAnsi="Times New Roman" w:cs="Times New Roman"/>
          <w:kern w:val="0"/>
          <w:sz w:val="24"/>
          <w:szCs w:val="24"/>
        </w:rPr>
        <w:t xml:space="preserve"> ринку праці</w:t>
      </w:r>
      <w:r w:rsidR="007D2866">
        <w:rPr>
          <w:rFonts w:ascii="Times New Roman" w:hAnsi="Times New Roman" w:cs="Times New Roman"/>
          <w:kern w:val="0"/>
          <w:sz w:val="24"/>
          <w:szCs w:val="24"/>
        </w:rPr>
        <w:t xml:space="preserve"> України, а також чи наявні необхідні кадрові, навчально-методичні, матеріально-технічні та інші</w:t>
      </w:r>
      <w:r w:rsidR="007D2866" w:rsidRPr="007D2866">
        <w:rPr>
          <w:rFonts w:ascii="Times New Roman" w:hAnsi="Times New Roman" w:cs="Times New Roman"/>
          <w:kern w:val="0"/>
          <w:sz w:val="24"/>
          <w:szCs w:val="24"/>
        </w:rPr>
        <w:t xml:space="preserve"> </w:t>
      </w:r>
      <w:r w:rsidR="007D2866">
        <w:rPr>
          <w:rFonts w:ascii="Times New Roman" w:hAnsi="Times New Roman" w:cs="Times New Roman"/>
          <w:kern w:val="0"/>
          <w:sz w:val="24"/>
          <w:szCs w:val="24"/>
        </w:rPr>
        <w:t>ресурси в закладі вищої освіти.</w:t>
      </w:r>
    </w:p>
    <w:p w14:paraId="3D804DD4" w14:textId="3F1A7E97" w:rsidR="00F7272D" w:rsidRDefault="007D2866"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Після </w:t>
      </w:r>
      <w:r w:rsidR="00DF50F5">
        <w:rPr>
          <w:rFonts w:ascii="Times New Roman" w:hAnsi="Times New Roman" w:cs="Times New Roman"/>
          <w:kern w:val="0"/>
          <w:sz w:val="24"/>
          <w:szCs w:val="24"/>
        </w:rPr>
        <w:t xml:space="preserve">отримання </w:t>
      </w:r>
      <w:r>
        <w:rPr>
          <w:rFonts w:ascii="Times New Roman" w:hAnsi="Times New Roman" w:cs="Times New Roman"/>
          <w:kern w:val="0"/>
          <w:sz w:val="24"/>
          <w:szCs w:val="24"/>
        </w:rPr>
        <w:t xml:space="preserve">відповідей та ці питання </w:t>
      </w:r>
      <w:r w:rsidR="004450D8">
        <w:rPr>
          <w:rFonts w:ascii="Times New Roman" w:hAnsi="Times New Roman" w:cs="Times New Roman"/>
          <w:kern w:val="0"/>
          <w:sz w:val="24"/>
          <w:szCs w:val="24"/>
        </w:rPr>
        <w:t xml:space="preserve">необхідно </w:t>
      </w:r>
      <w:r>
        <w:rPr>
          <w:rFonts w:ascii="Times New Roman" w:hAnsi="Times New Roman" w:cs="Times New Roman"/>
          <w:kern w:val="0"/>
          <w:sz w:val="24"/>
          <w:szCs w:val="24"/>
        </w:rPr>
        <w:t>визнач</w:t>
      </w:r>
      <w:r w:rsidR="004450D8">
        <w:rPr>
          <w:rFonts w:ascii="Times New Roman" w:hAnsi="Times New Roman" w:cs="Times New Roman"/>
          <w:kern w:val="0"/>
          <w:sz w:val="24"/>
          <w:szCs w:val="24"/>
        </w:rPr>
        <w:t>итися</w:t>
      </w:r>
      <w:r>
        <w:rPr>
          <w:rFonts w:ascii="Times New Roman" w:hAnsi="Times New Roman" w:cs="Times New Roman"/>
          <w:kern w:val="0"/>
          <w:sz w:val="24"/>
          <w:szCs w:val="24"/>
        </w:rPr>
        <w:t xml:space="preserve"> з потенційними українськими </w:t>
      </w:r>
      <w:r w:rsidR="003C206A">
        <w:rPr>
          <w:rFonts w:ascii="Times New Roman" w:hAnsi="Times New Roman" w:cs="Times New Roman"/>
          <w:kern w:val="0"/>
          <w:sz w:val="24"/>
          <w:szCs w:val="24"/>
        </w:rPr>
        <w:t>та/</w:t>
      </w:r>
      <w:r>
        <w:rPr>
          <w:rFonts w:ascii="Times New Roman" w:hAnsi="Times New Roman" w:cs="Times New Roman"/>
          <w:kern w:val="0"/>
          <w:sz w:val="24"/>
          <w:szCs w:val="24"/>
        </w:rPr>
        <w:t xml:space="preserve">або закордонними </w:t>
      </w:r>
      <w:r w:rsidR="00A378CB" w:rsidRPr="00F43628">
        <w:rPr>
          <w:rFonts w:ascii="Times New Roman" w:hAnsi="Times New Roman" w:cs="Times New Roman"/>
          <w:kern w:val="0"/>
          <w:sz w:val="24"/>
          <w:szCs w:val="24"/>
        </w:rPr>
        <w:t>заклад</w:t>
      </w:r>
      <w:r w:rsidR="00A378CB">
        <w:rPr>
          <w:rFonts w:ascii="Times New Roman" w:hAnsi="Times New Roman" w:cs="Times New Roman"/>
          <w:kern w:val="0"/>
          <w:sz w:val="24"/>
          <w:szCs w:val="24"/>
        </w:rPr>
        <w:t>ами</w:t>
      </w:r>
      <w:r w:rsidR="00A378CB" w:rsidRPr="00F43628">
        <w:rPr>
          <w:rFonts w:ascii="Times New Roman" w:hAnsi="Times New Roman" w:cs="Times New Roman"/>
          <w:kern w:val="0"/>
          <w:sz w:val="24"/>
          <w:szCs w:val="24"/>
        </w:rPr>
        <w:t>-</w:t>
      </w:r>
      <w:r w:rsidR="00F7272D" w:rsidRPr="00F43628">
        <w:rPr>
          <w:rFonts w:ascii="Times New Roman" w:hAnsi="Times New Roman" w:cs="Times New Roman"/>
          <w:kern w:val="0"/>
          <w:sz w:val="24"/>
          <w:szCs w:val="24"/>
        </w:rPr>
        <w:t>партнер</w:t>
      </w:r>
      <w:r>
        <w:rPr>
          <w:rFonts w:ascii="Times New Roman" w:hAnsi="Times New Roman" w:cs="Times New Roman"/>
          <w:kern w:val="0"/>
          <w:sz w:val="24"/>
          <w:szCs w:val="24"/>
        </w:rPr>
        <w:t>ами</w:t>
      </w:r>
      <w:r w:rsidR="00F7272D" w:rsidRPr="00F43628">
        <w:rPr>
          <w:rFonts w:ascii="Times New Roman" w:hAnsi="Times New Roman" w:cs="Times New Roman"/>
          <w:kern w:val="0"/>
          <w:sz w:val="24"/>
          <w:szCs w:val="24"/>
        </w:rPr>
        <w:t>.</w:t>
      </w:r>
    </w:p>
    <w:p w14:paraId="00214910" w14:textId="2FB57742" w:rsidR="00CA1B5D" w:rsidRPr="00A552DD" w:rsidRDefault="00CA1B5D" w:rsidP="00FA7A2E">
      <w:pPr>
        <w:pStyle w:val="2"/>
        <w:spacing w:before="100" w:beforeAutospacing="1" w:after="100" w:afterAutospacing="1" w:line="240" w:lineRule="auto"/>
        <w:rPr>
          <w:rFonts w:ascii="Times New Roman" w:hAnsi="Times New Roman" w:cs="Times New Roman"/>
          <w:b/>
          <w:bCs/>
          <w:sz w:val="24"/>
          <w:szCs w:val="24"/>
        </w:rPr>
      </w:pPr>
      <w:bookmarkStart w:id="9" w:name="_Toc188337403"/>
      <w:r w:rsidRPr="00A552DD">
        <w:rPr>
          <w:rFonts w:ascii="Times New Roman" w:hAnsi="Times New Roman" w:cs="Times New Roman"/>
          <w:b/>
          <w:bCs/>
          <w:sz w:val="24"/>
          <w:szCs w:val="24"/>
        </w:rPr>
        <w:t>3.2. Вибір партнерів</w:t>
      </w:r>
      <w:bookmarkEnd w:id="9"/>
    </w:p>
    <w:p w14:paraId="17FCA290" w14:textId="1F6F9EC5" w:rsidR="00CA1B5D" w:rsidRPr="00F43628" w:rsidRDefault="00CA1B5D"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Партнерів для спільної програми слід обирати насамперед на основі взаємодоповнюваності, конкретної академічної експертизи, яка збагачує спільну освітню пропозицію</w:t>
      </w:r>
      <w:r w:rsidR="00094A74" w:rsidRPr="00E36C6E">
        <w:rPr>
          <w:rFonts w:ascii="Times New Roman" w:hAnsi="Times New Roman" w:cs="Times New Roman"/>
          <w:kern w:val="0"/>
          <w:sz w:val="24"/>
          <w:szCs w:val="24"/>
        </w:rPr>
        <w:t xml:space="preserve"> (</w:t>
      </w:r>
      <w:r w:rsidR="00094A74">
        <w:rPr>
          <w:rFonts w:ascii="Times New Roman" w:hAnsi="Times New Roman" w:cs="Times New Roman"/>
          <w:kern w:val="0"/>
          <w:sz w:val="24"/>
          <w:szCs w:val="24"/>
        </w:rPr>
        <w:t>освітня програма та відповідні процеси</w:t>
      </w:r>
      <w:r w:rsidR="00094A74" w:rsidRPr="00E36C6E">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Іншими важливими аспектами, які слід враховувати при виборі партнерів, є: взаємна довіра, відкрита комунікація, ресурси, адміністративна спроможність, надійність і можливий доступ </w:t>
      </w:r>
      <w:r w:rsidR="003851C1" w:rsidRPr="00F43628">
        <w:rPr>
          <w:rFonts w:ascii="Times New Roman" w:hAnsi="Times New Roman" w:cs="Times New Roman"/>
          <w:kern w:val="0"/>
          <w:sz w:val="24"/>
          <w:szCs w:val="24"/>
        </w:rPr>
        <w:t xml:space="preserve">студентів </w:t>
      </w:r>
      <w:r w:rsidRPr="00F43628">
        <w:rPr>
          <w:rFonts w:ascii="Times New Roman" w:hAnsi="Times New Roman" w:cs="Times New Roman"/>
          <w:kern w:val="0"/>
          <w:sz w:val="24"/>
          <w:szCs w:val="24"/>
        </w:rPr>
        <w:t xml:space="preserve">до нових </w:t>
      </w:r>
      <w:r w:rsidR="003851C1">
        <w:rPr>
          <w:rFonts w:ascii="Times New Roman" w:hAnsi="Times New Roman" w:cs="Times New Roman"/>
          <w:kern w:val="0"/>
          <w:sz w:val="24"/>
          <w:szCs w:val="24"/>
        </w:rPr>
        <w:t>можливостей та працевлаштування</w:t>
      </w:r>
      <w:r w:rsidRPr="00F43628">
        <w:rPr>
          <w:rFonts w:ascii="Times New Roman" w:hAnsi="Times New Roman" w:cs="Times New Roman"/>
          <w:kern w:val="0"/>
          <w:sz w:val="24"/>
          <w:szCs w:val="24"/>
        </w:rPr>
        <w:t>.</w:t>
      </w:r>
    </w:p>
    <w:p w14:paraId="51F5272F" w14:textId="453753AB" w:rsidR="00CA1B5D" w:rsidRPr="00F43628" w:rsidRDefault="00532CAA"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Необхідно</w:t>
      </w:r>
      <w:r w:rsidR="00CA1B5D" w:rsidRPr="00F43628">
        <w:rPr>
          <w:rFonts w:ascii="Times New Roman" w:hAnsi="Times New Roman" w:cs="Times New Roman"/>
          <w:kern w:val="0"/>
          <w:sz w:val="24"/>
          <w:szCs w:val="24"/>
        </w:rPr>
        <w:t xml:space="preserve"> ретельно </w:t>
      </w:r>
      <w:r>
        <w:rPr>
          <w:rFonts w:ascii="Times New Roman" w:hAnsi="Times New Roman" w:cs="Times New Roman"/>
          <w:kern w:val="0"/>
          <w:sz w:val="24"/>
          <w:szCs w:val="24"/>
        </w:rPr>
        <w:t>визначити</w:t>
      </w:r>
      <w:r w:rsidR="00CA1B5D" w:rsidRPr="00F43628">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необхідну і достатню </w:t>
      </w:r>
      <w:r w:rsidR="00CA1B5D" w:rsidRPr="00F43628">
        <w:rPr>
          <w:rFonts w:ascii="Times New Roman" w:hAnsi="Times New Roman" w:cs="Times New Roman"/>
          <w:kern w:val="0"/>
          <w:sz w:val="24"/>
          <w:szCs w:val="24"/>
        </w:rPr>
        <w:t>кількість партнерів у консорціумі</w:t>
      </w:r>
      <w:r>
        <w:rPr>
          <w:rFonts w:ascii="Times New Roman" w:hAnsi="Times New Roman" w:cs="Times New Roman"/>
          <w:kern w:val="0"/>
          <w:sz w:val="24"/>
          <w:szCs w:val="24"/>
        </w:rPr>
        <w:t xml:space="preserve"> для реалізації спільної програми, де </w:t>
      </w:r>
      <w:r w:rsidR="00CA1B5D" w:rsidRPr="00F43628">
        <w:rPr>
          <w:rFonts w:ascii="Times New Roman" w:hAnsi="Times New Roman" w:cs="Times New Roman"/>
          <w:kern w:val="0"/>
          <w:sz w:val="24"/>
          <w:szCs w:val="24"/>
        </w:rPr>
        <w:t xml:space="preserve">кожен партнер </w:t>
      </w:r>
      <w:r w:rsidR="00ED6A0D">
        <w:rPr>
          <w:rFonts w:ascii="Times New Roman" w:hAnsi="Times New Roman" w:cs="Times New Roman"/>
          <w:kern w:val="0"/>
          <w:sz w:val="24"/>
          <w:szCs w:val="24"/>
        </w:rPr>
        <w:t xml:space="preserve">має </w:t>
      </w:r>
      <w:r w:rsidR="00CA1B5D" w:rsidRPr="00F43628">
        <w:rPr>
          <w:rFonts w:ascii="Times New Roman" w:hAnsi="Times New Roman" w:cs="Times New Roman"/>
          <w:kern w:val="0"/>
          <w:sz w:val="24"/>
          <w:szCs w:val="24"/>
        </w:rPr>
        <w:t>робит</w:t>
      </w:r>
      <w:r w:rsidR="00ED6A0D">
        <w:rPr>
          <w:rFonts w:ascii="Times New Roman" w:hAnsi="Times New Roman" w:cs="Times New Roman"/>
          <w:kern w:val="0"/>
          <w:sz w:val="24"/>
          <w:szCs w:val="24"/>
        </w:rPr>
        <w:t>и</w:t>
      </w:r>
      <w:r w:rsidR="00CA1B5D" w:rsidRPr="00F43628">
        <w:rPr>
          <w:rFonts w:ascii="Times New Roman" w:hAnsi="Times New Roman" w:cs="Times New Roman"/>
          <w:kern w:val="0"/>
          <w:sz w:val="24"/>
          <w:szCs w:val="24"/>
        </w:rPr>
        <w:t xml:space="preserve"> свій внесок у </w:t>
      </w:r>
      <w:r w:rsidR="001761CE">
        <w:rPr>
          <w:rFonts w:ascii="Times New Roman" w:hAnsi="Times New Roman" w:cs="Times New Roman"/>
          <w:kern w:val="0"/>
          <w:sz w:val="24"/>
          <w:szCs w:val="24"/>
        </w:rPr>
        <w:t xml:space="preserve">розроблення та реалізацію </w:t>
      </w:r>
      <w:r w:rsidR="00CA1B5D" w:rsidRPr="00F43628">
        <w:rPr>
          <w:rFonts w:ascii="Times New Roman" w:hAnsi="Times New Roman" w:cs="Times New Roman"/>
          <w:kern w:val="0"/>
          <w:sz w:val="24"/>
          <w:szCs w:val="24"/>
        </w:rPr>
        <w:t>спільн</w:t>
      </w:r>
      <w:r w:rsidR="001761CE">
        <w:rPr>
          <w:rFonts w:ascii="Times New Roman" w:hAnsi="Times New Roman" w:cs="Times New Roman"/>
          <w:kern w:val="0"/>
          <w:sz w:val="24"/>
          <w:szCs w:val="24"/>
        </w:rPr>
        <w:t>ої</w:t>
      </w:r>
      <w:r w:rsidR="00CA1B5D" w:rsidRPr="00F43628">
        <w:rPr>
          <w:rFonts w:ascii="Times New Roman" w:hAnsi="Times New Roman" w:cs="Times New Roman"/>
          <w:kern w:val="0"/>
          <w:sz w:val="24"/>
          <w:szCs w:val="24"/>
        </w:rPr>
        <w:t xml:space="preserve"> програм</w:t>
      </w:r>
      <w:r w:rsidR="001761CE">
        <w:rPr>
          <w:rFonts w:ascii="Times New Roman" w:hAnsi="Times New Roman" w:cs="Times New Roman"/>
          <w:kern w:val="0"/>
          <w:sz w:val="24"/>
          <w:szCs w:val="24"/>
        </w:rPr>
        <w:t>и</w:t>
      </w:r>
      <w:r w:rsidR="00CA1B5D" w:rsidRPr="00F43628">
        <w:rPr>
          <w:rFonts w:ascii="Times New Roman" w:hAnsi="Times New Roman" w:cs="Times New Roman"/>
          <w:kern w:val="0"/>
          <w:sz w:val="24"/>
          <w:szCs w:val="24"/>
        </w:rPr>
        <w:t>.</w:t>
      </w:r>
    </w:p>
    <w:p w14:paraId="3B39A936" w14:textId="2B98BEBD" w:rsidR="00ED6A0D" w:rsidRDefault="00CA1B5D"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Якщо спільна програма фінансу</w:t>
      </w:r>
      <w:r w:rsidR="00ED6A0D">
        <w:rPr>
          <w:rFonts w:ascii="Times New Roman" w:hAnsi="Times New Roman" w:cs="Times New Roman"/>
          <w:kern w:val="0"/>
          <w:sz w:val="24"/>
          <w:szCs w:val="24"/>
        </w:rPr>
        <w:t>ватиметься</w:t>
      </w:r>
      <w:r w:rsidRPr="00F43628">
        <w:rPr>
          <w:rFonts w:ascii="Times New Roman" w:hAnsi="Times New Roman" w:cs="Times New Roman"/>
          <w:kern w:val="0"/>
          <w:sz w:val="24"/>
          <w:szCs w:val="24"/>
        </w:rPr>
        <w:t xml:space="preserve"> ззовні, наприклад </w:t>
      </w:r>
      <w:r w:rsidR="00ED6A0D">
        <w:rPr>
          <w:rFonts w:ascii="Times New Roman" w:hAnsi="Times New Roman" w:cs="Times New Roman"/>
          <w:kern w:val="0"/>
          <w:sz w:val="24"/>
          <w:szCs w:val="24"/>
        </w:rPr>
        <w:t>П</w:t>
      </w:r>
      <w:r w:rsidRPr="00F43628">
        <w:rPr>
          <w:rFonts w:ascii="Times New Roman" w:hAnsi="Times New Roman" w:cs="Times New Roman"/>
          <w:kern w:val="0"/>
          <w:sz w:val="24"/>
          <w:szCs w:val="24"/>
        </w:rPr>
        <w:t xml:space="preserve">рограмою </w:t>
      </w:r>
      <w:r w:rsidR="00ED6A0D">
        <w:rPr>
          <w:rFonts w:ascii="Times New Roman" w:hAnsi="Times New Roman" w:cs="Times New Roman"/>
          <w:kern w:val="0"/>
          <w:sz w:val="24"/>
          <w:szCs w:val="24"/>
        </w:rPr>
        <w:t xml:space="preserve">ЄС Еразмус+ за напрямом </w:t>
      </w:r>
      <w:r w:rsidRPr="00F43628">
        <w:rPr>
          <w:rFonts w:ascii="Times New Roman" w:hAnsi="Times New Roman" w:cs="Times New Roman"/>
          <w:kern w:val="0"/>
          <w:sz w:val="24"/>
          <w:szCs w:val="24"/>
        </w:rPr>
        <w:t xml:space="preserve">Erasmus Mundus, </w:t>
      </w:r>
      <w:r w:rsidR="00ED6A0D">
        <w:rPr>
          <w:rFonts w:ascii="Times New Roman" w:hAnsi="Times New Roman" w:cs="Times New Roman"/>
          <w:kern w:val="0"/>
          <w:sz w:val="24"/>
          <w:szCs w:val="24"/>
        </w:rPr>
        <w:t xml:space="preserve">то </w:t>
      </w:r>
      <w:r w:rsidRPr="00F43628">
        <w:rPr>
          <w:rFonts w:ascii="Times New Roman" w:hAnsi="Times New Roman" w:cs="Times New Roman"/>
          <w:kern w:val="0"/>
          <w:sz w:val="24"/>
          <w:szCs w:val="24"/>
        </w:rPr>
        <w:t>доцільн</w:t>
      </w:r>
      <w:r w:rsidR="001761CE">
        <w:rPr>
          <w:rFonts w:ascii="Times New Roman" w:hAnsi="Times New Roman" w:cs="Times New Roman"/>
          <w:kern w:val="0"/>
          <w:sz w:val="24"/>
          <w:szCs w:val="24"/>
        </w:rPr>
        <w:t>о</w:t>
      </w:r>
      <w:r w:rsidRPr="00F43628">
        <w:rPr>
          <w:rFonts w:ascii="Times New Roman" w:hAnsi="Times New Roman" w:cs="Times New Roman"/>
          <w:kern w:val="0"/>
          <w:sz w:val="24"/>
          <w:szCs w:val="24"/>
        </w:rPr>
        <w:t xml:space="preserve"> мати на одного партнера більше, ніж вимагає програма фінансування. </w:t>
      </w:r>
      <w:r w:rsidR="001761CE">
        <w:rPr>
          <w:rFonts w:ascii="Times New Roman" w:hAnsi="Times New Roman" w:cs="Times New Roman"/>
          <w:kern w:val="0"/>
          <w:sz w:val="24"/>
          <w:szCs w:val="24"/>
        </w:rPr>
        <w:t>У випадку, коли</w:t>
      </w:r>
      <w:r w:rsidRPr="00F43628">
        <w:rPr>
          <w:rFonts w:ascii="Times New Roman" w:hAnsi="Times New Roman" w:cs="Times New Roman"/>
          <w:kern w:val="0"/>
          <w:sz w:val="24"/>
          <w:szCs w:val="24"/>
        </w:rPr>
        <w:t xml:space="preserve"> один з партнерів з певної причини не зможе або не захоче брати участь у консорціумі, принаймні </w:t>
      </w:r>
      <w:r w:rsidR="001761CE">
        <w:rPr>
          <w:rFonts w:ascii="Times New Roman" w:hAnsi="Times New Roman" w:cs="Times New Roman"/>
          <w:kern w:val="0"/>
          <w:sz w:val="24"/>
          <w:szCs w:val="24"/>
        </w:rPr>
        <w:t xml:space="preserve">склад </w:t>
      </w:r>
      <w:r w:rsidRPr="00F43628">
        <w:rPr>
          <w:rFonts w:ascii="Times New Roman" w:hAnsi="Times New Roman" w:cs="Times New Roman"/>
          <w:kern w:val="0"/>
          <w:sz w:val="24"/>
          <w:szCs w:val="24"/>
        </w:rPr>
        <w:t>консорціум</w:t>
      </w:r>
      <w:r w:rsidR="001761CE">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матиме достатню кількість партнерів, щоб продовжувати </w:t>
      </w:r>
      <w:r w:rsidR="00ED6A0D">
        <w:rPr>
          <w:rFonts w:ascii="Times New Roman" w:hAnsi="Times New Roman" w:cs="Times New Roman"/>
          <w:kern w:val="0"/>
          <w:sz w:val="24"/>
          <w:szCs w:val="24"/>
        </w:rPr>
        <w:t>реалізовувати</w:t>
      </w:r>
      <w:r w:rsidRPr="00F43628">
        <w:rPr>
          <w:rFonts w:ascii="Times New Roman" w:hAnsi="Times New Roman" w:cs="Times New Roman"/>
          <w:kern w:val="0"/>
          <w:sz w:val="24"/>
          <w:szCs w:val="24"/>
        </w:rPr>
        <w:t xml:space="preserve"> </w:t>
      </w:r>
      <w:r w:rsidR="001761CE">
        <w:rPr>
          <w:rFonts w:ascii="Times New Roman" w:hAnsi="Times New Roman" w:cs="Times New Roman"/>
          <w:kern w:val="0"/>
          <w:sz w:val="24"/>
          <w:szCs w:val="24"/>
        </w:rPr>
        <w:t xml:space="preserve">міжнародну </w:t>
      </w:r>
      <w:r w:rsidRPr="00F43628">
        <w:rPr>
          <w:rFonts w:ascii="Times New Roman" w:hAnsi="Times New Roman" w:cs="Times New Roman"/>
          <w:kern w:val="0"/>
          <w:sz w:val="24"/>
          <w:szCs w:val="24"/>
        </w:rPr>
        <w:t>спільну програму.</w:t>
      </w:r>
      <w:r w:rsidR="00ED6A0D">
        <w:rPr>
          <w:rFonts w:ascii="Times New Roman" w:hAnsi="Times New Roman" w:cs="Times New Roman"/>
          <w:kern w:val="0"/>
          <w:sz w:val="24"/>
          <w:szCs w:val="24"/>
        </w:rPr>
        <w:t xml:space="preserve"> Т</w:t>
      </w:r>
      <w:r w:rsidRPr="00F43628">
        <w:rPr>
          <w:rFonts w:ascii="Times New Roman" w:hAnsi="Times New Roman" w:cs="Times New Roman"/>
          <w:kern w:val="0"/>
          <w:sz w:val="24"/>
          <w:szCs w:val="24"/>
        </w:rPr>
        <w:t>акож мож</w:t>
      </w:r>
      <w:r w:rsidR="00ED6A0D">
        <w:rPr>
          <w:rFonts w:ascii="Times New Roman" w:hAnsi="Times New Roman" w:cs="Times New Roman"/>
          <w:kern w:val="0"/>
          <w:sz w:val="24"/>
          <w:szCs w:val="24"/>
        </w:rPr>
        <w:t>на</w:t>
      </w:r>
      <w:r w:rsidRPr="00F43628">
        <w:rPr>
          <w:rFonts w:ascii="Times New Roman" w:hAnsi="Times New Roman" w:cs="Times New Roman"/>
          <w:kern w:val="0"/>
          <w:sz w:val="24"/>
          <w:szCs w:val="24"/>
        </w:rPr>
        <w:t xml:space="preserve"> залучити </w:t>
      </w:r>
      <w:r w:rsidRPr="00F43628">
        <w:rPr>
          <w:rFonts w:ascii="Times New Roman" w:hAnsi="Times New Roman" w:cs="Times New Roman"/>
          <w:i/>
          <w:iCs/>
          <w:kern w:val="0"/>
          <w:sz w:val="24"/>
          <w:szCs w:val="24"/>
        </w:rPr>
        <w:t xml:space="preserve">асоційованих </w:t>
      </w:r>
      <w:r w:rsidRPr="00F43628">
        <w:rPr>
          <w:rFonts w:ascii="Times New Roman" w:hAnsi="Times New Roman" w:cs="Times New Roman"/>
          <w:kern w:val="0"/>
          <w:sz w:val="24"/>
          <w:szCs w:val="24"/>
        </w:rPr>
        <w:t xml:space="preserve">партнерів, </w:t>
      </w:r>
      <w:r w:rsidR="001761CE">
        <w:rPr>
          <w:rFonts w:ascii="Times New Roman" w:hAnsi="Times New Roman" w:cs="Times New Roman"/>
          <w:kern w:val="0"/>
          <w:sz w:val="24"/>
          <w:szCs w:val="24"/>
        </w:rPr>
        <w:t xml:space="preserve">тобто таких, </w:t>
      </w:r>
      <w:r w:rsidRPr="00F43628">
        <w:rPr>
          <w:rFonts w:ascii="Times New Roman" w:hAnsi="Times New Roman" w:cs="Times New Roman"/>
          <w:kern w:val="0"/>
          <w:sz w:val="24"/>
          <w:szCs w:val="24"/>
        </w:rPr>
        <w:t xml:space="preserve">які </w:t>
      </w:r>
      <w:r w:rsidR="001761CE">
        <w:rPr>
          <w:rFonts w:ascii="Times New Roman" w:hAnsi="Times New Roman" w:cs="Times New Roman"/>
          <w:kern w:val="0"/>
          <w:sz w:val="24"/>
          <w:szCs w:val="24"/>
        </w:rPr>
        <w:t>долучені до</w:t>
      </w:r>
      <w:r w:rsidRPr="00F43628">
        <w:rPr>
          <w:rFonts w:ascii="Times New Roman" w:hAnsi="Times New Roman" w:cs="Times New Roman"/>
          <w:kern w:val="0"/>
          <w:sz w:val="24"/>
          <w:szCs w:val="24"/>
        </w:rPr>
        <w:t xml:space="preserve"> </w:t>
      </w:r>
      <w:r w:rsidR="001761CE">
        <w:rPr>
          <w:rFonts w:ascii="Times New Roman" w:hAnsi="Times New Roman" w:cs="Times New Roman"/>
          <w:kern w:val="0"/>
          <w:sz w:val="24"/>
          <w:szCs w:val="24"/>
        </w:rPr>
        <w:t xml:space="preserve">розроблення та реалізації </w:t>
      </w:r>
      <w:r w:rsidRPr="00F43628">
        <w:rPr>
          <w:rFonts w:ascii="Times New Roman" w:hAnsi="Times New Roman" w:cs="Times New Roman"/>
          <w:kern w:val="0"/>
          <w:sz w:val="24"/>
          <w:szCs w:val="24"/>
        </w:rPr>
        <w:t xml:space="preserve">окремих частин </w:t>
      </w:r>
      <w:r w:rsidR="00ED6A0D">
        <w:rPr>
          <w:rFonts w:ascii="Times New Roman" w:hAnsi="Times New Roman" w:cs="Times New Roman"/>
          <w:kern w:val="0"/>
          <w:sz w:val="24"/>
          <w:szCs w:val="24"/>
        </w:rPr>
        <w:t xml:space="preserve">спільної </w:t>
      </w:r>
      <w:r w:rsidRPr="00F43628">
        <w:rPr>
          <w:rFonts w:ascii="Times New Roman" w:hAnsi="Times New Roman" w:cs="Times New Roman"/>
          <w:kern w:val="0"/>
          <w:sz w:val="24"/>
          <w:szCs w:val="24"/>
        </w:rPr>
        <w:t>програми, наприклад читаю</w:t>
      </w:r>
      <w:r w:rsidR="00ED6A0D">
        <w:rPr>
          <w:rFonts w:ascii="Times New Roman" w:hAnsi="Times New Roman" w:cs="Times New Roman"/>
          <w:kern w:val="0"/>
          <w:sz w:val="24"/>
          <w:szCs w:val="24"/>
        </w:rPr>
        <w:t xml:space="preserve">ть </w:t>
      </w:r>
      <w:r w:rsidRPr="00F43628">
        <w:rPr>
          <w:rFonts w:ascii="Times New Roman" w:hAnsi="Times New Roman" w:cs="Times New Roman"/>
          <w:kern w:val="0"/>
          <w:sz w:val="24"/>
          <w:szCs w:val="24"/>
        </w:rPr>
        <w:t xml:space="preserve">лекції, </w:t>
      </w:r>
      <w:r w:rsidR="001D616D">
        <w:rPr>
          <w:rFonts w:ascii="Times New Roman" w:hAnsi="Times New Roman" w:cs="Times New Roman"/>
          <w:kern w:val="0"/>
          <w:sz w:val="24"/>
          <w:szCs w:val="24"/>
        </w:rPr>
        <w:t>забезпечують</w:t>
      </w:r>
      <w:r w:rsidRPr="00F43628">
        <w:rPr>
          <w:rFonts w:ascii="Times New Roman" w:hAnsi="Times New Roman" w:cs="Times New Roman"/>
          <w:kern w:val="0"/>
          <w:sz w:val="24"/>
          <w:szCs w:val="24"/>
        </w:rPr>
        <w:t xml:space="preserve"> стажування або </w:t>
      </w:r>
      <w:r w:rsidR="00ED6A0D">
        <w:rPr>
          <w:rFonts w:ascii="Times New Roman" w:hAnsi="Times New Roman" w:cs="Times New Roman"/>
          <w:kern w:val="0"/>
          <w:sz w:val="24"/>
          <w:szCs w:val="24"/>
        </w:rPr>
        <w:t>практику</w:t>
      </w:r>
      <w:r w:rsidRPr="00F43628">
        <w:rPr>
          <w:rFonts w:ascii="Times New Roman" w:hAnsi="Times New Roman" w:cs="Times New Roman"/>
          <w:kern w:val="0"/>
          <w:sz w:val="24"/>
          <w:szCs w:val="24"/>
        </w:rPr>
        <w:t xml:space="preserve">. </w:t>
      </w:r>
    </w:p>
    <w:p w14:paraId="56E92DD3" w14:textId="72C94AF6" w:rsidR="00CA1B5D" w:rsidRPr="00F43628" w:rsidRDefault="00ED6A0D" w:rsidP="00FA7A2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Зауважте, що, ч</w:t>
      </w:r>
      <w:r w:rsidR="00CA1B5D" w:rsidRPr="00F43628">
        <w:rPr>
          <w:rFonts w:ascii="Times New Roman" w:hAnsi="Times New Roman" w:cs="Times New Roman"/>
          <w:kern w:val="0"/>
          <w:sz w:val="24"/>
          <w:szCs w:val="24"/>
        </w:rPr>
        <w:t>им більше партнерів у консорціумі, тим складніше координувати співпрацю і тим вища потреба у формальних організаційних структурах</w:t>
      </w:r>
      <w:r w:rsidR="001D616D">
        <w:rPr>
          <w:rFonts w:ascii="Times New Roman" w:hAnsi="Times New Roman" w:cs="Times New Roman"/>
          <w:kern w:val="0"/>
          <w:sz w:val="24"/>
          <w:szCs w:val="24"/>
        </w:rPr>
        <w:t xml:space="preserve"> для реалізації спільної програми</w:t>
      </w:r>
      <w:r w:rsidR="00CA1B5D" w:rsidRPr="00F43628">
        <w:rPr>
          <w:rFonts w:ascii="Times New Roman" w:hAnsi="Times New Roman" w:cs="Times New Roman"/>
          <w:kern w:val="0"/>
          <w:sz w:val="24"/>
          <w:szCs w:val="24"/>
        </w:rPr>
        <w:t>.</w:t>
      </w:r>
    </w:p>
    <w:p w14:paraId="76E8A8AF" w14:textId="02B93997" w:rsidR="007D4583" w:rsidRPr="00917D28" w:rsidRDefault="0097725A" w:rsidP="00FA7A2E">
      <w:pPr>
        <w:pStyle w:val="2"/>
        <w:spacing w:before="100" w:beforeAutospacing="1" w:after="100" w:afterAutospacing="1" w:line="240" w:lineRule="auto"/>
        <w:rPr>
          <w:rFonts w:ascii="Times New Roman" w:hAnsi="Times New Roman" w:cs="Times New Roman"/>
          <w:b/>
          <w:bCs/>
          <w:sz w:val="24"/>
          <w:szCs w:val="24"/>
        </w:rPr>
      </w:pPr>
      <w:bookmarkStart w:id="10" w:name="_Toc188337402"/>
      <w:r>
        <w:rPr>
          <w:rFonts w:ascii="Times New Roman" w:hAnsi="Times New Roman" w:cs="Times New Roman"/>
          <w:b/>
          <w:bCs/>
          <w:sz w:val="24"/>
          <w:szCs w:val="24"/>
        </w:rPr>
        <w:t xml:space="preserve">3.3. </w:t>
      </w:r>
      <w:r w:rsidR="00BE5C12" w:rsidRPr="00917D28">
        <w:rPr>
          <w:rFonts w:ascii="Times New Roman" w:hAnsi="Times New Roman" w:cs="Times New Roman"/>
          <w:b/>
          <w:bCs/>
          <w:sz w:val="24"/>
          <w:szCs w:val="24"/>
        </w:rPr>
        <w:t>С</w:t>
      </w:r>
      <w:bookmarkEnd w:id="10"/>
      <w:r w:rsidR="00BE5C12" w:rsidRPr="00917D28">
        <w:rPr>
          <w:rFonts w:ascii="Times New Roman" w:hAnsi="Times New Roman" w:cs="Times New Roman"/>
          <w:b/>
          <w:bCs/>
          <w:sz w:val="24"/>
          <w:szCs w:val="24"/>
        </w:rPr>
        <w:t>пільні з партнерами кроки</w:t>
      </w:r>
    </w:p>
    <w:p w14:paraId="3C1DD40C" w14:textId="676374FD" w:rsidR="007D4583" w:rsidRPr="00F43628" w:rsidRDefault="00BE5C12" w:rsidP="00015077">
      <w:pPr>
        <w:numPr>
          <w:ilvl w:val="0"/>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Визначити мету </w:t>
      </w:r>
      <w:r w:rsidR="005A1E41" w:rsidRPr="00BE5C12">
        <w:rPr>
          <w:rFonts w:ascii="Times New Roman" w:hAnsi="Times New Roman" w:cs="Times New Roman"/>
          <w:kern w:val="0"/>
          <w:sz w:val="24"/>
          <w:szCs w:val="24"/>
        </w:rPr>
        <w:t>спільної програми</w:t>
      </w:r>
      <w:r w:rsidRPr="00BE5C12">
        <w:rPr>
          <w:rFonts w:ascii="Times New Roman" w:hAnsi="Times New Roman" w:cs="Times New Roman"/>
          <w:kern w:val="0"/>
          <w:sz w:val="24"/>
          <w:szCs w:val="24"/>
        </w:rPr>
        <w:t>.</w:t>
      </w:r>
    </w:p>
    <w:p w14:paraId="5A73601C" w14:textId="4BBC15F1" w:rsidR="007D4583" w:rsidRPr="00BE5C12" w:rsidRDefault="00BE5C12" w:rsidP="00015077">
      <w:pPr>
        <w:numPr>
          <w:ilvl w:val="0"/>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sidRPr="00BE5C12">
        <w:rPr>
          <w:rFonts w:ascii="Times New Roman" w:hAnsi="Times New Roman" w:cs="Times New Roman"/>
          <w:kern w:val="0"/>
          <w:sz w:val="24"/>
          <w:szCs w:val="24"/>
        </w:rPr>
        <w:t xml:space="preserve">З’ясувати вимоги </w:t>
      </w:r>
      <w:r w:rsidR="005A1E41" w:rsidRPr="00BE5C12">
        <w:rPr>
          <w:rFonts w:ascii="Times New Roman" w:hAnsi="Times New Roman" w:cs="Times New Roman"/>
          <w:kern w:val="0"/>
          <w:sz w:val="24"/>
          <w:szCs w:val="24"/>
        </w:rPr>
        <w:t>національн</w:t>
      </w:r>
      <w:r>
        <w:rPr>
          <w:rFonts w:ascii="Times New Roman" w:hAnsi="Times New Roman" w:cs="Times New Roman"/>
          <w:kern w:val="0"/>
          <w:sz w:val="24"/>
          <w:szCs w:val="24"/>
        </w:rPr>
        <w:t>ого</w:t>
      </w:r>
      <w:r w:rsidR="005A1E41" w:rsidRPr="00BE5C12">
        <w:rPr>
          <w:rFonts w:ascii="Times New Roman" w:hAnsi="Times New Roman" w:cs="Times New Roman"/>
          <w:kern w:val="0"/>
          <w:sz w:val="24"/>
          <w:szCs w:val="24"/>
        </w:rPr>
        <w:t xml:space="preserve"> законодавств</w:t>
      </w:r>
      <w:r>
        <w:rPr>
          <w:rFonts w:ascii="Times New Roman" w:hAnsi="Times New Roman" w:cs="Times New Roman"/>
          <w:kern w:val="0"/>
          <w:sz w:val="24"/>
          <w:szCs w:val="24"/>
        </w:rPr>
        <w:t>а</w:t>
      </w:r>
      <w:r w:rsidR="005A1E41" w:rsidRPr="00BE5C12">
        <w:rPr>
          <w:rFonts w:ascii="Times New Roman" w:hAnsi="Times New Roman" w:cs="Times New Roman"/>
          <w:kern w:val="0"/>
          <w:sz w:val="24"/>
          <w:szCs w:val="24"/>
        </w:rPr>
        <w:t xml:space="preserve"> </w:t>
      </w:r>
      <w:r w:rsidR="00894192">
        <w:rPr>
          <w:rFonts w:ascii="Times New Roman" w:hAnsi="Times New Roman" w:cs="Times New Roman"/>
          <w:kern w:val="0"/>
          <w:sz w:val="24"/>
          <w:szCs w:val="24"/>
        </w:rPr>
        <w:t xml:space="preserve">та інституційні політики </w:t>
      </w:r>
      <w:r w:rsidRPr="00BE5C12">
        <w:rPr>
          <w:rFonts w:ascii="Times New Roman" w:hAnsi="Times New Roman" w:cs="Times New Roman"/>
          <w:kern w:val="0"/>
          <w:sz w:val="24"/>
          <w:szCs w:val="24"/>
        </w:rPr>
        <w:t xml:space="preserve">щодо </w:t>
      </w:r>
      <w:r w:rsidR="005A1E41" w:rsidRPr="00BE5C12">
        <w:rPr>
          <w:rFonts w:ascii="Times New Roman" w:hAnsi="Times New Roman" w:cs="Times New Roman"/>
          <w:kern w:val="0"/>
          <w:sz w:val="24"/>
          <w:szCs w:val="24"/>
        </w:rPr>
        <w:t>розробл</w:t>
      </w:r>
      <w:r w:rsidRPr="00BE5C12">
        <w:rPr>
          <w:rFonts w:ascii="Times New Roman" w:hAnsi="Times New Roman" w:cs="Times New Roman"/>
          <w:kern w:val="0"/>
          <w:sz w:val="24"/>
          <w:szCs w:val="24"/>
        </w:rPr>
        <w:t xml:space="preserve">ення та реалізації національної/міжнародної </w:t>
      </w:r>
      <w:r w:rsidR="005A1E41" w:rsidRPr="00BE5C12">
        <w:rPr>
          <w:rFonts w:ascii="Times New Roman" w:hAnsi="Times New Roman" w:cs="Times New Roman"/>
          <w:kern w:val="0"/>
          <w:sz w:val="24"/>
          <w:szCs w:val="24"/>
        </w:rPr>
        <w:t>спільн</w:t>
      </w:r>
      <w:r w:rsidRPr="00BE5C12">
        <w:rPr>
          <w:rFonts w:ascii="Times New Roman" w:hAnsi="Times New Roman" w:cs="Times New Roman"/>
          <w:kern w:val="0"/>
          <w:sz w:val="24"/>
          <w:szCs w:val="24"/>
        </w:rPr>
        <w:t>ої</w:t>
      </w:r>
      <w:r w:rsidR="005A1E41" w:rsidRPr="00BE5C12">
        <w:rPr>
          <w:rFonts w:ascii="Times New Roman" w:hAnsi="Times New Roman" w:cs="Times New Roman"/>
          <w:kern w:val="0"/>
          <w:sz w:val="24"/>
          <w:szCs w:val="24"/>
        </w:rPr>
        <w:t xml:space="preserve"> програм</w:t>
      </w:r>
      <w:r w:rsidRPr="00BE5C12">
        <w:rPr>
          <w:rFonts w:ascii="Times New Roman" w:hAnsi="Times New Roman" w:cs="Times New Roman"/>
          <w:kern w:val="0"/>
          <w:sz w:val="24"/>
          <w:szCs w:val="24"/>
        </w:rPr>
        <w:t>и</w:t>
      </w:r>
      <w:r>
        <w:rPr>
          <w:rFonts w:ascii="Times New Roman" w:hAnsi="Times New Roman" w:cs="Times New Roman"/>
          <w:kern w:val="0"/>
          <w:sz w:val="24"/>
          <w:szCs w:val="24"/>
        </w:rPr>
        <w:t>.</w:t>
      </w:r>
    </w:p>
    <w:p w14:paraId="480034CE" w14:textId="28BBC0CB" w:rsidR="007D4583" w:rsidRPr="001604CB" w:rsidRDefault="001604CB" w:rsidP="00015077">
      <w:pPr>
        <w:numPr>
          <w:ilvl w:val="0"/>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sidRPr="001604CB">
        <w:rPr>
          <w:rFonts w:ascii="Times New Roman" w:hAnsi="Times New Roman" w:cs="Times New Roman"/>
          <w:kern w:val="0"/>
          <w:sz w:val="24"/>
          <w:szCs w:val="24"/>
        </w:rPr>
        <w:t xml:space="preserve">Визначити </w:t>
      </w:r>
      <w:r>
        <w:rPr>
          <w:rFonts w:ascii="Times New Roman" w:hAnsi="Times New Roman" w:cs="Times New Roman"/>
          <w:kern w:val="0"/>
          <w:sz w:val="24"/>
          <w:szCs w:val="24"/>
        </w:rPr>
        <w:t xml:space="preserve">зміст і </w:t>
      </w:r>
      <w:r w:rsidRPr="001604CB">
        <w:rPr>
          <w:rFonts w:ascii="Times New Roman" w:hAnsi="Times New Roman" w:cs="Times New Roman"/>
          <w:kern w:val="0"/>
          <w:sz w:val="24"/>
          <w:szCs w:val="24"/>
        </w:rPr>
        <w:t xml:space="preserve">структуру </w:t>
      </w:r>
      <w:r w:rsidR="005A1E41" w:rsidRPr="001604CB">
        <w:rPr>
          <w:rFonts w:ascii="Times New Roman" w:hAnsi="Times New Roman" w:cs="Times New Roman"/>
          <w:kern w:val="0"/>
          <w:sz w:val="24"/>
          <w:szCs w:val="24"/>
        </w:rPr>
        <w:t>спільн</w:t>
      </w:r>
      <w:r>
        <w:rPr>
          <w:rFonts w:ascii="Times New Roman" w:hAnsi="Times New Roman" w:cs="Times New Roman"/>
          <w:kern w:val="0"/>
          <w:sz w:val="24"/>
          <w:szCs w:val="24"/>
        </w:rPr>
        <w:t>ої</w:t>
      </w:r>
      <w:r w:rsidR="005A1E41" w:rsidRPr="001604CB">
        <w:rPr>
          <w:rFonts w:ascii="Times New Roman" w:hAnsi="Times New Roman" w:cs="Times New Roman"/>
          <w:kern w:val="0"/>
          <w:sz w:val="24"/>
          <w:szCs w:val="24"/>
        </w:rPr>
        <w:t xml:space="preserve"> програм</w:t>
      </w:r>
      <w:r>
        <w:rPr>
          <w:rFonts w:ascii="Times New Roman" w:hAnsi="Times New Roman" w:cs="Times New Roman"/>
          <w:kern w:val="0"/>
          <w:sz w:val="24"/>
          <w:szCs w:val="24"/>
        </w:rPr>
        <w:t xml:space="preserve">и, що влаштовує </w:t>
      </w:r>
      <w:r w:rsidR="00B15753">
        <w:rPr>
          <w:rFonts w:ascii="Times New Roman" w:hAnsi="Times New Roman" w:cs="Times New Roman"/>
          <w:kern w:val="0"/>
          <w:sz w:val="24"/>
          <w:szCs w:val="24"/>
        </w:rPr>
        <w:t xml:space="preserve">всіх </w:t>
      </w:r>
      <w:r>
        <w:rPr>
          <w:rFonts w:ascii="Times New Roman" w:hAnsi="Times New Roman" w:cs="Times New Roman"/>
          <w:kern w:val="0"/>
          <w:sz w:val="24"/>
          <w:szCs w:val="24"/>
        </w:rPr>
        <w:t>партнерів (</w:t>
      </w:r>
      <w:r w:rsidR="005A1E41" w:rsidRPr="001604CB">
        <w:rPr>
          <w:rFonts w:ascii="Times New Roman" w:hAnsi="Times New Roman" w:cs="Times New Roman"/>
          <w:kern w:val="0"/>
          <w:sz w:val="24"/>
          <w:szCs w:val="24"/>
        </w:rPr>
        <w:t>для країн консорціуму</w:t>
      </w:r>
      <w:r>
        <w:rPr>
          <w:rFonts w:ascii="Times New Roman" w:hAnsi="Times New Roman" w:cs="Times New Roman"/>
          <w:kern w:val="0"/>
          <w:sz w:val="24"/>
          <w:szCs w:val="24"/>
        </w:rPr>
        <w:t xml:space="preserve"> за наявності).</w:t>
      </w:r>
    </w:p>
    <w:p w14:paraId="09DBF0AE" w14:textId="5C0064E5" w:rsidR="007D4583" w:rsidRPr="00F43628" w:rsidRDefault="001604CB" w:rsidP="00015077">
      <w:pPr>
        <w:numPr>
          <w:ilvl w:val="0"/>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Ідентифікувати потреби в академічних, кадрових, фінансових, матеріально-технічних та інших потребах для розроблення та реалізації спільної програми. </w:t>
      </w:r>
    </w:p>
    <w:p w14:paraId="04B3A156" w14:textId="78A55C45" w:rsidR="007D4583" w:rsidRPr="00F43628" w:rsidRDefault="001E5B68" w:rsidP="00015077">
      <w:pPr>
        <w:numPr>
          <w:ilvl w:val="0"/>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Дослідити та визначити:</w:t>
      </w:r>
    </w:p>
    <w:p w14:paraId="7A411B6F" w14:textId="427D02BF" w:rsidR="007D4583" w:rsidRPr="001E5B68" w:rsidRDefault="005A1E41"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sidRPr="001E5B68">
        <w:rPr>
          <w:rFonts w:ascii="Times New Roman" w:hAnsi="Times New Roman" w:cs="Times New Roman"/>
          <w:kern w:val="0"/>
          <w:sz w:val="24"/>
          <w:szCs w:val="24"/>
        </w:rPr>
        <w:t xml:space="preserve">відповідний студентський ринок </w:t>
      </w:r>
      <w:r w:rsidR="009C4799">
        <w:rPr>
          <w:rFonts w:ascii="Times New Roman" w:hAnsi="Times New Roman" w:cs="Times New Roman"/>
          <w:kern w:val="0"/>
          <w:sz w:val="24"/>
          <w:szCs w:val="24"/>
        </w:rPr>
        <w:t>і</w:t>
      </w:r>
      <w:r w:rsidRPr="001E5B68">
        <w:rPr>
          <w:rFonts w:ascii="Times New Roman" w:hAnsi="Times New Roman" w:cs="Times New Roman"/>
          <w:kern w:val="0"/>
          <w:sz w:val="24"/>
          <w:szCs w:val="24"/>
        </w:rPr>
        <w:t xml:space="preserve"> можливості </w:t>
      </w:r>
      <w:r w:rsidR="009C4799">
        <w:rPr>
          <w:rFonts w:ascii="Times New Roman" w:hAnsi="Times New Roman" w:cs="Times New Roman"/>
          <w:kern w:val="0"/>
          <w:sz w:val="24"/>
          <w:szCs w:val="24"/>
        </w:rPr>
        <w:t xml:space="preserve">працевлаштування </w:t>
      </w:r>
      <w:r w:rsidRPr="001E5B68">
        <w:rPr>
          <w:rFonts w:ascii="Times New Roman" w:hAnsi="Times New Roman" w:cs="Times New Roman"/>
          <w:kern w:val="0"/>
          <w:sz w:val="24"/>
          <w:szCs w:val="24"/>
        </w:rPr>
        <w:t xml:space="preserve">на ринку праці для </w:t>
      </w:r>
      <w:r w:rsidR="009C4799">
        <w:rPr>
          <w:rFonts w:ascii="Times New Roman" w:hAnsi="Times New Roman" w:cs="Times New Roman"/>
          <w:kern w:val="0"/>
          <w:sz w:val="24"/>
          <w:szCs w:val="24"/>
        </w:rPr>
        <w:t xml:space="preserve">випускників </w:t>
      </w:r>
      <w:r w:rsidRPr="001E5B68">
        <w:rPr>
          <w:rFonts w:ascii="Times New Roman" w:hAnsi="Times New Roman" w:cs="Times New Roman"/>
          <w:kern w:val="0"/>
          <w:sz w:val="24"/>
          <w:szCs w:val="24"/>
        </w:rPr>
        <w:t>спільної програми</w:t>
      </w:r>
      <w:r w:rsidR="001E5B68" w:rsidRPr="001E5B68">
        <w:rPr>
          <w:rFonts w:ascii="Times New Roman" w:hAnsi="Times New Roman" w:cs="Times New Roman"/>
          <w:kern w:val="0"/>
          <w:sz w:val="24"/>
          <w:szCs w:val="24"/>
        </w:rPr>
        <w:t>;</w:t>
      </w:r>
    </w:p>
    <w:p w14:paraId="0B187B29" w14:textId="2DC56DA5" w:rsidR="007D4583" w:rsidRPr="001E5B68" w:rsidRDefault="001E5B68"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sidRPr="001E5B68">
        <w:rPr>
          <w:rFonts w:ascii="Times New Roman" w:hAnsi="Times New Roman" w:cs="Times New Roman"/>
          <w:kern w:val="0"/>
          <w:sz w:val="24"/>
          <w:szCs w:val="24"/>
        </w:rPr>
        <w:t>б</w:t>
      </w:r>
      <w:r w:rsidR="005A1E41" w:rsidRPr="001E5B68">
        <w:rPr>
          <w:rFonts w:ascii="Times New Roman" w:hAnsi="Times New Roman" w:cs="Times New Roman"/>
          <w:kern w:val="0"/>
          <w:sz w:val="24"/>
          <w:szCs w:val="24"/>
        </w:rPr>
        <w:t xml:space="preserve">ажаний рівень інтеграції </w:t>
      </w:r>
      <w:r w:rsidRPr="001E5B68">
        <w:rPr>
          <w:rFonts w:ascii="Times New Roman" w:hAnsi="Times New Roman" w:cs="Times New Roman"/>
          <w:kern w:val="0"/>
          <w:sz w:val="24"/>
          <w:szCs w:val="24"/>
        </w:rPr>
        <w:t>освітньої</w:t>
      </w:r>
      <w:r w:rsidR="005A1E41" w:rsidRPr="001E5B68">
        <w:rPr>
          <w:rFonts w:ascii="Times New Roman" w:hAnsi="Times New Roman" w:cs="Times New Roman"/>
          <w:kern w:val="0"/>
          <w:sz w:val="24"/>
          <w:szCs w:val="24"/>
        </w:rPr>
        <w:t xml:space="preserve"> програм</w:t>
      </w:r>
      <w:r w:rsidRPr="001E5B68">
        <w:rPr>
          <w:rFonts w:ascii="Times New Roman" w:hAnsi="Times New Roman" w:cs="Times New Roman"/>
          <w:kern w:val="0"/>
          <w:sz w:val="24"/>
          <w:szCs w:val="24"/>
        </w:rPr>
        <w:t>и</w:t>
      </w:r>
      <w:r w:rsidR="005A1E41" w:rsidRPr="001E5B68">
        <w:rPr>
          <w:rFonts w:ascii="Times New Roman" w:hAnsi="Times New Roman" w:cs="Times New Roman"/>
          <w:kern w:val="0"/>
          <w:sz w:val="24"/>
          <w:szCs w:val="24"/>
        </w:rPr>
        <w:t xml:space="preserve"> </w:t>
      </w:r>
      <w:r w:rsidR="00D426BE">
        <w:rPr>
          <w:rFonts w:ascii="Times New Roman" w:hAnsi="Times New Roman" w:cs="Times New Roman"/>
          <w:kern w:val="0"/>
          <w:sz w:val="24"/>
          <w:szCs w:val="24"/>
        </w:rPr>
        <w:t xml:space="preserve">між партнерами </w:t>
      </w:r>
      <w:r w:rsidR="005A1E41" w:rsidRPr="001E5B68">
        <w:rPr>
          <w:rFonts w:ascii="Times New Roman" w:hAnsi="Times New Roman" w:cs="Times New Roman"/>
          <w:kern w:val="0"/>
          <w:sz w:val="24"/>
          <w:szCs w:val="24"/>
        </w:rPr>
        <w:t xml:space="preserve">та </w:t>
      </w:r>
      <w:r>
        <w:rPr>
          <w:rFonts w:ascii="Times New Roman" w:hAnsi="Times New Roman" w:cs="Times New Roman"/>
          <w:kern w:val="0"/>
          <w:sz w:val="24"/>
          <w:szCs w:val="24"/>
        </w:rPr>
        <w:t>підходи до</w:t>
      </w:r>
      <w:r w:rsidR="005A1E41" w:rsidRPr="001E5B68">
        <w:rPr>
          <w:rFonts w:ascii="Times New Roman" w:hAnsi="Times New Roman" w:cs="Times New Roman"/>
          <w:kern w:val="0"/>
          <w:sz w:val="24"/>
          <w:szCs w:val="24"/>
        </w:rPr>
        <w:t xml:space="preserve"> студентської мобільності</w:t>
      </w:r>
      <w:r>
        <w:rPr>
          <w:rFonts w:ascii="Times New Roman" w:hAnsi="Times New Roman" w:cs="Times New Roman"/>
          <w:kern w:val="0"/>
          <w:sz w:val="24"/>
          <w:szCs w:val="24"/>
        </w:rPr>
        <w:t xml:space="preserve"> в межах спільної програми;</w:t>
      </w:r>
    </w:p>
    <w:p w14:paraId="4A6180D0" w14:textId="52691210" w:rsidR="007D4583" w:rsidRDefault="001E5B68"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процедуру в</w:t>
      </w:r>
      <w:r w:rsidR="005A1E41" w:rsidRPr="001E5B68">
        <w:rPr>
          <w:rFonts w:ascii="Times New Roman" w:hAnsi="Times New Roman" w:cs="Times New Roman"/>
          <w:kern w:val="0"/>
          <w:sz w:val="24"/>
          <w:szCs w:val="24"/>
        </w:rPr>
        <w:t>ступ</w:t>
      </w:r>
      <w:r>
        <w:rPr>
          <w:rFonts w:ascii="Times New Roman" w:hAnsi="Times New Roman" w:cs="Times New Roman"/>
          <w:kern w:val="0"/>
          <w:sz w:val="24"/>
          <w:szCs w:val="24"/>
        </w:rPr>
        <w:t>у на спільну програму</w:t>
      </w:r>
      <w:r w:rsidRPr="001E5B68">
        <w:rPr>
          <w:rFonts w:ascii="Times New Roman" w:hAnsi="Times New Roman" w:cs="Times New Roman"/>
          <w:kern w:val="0"/>
          <w:sz w:val="24"/>
          <w:szCs w:val="24"/>
        </w:rPr>
        <w:t xml:space="preserve"> </w:t>
      </w:r>
      <w:r>
        <w:rPr>
          <w:rFonts w:ascii="Times New Roman" w:hAnsi="Times New Roman" w:cs="Times New Roman"/>
          <w:kern w:val="0"/>
          <w:sz w:val="24"/>
          <w:szCs w:val="24"/>
        </w:rPr>
        <w:t>та її організацію (</w:t>
      </w:r>
      <w:r w:rsidR="005A1E41" w:rsidRPr="001E5B68">
        <w:rPr>
          <w:rFonts w:ascii="Times New Roman" w:hAnsi="Times New Roman" w:cs="Times New Roman"/>
          <w:kern w:val="0"/>
          <w:sz w:val="24"/>
          <w:szCs w:val="24"/>
        </w:rPr>
        <w:t>спільн</w:t>
      </w:r>
      <w:r>
        <w:rPr>
          <w:rFonts w:ascii="Times New Roman" w:hAnsi="Times New Roman" w:cs="Times New Roman"/>
          <w:kern w:val="0"/>
          <w:sz w:val="24"/>
          <w:szCs w:val="24"/>
        </w:rPr>
        <w:t>у</w:t>
      </w:r>
      <w:r w:rsidR="005A1E41" w:rsidRPr="001E5B68">
        <w:rPr>
          <w:rFonts w:ascii="Times New Roman" w:hAnsi="Times New Roman" w:cs="Times New Roman"/>
          <w:kern w:val="0"/>
          <w:sz w:val="24"/>
          <w:szCs w:val="24"/>
        </w:rPr>
        <w:t xml:space="preserve"> чи окрем</w:t>
      </w:r>
      <w:r>
        <w:rPr>
          <w:rFonts w:ascii="Times New Roman" w:hAnsi="Times New Roman" w:cs="Times New Roman"/>
          <w:kern w:val="0"/>
          <w:sz w:val="24"/>
          <w:szCs w:val="24"/>
        </w:rPr>
        <w:t>у для кожного партнера);</w:t>
      </w:r>
    </w:p>
    <w:p w14:paraId="2888F2DA" w14:textId="7D14597B" w:rsidR="00E0331A" w:rsidRPr="001E5B68" w:rsidRDefault="00E0331A"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підходи до </w:t>
      </w:r>
      <w:r w:rsidRPr="00F43628">
        <w:rPr>
          <w:rFonts w:ascii="Times New Roman" w:hAnsi="Times New Roman" w:cs="Times New Roman"/>
          <w:kern w:val="0"/>
          <w:sz w:val="24"/>
          <w:szCs w:val="24"/>
        </w:rPr>
        <w:t>вимірювання прогресу</w:t>
      </w:r>
      <w:r>
        <w:rPr>
          <w:rFonts w:ascii="Times New Roman" w:hAnsi="Times New Roman" w:cs="Times New Roman"/>
          <w:kern w:val="0"/>
          <w:sz w:val="24"/>
          <w:szCs w:val="24"/>
        </w:rPr>
        <w:t xml:space="preserve"> студентів і переводу на наступний курс навчання;</w:t>
      </w:r>
    </w:p>
    <w:p w14:paraId="66C59C7E" w14:textId="72532D8A" w:rsidR="007D4583" w:rsidRPr="001E5B68" w:rsidRDefault="001E5B68"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м</w:t>
      </w:r>
      <w:r w:rsidR="005A1E41" w:rsidRPr="001E5B68">
        <w:rPr>
          <w:rFonts w:ascii="Times New Roman" w:hAnsi="Times New Roman" w:cs="Times New Roman"/>
          <w:kern w:val="0"/>
          <w:sz w:val="24"/>
          <w:szCs w:val="24"/>
        </w:rPr>
        <w:t>одель управління</w:t>
      </w:r>
      <w:r>
        <w:rPr>
          <w:rFonts w:ascii="Times New Roman" w:hAnsi="Times New Roman" w:cs="Times New Roman"/>
          <w:kern w:val="0"/>
          <w:sz w:val="24"/>
          <w:szCs w:val="24"/>
        </w:rPr>
        <w:t xml:space="preserve"> реалізацією спільної програми;</w:t>
      </w:r>
    </w:p>
    <w:p w14:paraId="49F6C7A3" w14:textId="131B4EE0" w:rsidR="001E5B68" w:rsidRDefault="001E5B68"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підходи до </w:t>
      </w:r>
      <w:r w:rsidR="005A1E41" w:rsidRPr="001E5B68">
        <w:rPr>
          <w:rFonts w:ascii="Times New Roman" w:hAnsi="Times New Roman" w:cs="Times New Roman"/>
          <w:kern w:val="0"/>
          <w:sz w:val="24"/>
          <w:szCs w:val="24"/>
        </w:rPr>
        <w:t>акредитації</w:t>
      </w:r>
      <w:r>
        <w:rPr>
          <w:rFonts w:ascii="Times New Roman" w:hAnsi="Times New Roman" w:cs="Times New Roman"/>
          <w:kern w:val="0"/>
          <w:sz w:val="24"/>
          <w:szCs w:val="24"/>
        </w:rPr>
        <w:t>;</w:t>
      </w:r>
    </w:p>
    <w:p w14:paraId="2508A07A" w14:textId="0CE7E901" w:rsidR="007D4583" w:rsidRPr="001E5B68" w:rsidRDefault="00AC7193" w:rsidP="00015077">
      <w:pPr>
        <w:numPr>
          <w:ilvl w:val="1"/>
          <w:numId w:val="109"/>
        </w:numPr>
        <w:autoSpaceDE w:val="0"/>
        <w:autoSpaceDN w:val="0"/>
        <w:adjustRightInd w:val="0"/>
        <w:spacing w:after="0" w:line="240" w:lineRule="auto"/>
        <w:ind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джерела та схеми </w:t>
      </w:r>
      <w:r w:rsidR="005A1E41" w:rsidRPr="001E5B68">
        <w:rPr>
          <w:rFonts w:ascii="Times New Roman" w:hAnsi="Times New Roman" w:cs="Times New Roman"/>
          <w:kern w:val="0"/>
          <w:sz w:val="24"/>
          <w:szCs w:val="24"/>
        </w:rPr>
        <w:t>фінансування</w:t>
      </w:r>
      <w:r>
        <w:rPr>
          <w:rFonts w:ascii="Times New Roman" w:hAnsi="Times New Roman" w:cs="Times New Roman"/>
          <w:kern w:val="0"/>
          <w:sz w:val="24"/>
          <w:szCs w:val="24"/>
        </w:rPr>
        <w:t xml:space="preserve"> спільної програми</w:t>
      </w:r>
      <w:r w:rsidR="001E5B68">
        <w:rPr>
          <w:rFonts w:ascii="Times New Roman" w:hAnsi="Times New Roman" w:cs="Times New Roman"/>
          <w:kern w:val="0"/>
          <w:sz w:val="24"/>
          <w:szCs w:val="24"/>
        </w:rPr>
        <w:t>.</w:t>
      </w:r>
    </w:p>
    <w:p w14:paraId="30751AA5" w14:textId="5A0804EE" w:rsidR="00CA1B5D" w:rsidRPr="0061624C" w:rsidRDefault="00CA1B5D" w:rsidP="00015077">
      <w:pPr>
        <w:pStyle w:val="af8"/>
        <w:numPr>
          <w:ilvl w:val="0"/>
          <w:numId w:val="119"/>
        </w:numPr>
        <w:tabs>
          <w:tab w:val="left" w:pos="426"/>
        </w:tabs>
        <w:spacing w:after="0" w:line="240" w:lineRule="auto"/>
        <w:ind w:left="0" w:firstLine="0"/>
        <w:jc w:val="both"/>
      </w:pPr>
      <w:r w:rsidRPr="001E5B68">
        <w:rPr>
          <w:rFonts w:ascii="Times New Roman" w:hAnsi="Times New Roman" w:cs="Times New Roman"/>
          <w:kern w:val="0"/>
          <w:sz w:val="24"/>
          <w:szCs w:val="24"/>
        </w:rPr>
        <w:t>Скла</w:t>
      </w:r>
      <w:r w:rsidR="001E5B68">
        <w:rPr>
          <w:rFonts w:ascii="Times New Roman" w:hAnsi="Times New Roman" w:cs="Times New Roman"/>
          <w:kern w:val="0"/>
          <w:sz w:val="24"/>
          <w:szCs w:val="24"/>
        </w:rPr>
        <w:t>сти</w:t>
      </w:r>
      <w:r w:rsidRPr="001E5B68">
        <w:rPr>
          <w:rFonts w:ascii="Times New Roman" w:hAnsi="Times New Roman" w:cs="Times New Roman"/>
          <w:kern w:val="0"/>
          <w:sz w:val="24"/>
          <w:szCs w:val="24"/>
        </w:rPr>
        <w:t xml:space="preserve"> карту процесу </w:t>
      </w:r>
      <w:r w:rsidR="002B2384">
        <w:rPr>
          <w:rFonts w:ascii="Times New Roman" w:hAnsi="Times New Roman" w:cs="Times New Roman"/>
          <w:kern w:val="0"/>
          <w:sz w:val="24"/>
          <w:szCs w:val="24"/>
        </w:rPr>
        <w:t xml:space="preserve">реалізації спільної програми </w:t>
      </w:r>
      <w:r w:rsidRPr="001E5B68">
        <w:rPr>
          <w:rFonts w:ascii="Times New Roman" w:hAnsi="Times New Roman" w:cs="Times New Roman"/>
          <w:kern w:val="0"/>
          <w:sz w:val="24"/>
          <w:szCs w:val="24"/>
        </w:rPr>
        <w:t xml:space="preserve">в кожному закладі-партнері, щоб визначити слабкі місця та розбіжності, які необхідно усунути до початку </w:t>
      </w:r>
      <w:r w:rsidR="001E5B68">
        <w:rPr>
          <w:rFonts w:ascii="Times New Roman" w:hAnsi="Times New Roman" w:cs="Times New Roman"/>
          <w:kern w:val="0"/>
          <w:sz w:val="24"/>
          <w:szCs w:val="24"/>
        </w:rPr>
        <w:t xml:space="preserve">реалізації спільної </w:t>
      </w:r>
      <w:r w:rsidRPr="001E5B68">
        <w:rPr>
          <w:rFonts w:ascii="Times New Roman" w:hAnsi="Times New Roman" w:cs="Times New Roman"/>
          <w:kern w:val="0"/>
          <w:sz w:val="24"/>
          <w:szCs w:val="24"/>
        </w:rPr>
        <w:lastRenderedPageBreak/>
        <w:t>програми (</w:t>
      </w:r>
      <w:r w:rsidR="001E5B68">
        <w:rPr>
          <w:rFonts w:ascii="Times New Roman" w:hAnsi="Times New Roman" w:cs="Times New Roman"/>
          <w:kern w:val="0"/>
          <w:sz w:val="24"/>
          <w:szCs w:val="24"/>
        </w:rPr>
        <w:t>вкл.</w:t>
      </w:r>
      <w:r w:rsidRPr="001E5B68">
        <w:rPr>
          <w:rFonts w:ascii="Times New Roman" w:hAnsi="Times New Roman" w:cs="Times New Roman"/>
          <w:kern w:val="0"/>
          <w:sz w:val="24"/>
          <w:szCs w:val="24"/>
        </w:rPr>
        <w:t xml:space="preserve"> </w:t>
      </w:r>
      <w:r w:rsidR="00F571BB" w:rsidRPr="001E5B68">
        <w:rPr>
          <w:rFonts w:ascii="Times New Roman" w:hAnsi="Times New Roman" w:cs="Times New Roman"/>
          <w:kern w:val="0"/>
          <w:sz w:val="24"/>
          <w:szCs w:val="24"/>
        </w:rPr>
        <w:t>права інтелектуальної власності</w:t>
      </w:r>
      <w:r w:rsidR="00F571BB">
        <w:rPr>
          <w:rFonts w:ascii="Times New Roman" w:hAnsi="Times New Roman" w:cs="Times New Roman"/>
          <w:kern w:val="0"/>
          <w:sz w:val="24"/>
          <w:szCs w:val="24"/>
        </w:rPr>
        <w:t xml:space="preserve">, </w:t>
      </w:r>
      <w:r w:rsidRPr="001E5B68">
        <w:rPr>
          <w:rFonts w:ascii="Times New Roman" w:hAnsi="Times New Roman" w:cs="Times New Roman"/>
          <w:kern w:val="0"/>
          <w:sz w:val="24"/>
          <w:szCs w:val="24"/>
        </w:rPr>
        <w:t>академічн</w:t>
      </w:r>
      <w:r w:rsidR="001E5B68">
        <w:rPr>
          <w:rFonts w:ascii="Times New Roman" w:hAnsi="Times New Roman" w:cs="Times New Roman"/>
          <w:kern w:val="0"/>
          <w:sz w:val="24"/>
          <w:szCs w:val="24"/>
        </w:rPr>
        <w:t>ий</w:t>
      </w:r>
      <w:r w:rsidRPr="001E5B68">
        <w:rPr>
          <w:rFonts w:ascii="Times New Roman" w:hAnsi="Times New Roman" w:cs="Times New Roman"/>
          <w:kern w:val="0"/>
          <w:sz w:val="24"/>
          <w:szCs w:val="24"/>
        </w:rPr>
        <w:t xml:space="preserve"> календар, </w:t>
      </w:r>
      <w:r w:rsidR="001E5B68">
        <w:rPr>
          <w:rFonts w:ascii="Times New Roman" w:hAnsi="Times New Roman" w:cs="Times New Roman"/>
          <w:kern w:val="0"/>
          <w:sz w:val="24"/>
          <w:szCs w:val="24"/>
        </w:rPr>
        <w:t>формат і рівень о</w:t>
      </w:r>
      <w:r w:rsidRPr="001E5B68">
        <w:rPr>
          <w:rFonts w:ascii="Times New Roman" w:hAnsi="Times New Roman" w:cs="Times New Roman"/>
          <w:kern w:val="0"/>
          <w:sz w:val="24"/>
          <w:szCs w:val="24"/>
        </w:rPr>
        <w:t>плат</w:t>
      </w:r>
      <w:r w:rsidR="001E5B68">
        <w:rPr>
          <w:rFonts w:ascii="Times New Roman" w:hAnsi="Times New Roman" w:cs="Times New Roman"/>
          <w:kern w:val="0"/>
          <w:sz w:val="24"/>
          <w:szCs w:val="24"/>
        </w:rPr>
        <w:t>и</w:t>
      </w:r>
      <w:r w:rsidRPr="001E5B68">
        <w:rPr>
          <w:rFonts w:ascii="Times New Roman" w:hAnsi="Times New Roman" w:cs="Times New Roman"/>
          <w:kern w:val="0"/>
          <w:sz w:val="24"/>
          <w:szCs w:val="24"/>
        </w:rPr>
        <w:t xml:space="preserve"> за навчання, </w:t>
      </w:r>
      <w:r w:rsidR="001E5B68">
        <w:rPr>
          <w:rFonts w:ascii="Times New Roman" w:hAnsi="Times New Roman" w:cs="Times New Roman"/>
          <w:kern w:val="0"/>
          <w:sz w:val="24"/>
          <w:szCs w:val="24"/>
        </w:rPr>
        <w:t>процедури</w:t>
      </w:r>
      <w:r w:rsidRPr="001E5B68">
        <w:rPr>
          <w:rFonts w:ascii="Times New Roman" w:hAnsi="Times New Roman" w:cs="Times New Roman"/>
          <w:kern w:val="0"/>
          <w:sz w:val="24"/>
          <w:szCs w:val="24"/>
        </w:rPr>
        <w:t xml:space="preserve"> захист</w:t>
      </w:r>
      <w:r w:rsidR="001E5B68">
        <w:rPr>
          <w:rFonts w:ascii="Times New Roman" w:hAnsi="Times New Roman" w:cs="Times New Roman"/>
          <w:kern w:val="0"/>
          <w:sz w:val="24"/>
          <w:szCs w:val="24"/>
        </w:rPr>
        <w:t>у</w:t>
      </w:r>
      <w:r w:rsidRPr="001E5B68">
        <w:rPr>
          <w:rFonts w:ascii="Times New Roman" w:hAnsi="Times New Roman" w:cs="Times New Roman"/>
          <w:kern w:val="0"/>
          <w:sz w:val="24"/>
          <w:szCs w:val="24"/>
        </w:rPr>
        <w:t xml:space="preserve"> дипломних робіт</w:t>
      </w:r>
      <w:r w:rsidR="001E5B68">
        <w:rPr>
          <w:rFonts w:ascii="Times New Roman" w:hAnsi="Times New Roman" w:cs="Times New Roman"/>
          <w:kern w:val="0"/>
          <w:sz w:val="24"/>
          <w:szCs w:val="24"/>
        </w:rPr>
        <w:t>/дисертацій</w:t>
      </w:r>
      <w:r w:rsidR="00F23814">
        <w:rPr>
          <w:rFonts w:ascii="Times New Roman" w:hAnsi="Times New Roman" w:cs="Times New Roman"/>
          <w:kern w:val="0"/>
          <w:sz w:val="24"/>
          <w:szCs w:val="24"/>
        </w:rPr>
        <w:t xml:space="preserve"> тощо</w:t>
      </w:r>
      <w:r w:rsidRPr="001E5B68">
        <w:rPr>
          <w:rFonts w:ascii="Times New Roman" w:hAnsi="Times New Roman" w:cs="Times New Roman"/>
          <w:kern w:val="0"/>
          <w:sz w:val="24"/>
          <w:szCs w:val="24"/>
        </w:rPr>
        <w:t>).</w:t>
      </w:r>
    </w:p>
    <w:p w14:paraId="7C7ED0D1" w14:textId="77777777" w:rsidR="0061624C" w:rsidRPr="0088017B" w:rsidRDefault="0061624C" w:rsidP="0061624C">
      <w:pPr>
        <w:pStyle w:val="af8"/>
        <w:tabs>
          <w:tab w:val="left" w:pos="426"/>
        </w:tabs>
        <w:spacing w:after="0" w:line="240" w:lineRule="auto"/>
        <w:ind w:left="0"/>
        <w:jc w:val="both"/>
      </w:pPr>
    </w:p>
    <w:p w14:paraId="0679B2A8" w14:textId="77777777" w:rsidR="0088017B" w:rsidRPr="00F7272D" w:rsidRDefault="0088017B" w:rsidP="0088017B">
      <w:pPr>
        <w:pStyle w:val="af8"/>
        <w:tabs>
          <w:tab w:val="left" w:pos="426"/>
        </w:tabs>
        <w:spacing w:after="0" w:line="240" w:lineRule="auto"/>
        <w:ind w:left="0"/>
        <w:jc w:val="both"/>
      </w:pPr>
    </w:p>
    <w:p w14:paraId="7AB561A5" w14:textId="7BFB0561" w:rsidR="007D4583" w:rsidRPr="002233EB" w:rsidRDefault="0041066D" w:rsidP="00FA7A2E">
      <w:pPr>
        <w:pStyle w:val="1"/>
        <w:spacing w:before="100" w:beforeAutospacing="1" w:after="100" w:afterAutospacing="1" w:line="240" w:lineRule="auto"/>
        <w:rPr>
          <w:rFonts w:ascii="Times New Roman" w:hAnsi="Times New Roman" w:cs="Times New Roman"/>
          <w:b/>
          <w:bCs/>
          <w:sz w:val="24"/>
          <w:szCs w:val="24"/>
        </w:rPr>
      </w:pPr>
      <w:bookmarkStart w:id="11" w:name="_Toc188337409"/>
      <w:r>
        <w:rPr>
          <w:rFonts w:ascii="Times New Roman" w:hAnsi="Times New Roman" w:cs="Times New Roman"/>
          <w:b/>
          <w:bCs/>
          <w:sz w:val="24"/>
          <w:szCs w:val="24"/>
        </w:rPr>
        <w:t>4</w:t>
      </w:r>
      <w:r w:rsidR="002233EB" w:rsidRPr="002233EB">
        <w:rPr>
          <w:rFonts w:ascii="Times New Roman" w:hAnsi="Times New Roman" w:cs="Times New Roman"/>
          <w:b/>
          <w:bCs/>
          <w:sz w:val="24"/>
          <w:szCs w:val="24"/>
        </w:rPr>
        <w:t>. ЗАКОНОДАВЧА БАЗА</w:t>
      </w:r>
      <w:bookmarkEnd w:id="11"/>
    </w:p>
    <w:p w14:paraId="152AAA00" w14:textId="70B127DE" w:rsidR="008120FA" w:rsidRDefault="008120FA" w:rsidP="0045479C">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В Україні ю</w:t>
      </w:r>
      <w:r w:rsidR="00095C8E" w:rsidRPr="00F43628">
        <w:rPr>
          <w:rFonts w:ascii="Times New Roman" w:hAnsi="Times New Roman" w:cs="Times New Roman"/>
          <w:kern w:val="0"/>
          <w:sz w:val="24"/>
          <w:szCs w:val="24"/>
        </w:rPr>
        <w:t xml:space="preserve">ридичні повноваження щодо дозволу та регулювання реалізації </w:t>
      </w:r>
      <w:r>
        <w:rPr>
          <w:rFonts w:ascii="Times New Roman" w:hAnsi="Times New Roman" w:cs="Times New Roman"/>
          <w:kern w:val="0"/>
          <w:sz w:val="24"/>
          <w:szCs w:val="24"/>
        </w:rPr>
        <w:t>національних/</w:t>
      </w:r>
      <w:r w:rsidR="00095C8E" w:rsidRPr="00F43628">
        <w:rPr>
          <w:rFonts w:ascii="Times New Roman" w:hAnsi="Times New Roman" w:cs="Times New Roman"/>
          <w:kern w:val="0"/>
          <w:sz w:val="24"/>
          <w:szCs w:val="24"/>
        </w:rPr>
        <w:t xml:space="preserve">міжнародних спільних програм </w:t>
      </w:r>
      <w:r w:rsidR="0045479C">
        <w:rPr>
          <w:rFonts w:ascii="Times New Roman" w:hAnsi="Times New Roman" w:cs="Times New Roman"/>
          <w:kern w:val="0"/>
          <w:sz w:val="24"/>
          <w:szCs w:val="24"/>
        </w:rPr>
        <w:t xml:space="preserve">у вищій освіті </w:t>
      </w:r>
      <w:r>
        <w:rPr>
          <w:rFonts w:ascii="Times New Roman" w:hAnsi="Times New Roman" w:cs="Times New Roman"/>
          <w:kern w:val="0"/>
          <w:sz w:val="24"/>
          <w:szCs w:val="24"/>
        </w:rPr>
        <w:t xml:space="preserve">визначено </w:t>
      </w:r>
      <w:r w:rsidR="00071EBB">
        <w:rPr>
          <w:rFonts w:ascii="Times New Roman" w:hAnsi="Times New Roman" w:cs="Times New Roman"/>
          <w:kern w:val="0"/>
          <w:sz w:val="24"/>
          <w:szCs w:val="24"/>
        </w:rPr>
        <w:t xml:space="preserve">такими основними </w:t>
      </w:r>
      <w:r>
        <w:rPr>
          <w:rFonts w:ascii="Times New Roman" w:hAnsi="Times New Roman" w:cs="Times New Roman"/>
          <w:kern w:val="0"/>
          <w:sz w:val="24"/>
          <w:szCs w:val="24"/>
        </w:rPr>
        <w:t>нормативно-правовими актами:</w:t>
      </w:r>
    </w:p>
    <w:p w14:paraId="2BCDF9A7" w14:textId="416C4F4F" w:rsidR="00095C8E" w:rsidRPr="008120FA" w:rsidRDefault="00FA1204" w:rsidP="0045479C">
      <w:pPr>
        <w:pStyle w:val="af8"/>
        <w:numPr>
          <w:ilvl w:val="0"/>
          <w:numId w:val="121"/>
        </w:numPr>
        <w:autoSpaceDE w:val="0"/>
        <w:autoSpaceDN w:val="0"/>
        <w:adjustRightInd w:val="0"/>
        <w:spacing w:after="0" w:line="240" w:lineRule="auto"/>
        <w:ind w:left="709" w:hanging="357"/>
        <w:contextualSpacing w:val="0"/>
        <w:jc w:val="both"/>
        <w:rPr>
          <w:rFonts w:ascii="Times New Roman" w:hAnsi="Times New Roman" w:cs="Times New Roman"/>
          <w:kern w:val="0"/>
          <w:sz w:val="24"/>
          <w:szCs w:val="24"/>
        </w:rPr>
      </w:pPr>
      <w:hyperlink r:id="rId25" w:anchor="Text" w:history="1">
        <w:r w:rsidR="008120FA" w:rsidRPr="00FA1204">
          <w:rPr>
            <w:rStyle w:val="a8"/>
            <w:rFonts w:ascii="Times New Roman" w:hAnsi="Times New Roman" w:cs="Times New Roman"/>
            <w:kern w:val="0"/>
            <w:sz w:val="24"/>
            <w:szCs w:val="24"/>
          </w:rPr>
          <w:t>Закон України «Про вищу освіту»</w:t>
        </w:r>
      </w:hyperlink>
      <w:r w:rsidR="008120FA" w:rsidRPr="008120FA">
        <w:rPr>
          <w:rFonts w:ascii="Times New Roman" w:hAnsi="Times New Roman" w:cs="Times New Roman"/>
          <w:kern w:val="0"/>
          <w:sz w:val="24"/>
          <w:szCs w:val="24"/>
        </w:rPr>
        <w:t>;</w:t>
      </w:r>
    </w:p>
    <w:p w14:paraId="72B3EF88" w14:textId="652DDB83" w:rsidR="008120FA" w:rsidRPr="001317E5" w:rsidRDefault="001317E5" w:rsidP="0045479C">
      <w:pPr>
        <w:pStyle w:val="af8"/>
        <w:numPr>
          <w:ilvl w:val="0"/>
          <w:numId w:val="121"/>
        </w:numPr>
        <w:autoSpaceDE w:val="0"/>
        <w:autoSpaceDN w:val="0"/>
        <w:adjustRightInd w:val="0"/>
        <w:spacing w:after="0" w:line="240" w:lineRule="auto"/>
        <w:ind w:left="709"/>
        <w:jc w:val="both"/>
        <w:rPr>
          <w:rFonts w:ascii="Times New Roman" w:hAnsi="Times New Roman" w:cs="Times New Roman"/>
          <w:kern w:val="0"/>
          <w:sz w:val="24"/>
          <w:szCs w:val="24"/>
        </w:rPr>
      </w:pPr>
      <w:hyperlink r:id="rId26" w:anchor="Text" w:history="1">
        <w:r w:rsidRPr="001317E5">
          <w:rPr>
            <w:rStyle w:val="a8"/>
            <w:rFonts w:ascii="Times New Roman" w:hAnsi="Times New Roman" w:cs="Times New Roman"/>
            <w:kern w:val="0"/>
            <w:sz w:val="24"/>
            <w:szCs w:val="24"/>
          </w:rPr>
          <w:t>Положення про акредитацію освітніх програм, за якими здійснюється підготовка здобувачів вищої освіти</w:t>
        </w:r>
      </w:hyperlink>
      <w:r w:rsidRPr="001317E5">
        <w:rPr>
          <w:rFonts w:ascii="Times New Roman" w:hAnsi="Times New Roman" w:cs="Times New Roman"/>
          <w:kern w:val="0"/>
          <w:sz w:val="24"/>
          <w:szCs w:val="24"/>
        </w:rPr>
        <w:t xml:space="preserve"> (2024)</w:t>
      </w:r>
      <w:r>
        <w:rPr>
          <w:rFonts w:ascii="Times New Roman" w:hAnsi="Times New Roman" w:cs="Times New Roman"/>
          <w:kern w:val="0"/>
          <w:sz w:val="24"/>
          <w:szCs w:val="24"/>
        </w:rPr>
        <w:t>;</w:t>
      </w:r>
    </w:p>
    <w:p w14:paraId="12D290B1" w14:textId="7C9DE88E" w:rsidR="002962EB" w:rsidRPr="001317E5" w:rsidRDefault="001317E5" w:rsidP="0045479C">
      <w:pPr>
        <w:pStyle w:val="af8"/>
        <w:numPr>
          <w:ilvl w:val="0"/>
          <w:numId w:val="121"/>
        </w:numPr>
        <w:autoSpaceDE w:val="0"/>
        <w:autoSpaceDN w:val="0"/>
        <w:adjustRightInd w:val="0"/>
        <w:spacing w:after="0" w:line="240" w:lineRule="auto"/>
        <w:ind w:left="709"/>
        <w:jc w:val="both"/>
        <w:rPr>
          <w:rFonts w:ascii="Times New Roman" w:hAnsi="Times New Roman" w:cs="Times New Roman"/>
          <w:kern w:val="0"/>
          <w:sz w:val="24"/>
          <w:szCs w:val="24"/>
        </w:rPr>
      </w:pPr>
      <w:hyperlink r:id="rId27" w:anchor="Text" w:history="1">
        <w:r w:rsidR="002962EB" w:rsidRPr="001317E5">
          <w:rPr>
            <w:rStyle w:val="a8"/>
            <w:rFonts w:ascii="Times New Roman" w:hAnsi="Times New Roman" w:cs="Times New Roman"/>
            <w:kern w:val="0"/>
            <w:sz w:val="24"/>
            <w:szCs w:val="24"/>
          </w:rPr>
          <w:t xml:space="preserve">Порядок </w:t>
        </w:r>
        <w:r w:rsidRPr="001317E5">
          <w:rPr>
            <w:rStyle w:val="a8"/>
            <w:rFonts w:ascii="Times New Roman" w:hAnsi="Times New Roman" w:cs="Times New Roman"/>
            <w:kern w:val="0"/>
            <w:sz w:val="24"/>
            <w:szCs w:val="24"/>
          </w:rPr>
          <w:t>реалізації права на академічну мобільність</w:t>
        </w:r>
      </w:hyperlink>
      <w:r>
        <w:rPr>
          <w:rFonts w:ascii="Times New Roman" w:hAnsi="Times New Roman" w:cs="Times New Roman"/>
          <w:kern w:val="0"/>
          <w:sz w:val="24"/>
          <w:szCs w:val="24"/>
        </w:rPr>
        <w:t xml:space="preserve"> (2022);</w:t>
      </w:r>
    </w:p>
    <w:p w14:paraId="12B38FB4" w14:textId="6D7CCC44" w:rsidR="00B858A7" w:rsidRPr="001317E5" w:rsidRDefault="00FA1204" w:rsidP="0045479C">
      <w:pPr>
        <w:pStyle w:val="af8"/>
        <w:numPr>
          <w:ilvl w:val="0"/>
          <w:numId w:val="121"/>
        </w:numPr>
        <w:autoSpaceDE w:val="0"/>
        <w:autoSpaceDN w:val="0"/>
        <w:adjustRightInd w:val="0"/>
        <w:spacing w:after="0" w:line="240" w:lineRule="auto"/>
        <w:ind w:left="709"/>
        <w:jc w:val="both"/>
        <w:rPr>
          <w:rFonts w:ascii="Times New Roman" w:hAnsi="Times New Roman" w:cs="Times New Roman"/>
          <w:kern w:val="0"/>
          <w:sz w:val="24"/>
          <w:szCs w:val="24"/>
        </w:rPr>
      </w:pPr>
      <w:hyperlink r:id="rId28" w:history="1">
        <w:r w:rsidR="00F05940" w:rsidRPr="00FA1204">
          <w:rPr>
            <w:rStyle w:val="a8"/>
            <w:rFonts w:ascii="Times New Roman" w:hAnsi="Times New Roman" w:cs="Times New Roman"/>
            <w:kern w:val="0"/>
            <w:sz w:val="24"/>
            <w:szCs w:val="24"/>
          </w:rPr>
          <w:t>С</w:t>
        </w:r>
        <w:r w:rsidR="00B858A7" w:rsidRPr="00FA1204">
          <w:rPr>
            <w:rStyle w:val="a8"/>
            <w:rFonts w:ascii="Times New Roman" w:hAnsi="Times New Roman" w:cs="Times New Roman"/>
            <w:kern w:val="0"/>
            <w:sz w:val="24"/>
            <w:szCs w:val="24"/>
          </w:rPr>
          <w:t>тандарти</w:t>
        </w:r>
        <w:r w:rsidRPr="00FA1204">
          <w:rPr>
            <w:rStyle w:val="a8"/>
            <w:rFonts w:ascii="Times New Roman" w:hAnsi="Times New Roman" w:cs="Times New Roman"/>
            <w:kern w:val="0"/>
            <w:sz w:val="24"/>
            <w:szCs w:val="24"/>
          </w:rPr>
          <w:t xml:space="preserve"> вищої освіти</w:t>
        </w:r>
      </w:hyperlink>
      <w:r>
        <w:rPr>
          <w:rFonts w:ascii="Times New Roman" w:hAnsi="Times New Roman" w:cs="Times New Roman"/>
          <w:kern w:val="0"/>
          <w:sz w:val="24"/>
          <w:szCs w:val="24"/>
        </w:rPr>
        <w:t xml:space="preserve"> (2019-2024)</w:t>
      </w:r>
    </w:p>
    <w:p w14:paraId="4BA8218B" w14:textId="293A029C" w:rsidR="00F05940" w:rsidRPr="001317E5" w:rsidRDefault="00FA1204" w:rsidP="0045479C">
      <w:pPr>
        <w:pStyle w:val="af8"/>
        <w:numPr>
          <w:ilvl w:val="0"/>
          <w:numId w:val="121"/>
        </w:numPr>
        <w:autoSpaceDE w:val="0"/>
        <w:autoSpaceDN w:val="0"/>
        <w:adjustRightInd w:val="0"/>
        <w:spacing w:after="0" w:line="240" w:lineRule="auto"/>
        <w:ind w:left="709"/>
        <w:jc w:val="both"/>
        <w:rPr>
          <w:rFonts w:ascii="Times New Roman" w:hAnsi="Times New Roman" w:cs="Times New Roman"/>
          <w:kern w:val="0"/>
          <w:sz w:val="24"/>
          <w:szCs w:val="24"/>
        </w:rPr>
      </w:pPr>
      <w:r w:rsidRPr="00FA1204">
        <w:rPr>
          <w:rFonts w:ascii="Times New Roman" w:hAnsi="Times New Roman" w:cs="Times New Roman"/>
          <w:kern w:val="0"/>
          <w:sz w:val="24"/>
          <w:szCs w:val="24"/>
        </w:rPr>
        <w:t>Умов</w:t>
      </w:r>
      <w:r>
        <w:rPr>
          <w:rFonts w:ascii="Times New Roman" w:hAnsi="Times New Roman" w:cs="Times New Roman"/>
          <w:kern w:val="0"/>
          <w:sz w:val="24"/>
          <w:szCs w:val="24"/>
        </w:rPr>
        <w:t>и</w:t>
      </w:r>
      <w:r w:rsidRPr="00FA1204">
        <w:rPr>
          <w:rFonts w:ascii="Times New Roman" w:hAnsi="Times New Roman" w:cs="Times New Roman"/>
          <w:kern w:val="0"/>
          <w:sz w:val="24"/>
          <w:szCs w:val="24"/>
        </w:rPr>
        <w:t xml:space="preserve"> прийому на навчання для здобуття вищої освіти</w:t>
      </w:r>
      <w:r>
        <w:rPr>
          <w:rFonts w:ascii="Times New Roman" w:hAnsi="Times New Roman" w:cs="Times New Roman"/>
          <w:kern w:val="0"/>
          <w:sz w:val="24"/>
          <w:szCs w:val="24"/>
        </w:rPr>
        <w:t xml:space="preserve"> (щ</w:t>
      </w:r>
      <w:r>
        <w:rPr>
          <w:rFonts w:ascii="Times New Roman" w:hAnsi="Times New Roman" w:cs="Times New Roman"/>
          <w:kern w:val="0"/>
          <w:sz w:val="24"/>
          <w:szCs w:val="24"/>
        </w:rPr>
        <w:t>орічні</w:t>
      </w:r>
      <w:r>
        <w:rPr>
          <w:rFonts w:ascii="Times New Roman" w:hAnsi="Times New Roman" w:cs="Times New Roman"/>
          <w:kern w:val="0"/>
          <w:sz w:val="24"/>
          <w:szCs w:val="24"/>
        </w:rPr>
        <w:t>).</w:t>
      </w:r>
    </w:p>
    <w:p w14:paraId="17EF5596" w14:textId="0BA327D9" w:rsidR="00095C8E" w:rsidRDefault="00095C8E" w:rsidP="00FA7A2E">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Плануючи співпрацю</w:t>
      </w:r>
      <w:r w:rsidR="001F7432" w:rsidRPr="001F7432">
        <w:rPr>
          <w:rFonts w:ascii="Times New Roman" w:hAnsi="Times New Roman" w:cs="Times New Roman"/>
          <w:kern w:val="0"/>
          <w:sz w:val="24"/>
          <w:szCs w:val="24"/>
        </w:rPr>
        <w:t xml:space="preserve"> </w:t>
      </w:r>
      <w:r w:rsidR="001F7432">
        <w:rPr>
          <w:rFonts w:ascii="Times New Roman" w:hAnsi="Times New Roman" w:cs="Times New Roman"/>
          <w:kern w:val="0"/>
          <w:sz w:val="24"/>
          <w:szCs w:val="24"/>
        </w:rPr>
        <w:t xml:space="preserve">з розроблення та реалізації </w:t>
      </w:r>
      <w:r w:rsidR="001F7432" w:rsidRPr="00F43628">
        <w:rPr>
          <w:rFonts w:ascii="Times New Roman" w:hAnsi="Times New Roman" w:cs="Times New Roman"/>
          <w:kern w:val="0"/>
          <w:sz w:val="24"/>
          <w:szCs w:val="24"/>
        </w:rPr>
        <w:t>спільн</w:t>
      </w:r>
      <w:r w:rsidR="001F7432">
        <w:rPr>
          <w:rFonts w:ascii="Times New Roman" w:hAnsi="Times New Roman" w:cs="Times New Roman"/>
          <w:kern w:val="0"/>
          <w:sz w:val="24"/>
          <w:szCs w:val="24"/>
        </w:rPr>
        <w:t>ої</w:t>
      </w:r>
      <w:r w:rsidR="001F7432" w:rsidRPr="00F43628">
        <w:rPr>
          <w:rFonts w:ascii="Times New Roman" w:hAnsi="Times New Roman" w:cs="Times New Roman"/>
          <w:kern w:val="0"/>
          <w:sz w:val="24"/>
          <w:szCs w:val="24"/>
        </w:rPr>
        <w:t xml:space="preserve"> програм</w:t>
      </w:r>
      <w:r w:rsidR="001F7432">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 </w:t>
      </w:r>
      <w:r w:rsidR="001F7432">
        <w:rPr>
          <w:rFonts w:ascii="Times New Roman" w:hAnsi="Times New Roman" w:cs="Times New Roman"/>
          <w:kern w:val="0"/>
          <w:sz w:val="24"/>
          <w:szCs w:val="24"/>
        </w:rPr>
        <w:t>заклади</w:t>
      </w:r>
      <w:r w:rsidRPr="00F43628">
        <w:rPr>
          <w:rFonts w:ascii="Times New Roman" w:hAnsi="Times New Roman" w:cs="Times New Roman"/>
          <w:kern w:val="0"/>
          <w:sz w:val="24"/>
          <w:szCs w:val="24"/>
        </w:rPr>
        <w:t xml:space="preserve"> повинні враховувати як національну законодавчу базу, так </w:t>
      </w:r>
      <w:r w:rsidR="00537861">
        <w:rPr>
          <w:rFonts w:ascii="Times New Roman" w:hAnsi="Times New Roman" w:cs="Times New Roman"/>
          <w:kern w:val="0"/>
          <w:sz w:val="24"/>
          <w:szCs w:val="24"/>
        </w:rPr>
        <w:t>й</w:t>
      </w:r>
      <w:r w:rsidRPr="00F43628">
        <w:rPr>
          <w:rFonts w:ascii="Times New Roman" w:hAnsi="Times New Roman" w:cs="Times New Roman"/>
          <w:kern w:val="0"/>
          <w:sz w:val="24"/>
          <w:szCs w:val="24"/>
        </w:rPr>
        <w:t xml:space="preserve"> інституційні положення</w:t>
      </w:r>
      <w:r w:rsidR="001F7432">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всіх закладів-партнерів.</w:t>
      </w:r>
    </w:p>
    <w:p w14:paraId="1ACBBC21" w14:textId="43C94C9F" w:rsidR="007E758D" w:rsidRDefault="007E758D" w:rsidP="00FA7A2E">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Перегляньте та оновіть, за необхідності, </w:t>
      </w:r>
      <w:r w:rsidR="00BB3D57">
        <w:rPr>
          <w:rFonts w:ascii="Times New Roman" w:hAnsi="Times New Roman" w:cs="Times New Roman"/>
          <w:kern w:val="0"/>
          <w:sz w:val="24"/>
          <w:szCs w:val="24"/>
        </w:rPr>
        <w:t xml:space="preserve">інституційну </w:t>
      </w:r>
      <w:r>
        <w:rPr>
          <w:rFonts w:ascii="Times New Roman" w:hAnsi="Times New Roman" w:cs="Times New Roman"/>
          <w:kern w:val="0"/>
          <w:sz w:val="24"/>
          <w:szCs w:val="24"/>
        </w:rPr>
        <w:t>процедуру розроблення та запровадження освітніх програм, враховуючи особливості реалізації спільної програми.</w:t>
      </w:r>
    </w:p>
    <w:p w14:paraId="0276D033" w14:textId="4379EB9C" w:rsidR="009A5B67" w:rsidRDefault="009A5B67" w:rsidP="00FA7A2E">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Перегляньте та оновіть, за необхідності, </w:t>
      </w:r>
      <w:r w:rsidR="001317E5">
        <w:rPr>
          <w:rFonts w:ascii="Times New Roman" w:hAnsi="Times New Roman" w:cs="Times New Roman"/>
          <w:kern w:val="0"/>
          <w:sz w:val="24"/>
          <w:szCs w:val="24"/>
        </w:rPr>
        <w:t xml:space="preserve">наприклад </w:t>
      </w:r>
      <w:r w:rsidR="001317E5" w:rsidRPr="001317E5">
        <w:rPr>
          <w:rFonts w:ascii="Times New Roman" w:hAnsi="Times New Roman" w:cs="Times New Roman"/>
          <w:kern w:val="0"/>
          <w:sz w:val="24"/>
          <w:szCs w:val="24"/>
        </w:rPr>
        <w:t>п</w:t>
      </w:r>
      <w:r w:rsidRPr="001317E5">
        <w:rPr>
          <w:rFonts w:ascii="Times New Roman" w:hAnsi="Times New Roman" w:cs="Times New Roman"/>
          <w:kern w:val="0"/>
          <w:sz w:val="24"/>
          <w:szCs w:val="24"/>
        </w:rPr>
        <w:t>оложення</w:t>
      </w:r>
      <w:r>
        <w:rPr>
          <w:rFonts w:ascii="Times New Roman" w:hAnsi="Times New Roman" w:cs="Times New Roman"/>
          <w:kern w:val="0"/>
          <w:sz w:val="24"/>
          <w:szCs w:val="24"/>
        </w:rPr>
        <w:t xml:space="preserve"> про реалізацію освітнього процесу</w:t>
      </w:r>
      <w:r w:rsidR="007E758D">
        <w:rPr>
          <w:rFonts w:ascii="Times New Roman" w:hAnsi="Times New Roman" w:cs="Times New Roman"/>
          <w:kern w:val="0"/>
          <w:sz w:val="24"/>
          <w:szCs w:val="24"/>
        </w:rPr>
        <w:t>, враховуючи особливості реалізації спільної програми.</w:t>
      </w:r>
    </w:p>
    <w:p w14:paraId="6DA82C15" w14:textId="3A93862F" w:rsidR="00562EB9" w:rsidRDefault="00562EB9" w:rsidP="008F4F70">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Перегляньте та оновіть, за необхідності, інституційні положення щодо забезпечення внутрішнього забезпечення якості вищої освіти відповідно до </w:t>
      </w:r>
      <w:r w:rsidR="001317E5">
        <w:rPr>
          <w:rFonts w:ascii="Times New Roman" w:hAnsi="Times New Roman" w:cs="Times New Roman"/>
          <w:kern w:val="0"/>
          <w:sz w:val="24"/>
          <w:szCs w:val="24"/>
        </w:rPr>
        <w:t>П</w:t>
      </w:r>
      <w:r w:rsidRPr="001317E5">
        <w:rPr>
          <w:rFonts w:ascii="Times New Roman" w:hAnsi="Times New Roman" w:cs="Times New Roman"/>
          <w:kern w:val="0"/>
          <w:sz w:val="24"/>
          <w:szCs w:val="24"/>
        </w:rPr>
        <w:t>оложення</w:t>
      </w:r>
      <w:r>
        <w:rPr>
          <w:rFonts w:ascii="Times New Roman" w:hAnsi="Times New Roman" w:cs="Times New Roman"/>
          <w:kern w:val="0"/>
          <w:sz w:val="24"/>
          <w:szCs w:val="24"/>
        </w:rPr>
        <w:t xml:space="preserve"> з акредитації. </w:t>
      </w:r>
    </w:p>
    <w:p w14:paraId="662AA57B" w14:textId="40BC078E" w:rsidR="009A5B67" w:rsidRDefault="009A5B67" w:rsidP="008F4F70">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Перегляньте та оновіть, за необхідності, інституційні положення щодо</w:t>
      </w:r>
      <w:r w:rsidRPr="007C6411">
        <w:rPr>
          <w:rFonts w:ascii="Times New Roman" w:hAnsi="Times New Roman" w:cs="Times New Roman"/>
          <w:color w:val="000000"/>
          <w:kern w:val="0"/>
          <w:sz w:val="24"/>
          <w:szCs w:val="24"/>
        </w:rPr>
        <w:t xml:space="preserve"> визнання </w:t>
      </w:r>
      <w:r>
        <w:rPr>
          <w:rFonts w:ascii="Times New Roman" w:hAnsi="Times New Roman" w:cs="Times New Roman"/>
          <w:color w:val="000000"/>
          <w:kern w:val="0"/>
          <w:sz w:val="24"/>
          <w:szCs w:val="24"/>
        </w:rPr>
        <w:t xml:space="preserve">результатів навчання та перезарахування кредитів ЄКТС відповідно до </w:t>
      </w:r>
      <w:r w:rsidRPr="006F5105">
        <w:rPr>
          <w:rFonts w:ascii="Times New Roman" w:hAnsi="Times New Roman" w:cs="Times New Roman"/>
          <w:color w:val="000000"/>
          <w:kern w:val="0"/>
          <w:sz w:val="24"/>
          <w:szCs w:val="24"/>
        </w:rPr>
        <w:t>Порядку</w:t>
      </w:r>
      <w:r>
        <w:rPr>
          <w:rFonts w:ascii="Times New Roman" w:hAnsi="Times New Roman" w:cs="Times New Roman"/>
          <w:color w:val="000000"/>
          <w:kern w:val="0"/>
          <w:sz w:val="24"/>
          <w:szCs w:val="24"/>
        </w:rPr>
        <w:t xml:space="preserve"> </w:t>
      </w:r>
      <w:r w:rsidR="006F5105">
        <w:rPr>
          <w:rFonts w:ascii="Times New Roman" w:hAnsi="Times New Roman" w:cs="Times New Roman"/>
          <w:color w:val="000000"/>
          <w:kern w:val="0"/>
          <w:sz w:val="24"/>
          <w:szCs w:val="24"/>
        </w:rPr>
        <w:t xml:space="preserve">реалізації права на академічну </w:t>
      </w:r>
      <w:r>
        <w:rPr>
          <w:rFonts w:ascii="Times New Roman" w:hAnsi="Times New Roman" w:cs="Times New Roman"/>
          <w:color w:val="000000"/>
          <w:kern w:val="0"/>
          <w:sz w:val="24"/>
          <w:szCs w:val="24"/>
        </w:rPr>
        <w:t>мобільність</w:t>
      </w:r>
      <w:r w:rsidR="006F5105">
        <w:rPr>
          <w:rFonts w:ascii="Times New Roman" w:hAnsi="Times New Roman" w:cs="Times New Roman"/>
          <w:color w:val="000000"/>
          <w:kern w:val="0"/>
          <w:sz w:val="24"/>
          <w:szCs w:val="24"/>
        </w:rPr>
        <w:t>.</w:t>
      </w:r>
    </w:p>
    <w:p w14:paraId="5743C9A2" w14:textId="718DC0CE" w:rsidR="00095C8E" w:rsidRPr="00F43628" w:rsidRDefault="00095C8E" w:rsidP="008F4F70">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Розробіть схему внутрішнього робочого процесу з часовими рамками для кожного залученого підрозділу в кожному з ваших партнерських закладів і проактивно інформуйте про ваш процес всередині організації.</w:t>
      </w:r>
    </w:p>
    <w:p w14:paraId="5E9B2E3B" w14:textId="77777777" w:rsidR="00095C8E" w:rsidRPr="00F43628" w:rsidRDefault="00095C8E" w:rsidP="008F4F70">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Розробіть – на інституційному рівні – шаблони договорів, контрактів, додатків та/або угод між закладами як місцевою юридичною мовою, так і мовою викладання.</w:t>
      </w:r>
    </w:p>
    <w:p w14:paraId="3985F72D" w14:textId="156F9D47" w:rsidR="00095C8E" w:rsidRPr="00F43628" w:rsidRDefault="008F4F70" w:rsidP="008F4F70">
      <w:pPr>
        <w:numPr>
          <w:ilvl w:val="0"/>
          <w:numId w:val="13"/>
        </w:numPr>
        <w:autoSpaceDE w:val="0"/>
        <w:autoSpaceDN w:val="0"/>
        <w:adjustRightInd w:val="0"/>
        <w:spacing w:before="100" w:beforeAutospacing="1" w:after="100" w:afterAutospacing="1" w:line="240" w:lineRule="auto"/>
        <w:ind w:left="336"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За необхідності перевірте </w:t>
      </w:r>
      <w:r w:rsidR="00095C8E" w:rsidRPr="00F43628">
        <w:rPr>
          <w:rFonts w:ascii="Times New Roman" w:hAnsi="Times New Roman" w:cs="Times New Roman"/>
          <w:kern w:val="0"/>
          <w:sz w:val="24"/>
          <w:szCs w:val="24"/>
        </w:rPr>
        <w:t>відповідну інформацію</w:t>
      </w:r>
      <w:r>
        <w:rPr>
          <w:rFonts w:ascii="Times New Roman" w:hAnsi="Times New Roman" w:cs="Times New Roman"/>
          <w:kern w:val="0"/>
          <w:sz w:val="24"/>
          <w:szCs w:val="24"/>
        </w:rPr>
        <w:t xml:space="preserve"> щодо закордонних закладів-партнерів </w:t>
      </w:r>
      <w:r w:rsidR="00095C8E" w:rsidRPr="00F43628">
        <w:rPr>
          <w:rFonts w:ascii="Times New Roman" w:hAnsi="Times New Roman" w:cs="Times New Roman"/>
          <w:kern w:val="0"/>
          <w:sz w:val="24"/>
          <w:szCs w:val="24"/>
        </w:rPr>
        <w:t xml:space="preserve">через </w:t>
      </w:r>
      <w:hyperlink r:id="rId29" w:history="1">
        <w:r w:rsidR="00095C8E" w:rsidRPr="00F43628">
          <w:rPr>
            <w:rStyle w:val="a8"/>
            <w:rFonts w:ascii="Times New Roman" w:hAnsi="Times New Roman" w:cs="Times New Roman"/>
            <w:sz w:val="24"/>
            <w:szCs w:val="24"/>
          </w:rPr>
          <w:t>мережу ENIC-NARIC</w:t>
        </w:r>
      </w:hyperlink>
      <w:hyperlink r:id="rId30" w:history="1">
        <w:r w:rsidR="00095C8E" w:rsidRPr="00F43628">
          <w:rPr>
            <w:rStyle w:val="a8"/>
            <w:rFonts w:ascii="Times New Roman" w:hAnsi="Times New Roman" w:cs="Times New Roman"/>
            <w:sz w:val="24"/>
            <w:szCs w:val="24"/>
          </w:rPr>
          <w:t>:</w:t>
        </w:r>
      </w:hyperlink>
    </w:p>
    <w:p w14:paraId="6B6E3C95" w14:textId="223EC8E2" w:rsidR="008F4F70" w:rsidRDefault="008F4F70" w:rsidP="008F4F70">
      <w:pPr>
        <w:numPr>
          <w:ilvl w:val="0"/>
          <w:numId w:val="15"/>
        </w:numPr>
        <w:autoSpaceDE w:val="0"/>
        <w:autoSpaceDN w:val="0"/>
        <w:adjustRightInd w:val="0"/>
        <w:spacing w:after="0" w:line="240" w:lineRule="auto"/>
        <w:ind w:left="425" w:firstLine="0"/>
        <w:rPr>
          <w:rFonts w:ascii="Times New Roman" w:hAnsi="Times New Roman" w:cs="Times New Roman"/>
          <w:kern w:val="0"/>
          <w:sz w:val="24"/>
          <w:szCs w:val="24"/>
        </w:rPr>
      </w:pPr>
      <w:r w:rsidRPr="00F43628">
        <w:rPr>
          <w:rFonts w:ascii="Times New Roman" w:hAnsi="Times New Roman" w:cs="Times New Roman"/>
          <w:kern w:val="0"/>
          <w:sz w:val="24"/>
          <w:szCs w:val="24"/>
        </w:rPr>
        <w:t>про національн</w:t>
      </w:r>
      <w:r>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систем</w:t>
      </w:r>
      <w:r>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вищої освіти</w:t>
      </w:r>
      <w:r>
        <w:rPr>
          <w:rFonts w:ascii="Times New Roman" w:hAnsi="Times New Roman" w:cs="Times New Roman"/>
          <w:kern w:val="0"/>
          <w:sz w:val="24"/>
          <w:szCs w:val="24"/>
        </w:rPr>
        <w:t>;</w:t>
      </w:r>
    </w:p>
    <w:p w14:paraId="5D1E8B0D" w14:textId="72901A20" w:rsidR="008F4F70" w:rsidRDefault="008F4F70" w:rsidP="008F4F70">
      <w:pPr>
        <w:numPr>
          <w:ilvl w:val="0"/>
          <w:numId w:val="15"/>
        </w:numPr>
        <w:autoSpaceDE w:val="0"/>
        <w:autoSpaceDN w:val="0"/>
        <w:adjustRightInd w:val="0"/>
        <w:spacing w:after="0" w:line="240" w:lineRule="auto"/>
        <w:ind w:left="425" w:firstLine="0"/>
        <w:rPr>
          <w:rFonts w:ascii="Times New Roman" w:hAnsi="Times New Roman" w:cs="Times New Roman"/>
          <w:kern w:val="0"/>
          <w:sz w:val="24"/>
          <w:szCs w:val="24"/>
        </w:rPr>
      </w:pPr>
      <w:r>
        <w:rPr>
          <w:rFonts w:ascii="Times New Roman" w:hAnsi="Times New Roman" w:cs="Times New Roman"/>
          <w:kern w:val="0"/>
          <w:sz w:val="24"/>
          <w:szCs w:val="24"/>
        </w:rPr>
        <w:t>про національну рамку кваліфікацій;</w:t>
      </w:r>
    </w:p>
    <w:p w14:paraId="63684A45" w14:textId="71588188" w:rsidR="00095C8E" w:rsidRPr="00F43628" w:rsidRDefault="00095C8E" w:rsidP="008F4F70">
      <w:pPr>
        <w:numPr>
          <w:ilvl w:val="0"/>
          <w:numId w:val="15"/>
        </w:numPr>
        <w:autoSpaceDE w:val="0"/>
        <w:autoSpaceDN w:val="0"/>
        <w:adjustRightInd w:val="0"/>
        <w:spacing w:after="0" w:line="240" w:lineRule="auto"/>
        <w:ind w:left="425" w:firstLine="0"/>
        <w:rPr>
          <w:rFonts w:ascii="Times New Roman" w:hAnsi="Times New Roman" w:cs="Times New Roman"/>
          <w:kern w:val="0"/>
          <w:sz w:val="24"/>
          <w:szCs w:val="24"/>
        </w:rPr>
      </w:pPr>
      <w:r w:rsidRPr="00F43628">
        <w:rPr>
          <w:rFonts w:ascii="Times New Roman" w:hAnsi="Times New Roman" w:cs="Times New Roman"/>
          <w:kern w:val="0"/>
          <w:sz w:val="24"/>
          <w:szCs w:val="24"/>
        </w:rPr>
        <w:t>про юридичний статус партнерського закладу</w:t>
      </w:r>
      <w:r w:rsidR="008F4F70">
        <w:rPr>
          <w:rFonts w:ascii="Times New Roman" w:hAnsi="Times New Roman" w:cs="Times New Roman"/>
          <w:kern w:val="0"/>
          <w:sz w:val="24"/>
          <w:szCs w:val="24"/>
        </w:rPr>
        <w:t>;</w:t>
      </w:r>
    </w:p>
    <w:p w14:paraId="32F61980" w14:textId="580E52FD" w:rsidR="00095C8E" w:rsidRDefault="00095C8E" w:rsidP="008F4F70">
      <w:pPr>
        <w:numPr>
          <w:ilvl w:val="0"/>
          <w:numId w:val="15"/>
        </w:numPr>
        <w:autoSpaceDE w:val="0"/>
        <w:autoSpaceDN w:val="0"/>
        <w:adjustRightInd w:val="0"/>
        <w:spacing w:after="0" w:line="240" w:lineRule="auto"/>
        <w:ind w:left="425" w:firstLine="0"/>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права </w:t>
      </w:r>
      <w:r w:rsidR="008F4F70" w:rsidRPr="00F43628">
        <w:rPr>
          <w:rFonts w:ascii="Times New Roman" w:hAnsi="Times New Roman" w:cs="Times New Roman"/>
          <w:kern w:val="0"/>
          <w:sz w:val="24"/>
          <w:szCs w:val="24"/>
        </w:rPr>
        <w:t xml:space="preserve">партнерського закладу </w:t>
      </w:r>
      <w:r w:rsidRPr="00F43628">
        <w:rPr>
          <w:rFonts w:ascii="Times New Roman" w:hAnsi="Times New Roman" w:cs="Times New Roman"/>
          <w:kern w:val="0"/>
          <w:sz w:val="24"/>
          <w:szCs w:val="24"/>
        </w:rPr>
        <w:t>на присудження ступенів</w:t>
      </w:r>
      <w:r w:rsidR="008F4F70">
        <w:rPr>
          <w:rFonts w:ascii="Times New Roman" w:hAnsi="Times New Roman" w:cs="Times New Roman"/>
          <w:kern w:val="0"/>
          <w:sz w:val="24"/>
          <w:szCs w:val="24"/>
        </w:rPr>
        <w:t>;</w:t>
      </w:r>
    </w:p>
    <w:p w14:paraId="51EB3E64" w14:textId="7ECB1979" w:rsidR="005D7B86" w:rsidRPr="00F43628" w:rsidRDefault="005D7B86" w:rsidP="008F4F70">
      <w:pPr>
        <w:numPr>
          <w:ilvl w:val="0"/>
          <w:numId w:val="15"/>
        </w:numPr>
        <w:autoSpaceDE w:val="0"/>
        <w:autoSpaceDN w:val="0"/>
        <w:adjustRightInd w:val="0"/>
        <w:spacing w:after="0" w:line="240" w:lineRule="auto"/>
        <w:ind w:left="425" w:firstLine="0"/>
        <w:rPr>
          <w:rFonts w:ascii="Times New Roman" w:hAnsi="Times New Roman" w:cs="Times New Roman"/>
          <w:kern w:val="0"/>
          <w:sz w:val="24"/>
          <w:szCs w:val="24"/>
        </w:rPr>
      </w:pPr>
      <w:r w:rsidRPr="005D7B86">
        <w:rPr>
          <w:rFonts w:ascii="Times New Roman" w:hAnsi="Times New Roman" w:cs="Times New Roman"/>
          <w:kern w:val="0"/>
          <w:sz w:val="24"/>
          <w:szCs w:val="24"/>
        </w:rPr>
        <w:t>поради щодо майбутнього визнання спільно присудженого ступеня, а також поради щодо механізмів спільної видачі дипломів</w:t>
      </w:r>
      <w:r>
        <w:rPr>
          <w:rFonts w:ascii="Times New Roman" w:hAnsi="Times New Roman" w:cs="Times New Roman"/>
          <w:kern w:val="0"/>
          <w:sz w:val="24"/>
          <w:szCs w:val="24"/>
        </w:rPr>
        <w:t>.</w:t>
      </w:r>
    </w:p>
    <w:p w14:paraId="42C47961" w14:textId="26CE648B" w:rsidR="007D4583" w:rsidRPr="00EA3A36" w:rsidRDefault="005A1E41" w:rsidP="000521C7">
      <w:pPr>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EA3A36">
        <w:rPr>
          <w:rFonts w:ascii="Times New Roman" w:hAnsi="Times New Roman" w:cs="Times New Roman"/>
          <w:color w:val="365F91" w:themeColor="accent1" w:themeShade="BF"/>
          <w:kern w:val="0"/>
          <w:sz w:val="24"/>
          <w:szCs w:val="24"/>
        </w:rPr>
        <w:t xml:space="preserve">Правова ситуація щодо присудження спільних ступенів </w:t>
      </w:r>
      <w:r w:rsidR="000521C7">
        <w:rPr>
          <w:rFonts w:ascii="Times New Roman" w:hAnsi="Times New Roman" w:cs="Times New Roman"/>
          <w:color w:val="365F91" w:themeColor="accent1" w:themeShade="BF"/>
          <w:kern w:val="0"/>
          <w:sz w:val="24"/>
          <w:szCs w:val="24"/>
        </w:rPr>
        <w:t>і</w:t>
      </w:r>
      <w:r w:rsidRPr="00EA3A36">
        <w:rPr>
          <w:rFonts w:ascii="Times New Roman" w:hAnsi="Times New Roman" w:cs="Times New Roman"/>
          <w:color w:val="365F91" w:themeColor="accent1" w:themeShade="BF"/>
          <w:kern w:val="0"/>
          <w:sz w:val="24"/>
          <w:szCs w:val="24"/>
        </w:rPr>
        <w:t xml:space="preserve"> видачі спільних дипломів</w:t>
      </w:r>
    </w:p>
    <w:p w14:paraId="574AA84F" w14:textId="5E8114EB" w:rsidR="007D4583"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Видача єдиного спільного диплома (тобто одного єдиного документа) про завершення спільної програми є законодавчо можливою в деяких країнах, а також відповідно до інституційних положень деяких закладів вищої освіти. </w:t>
      </w:r>
      <w:r w:rsidR="000405FC">
        <w:rPr>
          <w:rFonts w:ascii="Times New Roman" w:hAnsi="Times New Roman" w:cs="Times New Roman"/>
          <w:kern w:val="0"/>
          <w:sz w:val="24"/>
          <w:szCs w:val="24"/>
        </w:rPr>
        <w:t>У деяких</w:t>
      </w:r>
      <w:r w:rsidR="007D4583"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к</w:t>
      </w:r>
      <w:r w:rsidRPr="00F43628">
        <w:rPr>
          <w:rFonts w:ascii="Times New Roman" w:hAnsi="Times New Roman" w:cs="Times New Roman"/>
          <w:color w:val="000000"/>
          <w:kern w:val="0"/>
          <w:sz w:val="24"/>
          <w:szCs w:val="24"/>
        </w:rPr>
        <w:t>раїн</w:t>
      </w:r>
      <w:r w:rsidR="000405FC">
        <w:rPr>
          <w:rFonts w:ascii="Times New Roman" w:hAnsi="Times New Roman" w:cs="Times New Roman"/>
          <w:color w:val="000000"/>
          <w:kern w:val="0"/>
          <w:sz w:val="24"/>
          <w:szCs w:val="24"/>
        </w:rPr>
        <w:t>и</w:t>
      </w:r>
      <w:r w:rsidRPr="00F43628">
        <w:rPr>
          <w:rFonts w:ascii="Times New Roman" w:hAnsi="Times New Roman" w:cs="Times New Roman"/>
          <w:color w:val="000000"/>
          <w:kern w:val="0"/>
          <w:sz w:val="24"/>
          <w:szCs w:val="24"/>
        </w:rPr>
        <w:t xml:space="preserve"> ЄПВО</w:t>
      </w:r>
      <w:r w:rsidR="000405FC">
        <w:rPr>
          <w:rFonts w:ascii="Times New Roman" w:hAnsi="Times New Roman" w:cs="Times New Roman"/>
          <w:color w:val="000000"/>
          <w:kern w:val="0"/>
          <w:sz w:val="24"/>
          <w:szCs w:val="24"/>
        </w:rPr>
        <w:t xml:space="preserve"> </w:t>
      </w:r>
      <w:r w:rsidRPr="00F43628">
        <w:rPr>
          <w:rFonts w:ascii="Times New Roman" w:hAnsi="Times New Roman" w:cs="Times New Roman"/>
          <w:color w:val="000000"/>
          <w:kern w:val="0"/>
          <w:sz w:val="24"/>
          <w:szCs w:val="24"/>
        </w:rPr>
        <w:t xml:space="preserve">заклади </w:t>
      </w:r>
      <w:r w:rsidR="000405FC">
        <w:rPr>
          <w:rFonts w:ascii="Times New Roman" w:hAnsi="Times New Roman" w:cs="Times New Roman"/>
          <w:color w:val="000000"/>
          <w:kern w:val="0"/>
          <w:sz w:val="24"/>
          <w:szCs w:val="24"/>
        </w:rPr>
        <w:t xml:space="preserve">вищої освіти </w:t>
      </w:r>
      <w:r w:rsidRPr="00F43628">
        <w:rPr>
          <w:rFonts w:ascii="Times New Roman" w:hAnsi="Times New Roman" w:cs="Times New Roman"/>
          <w:color w:val="000000"/>
          <w:kern w:val="0"/>
          <w:sz w:val="24"/>
          <w:szCs w:val="24"/>
        </w:rPr>
        <w:t>не мають юридичної можливості присуджувати спільн</w:t>
      </w:r>
      <w:r w:rsidR="000405FC">
        <w:rPr>
          <w:rFonts w:ascii="Times New Roman" w:hAnsi="Times New Roman" w:cs="Times New Roman"/>
          <w:color w:val="000000"/>
          <w:kern w:val="0"/>
          <w:sz w:val="24"/>
          <w:szCs w:val="24"/>
        </w:rPr>
        <w:t>ий</w:t>
      </w:r>
      <w:r w:rsidRPr="00F43628">
        <w:rPr>
          <w:rFonts w:ascii="Times New Roman" w:hAnsi="Times New Roman" w:cs="Times New Roman"/>
          <w:color w:val="000000"/>
          <w:kern w:val="0"/>
          <w:sz w:val="24"/>
          <w:szCs w:val="24"/>
        </w:rPr>
        <w:t xml:space="preserve"> </w:t>
      </w:r>
      <w:r w:rsidR="00556F84" w:rsidRPr="000405FC">
        <w:rPr>
          <w:rFonts w:ascii="Times New Roman" w:hAnsi="Times New Roman" w:cs="Times New Roman"/>
          <w:color w:val="000000"/>
          <w:kern w:val="0"/>
          <w:sz w:val="24"/>
          <w:szCs w:val="24"/>
        </w:rPr>
        <w:t>ступ</w:t>
      </w:r>
      <w:r w:rsidR="000405FC">
        <w:rPr>
          <w:rFonts w:ascii="Times New Roman" w:hAnsi="Times New Roman" w:cs="Times New Roman"/>
          <w:color w:val="000000"/>
          <w:kern w:val="0"/>
          <w:sz w:val="24"/>
          <w:szCs w:val="24"/>
        </w:rPr>
        <w:t xml:space="preserve">інь і видавати спільний диплом, у деяких – </w:t>
      </w:r>
      <w:r w:rsidRPr="00F43628">
        <w:rPr>
          <w:rFonts w:ascii="Times New Roman" w:hAnsi="Times New Roman" w:cs="Times New Roman"/>
          <w:color w:val="000000"/>
          <w:kern w:val="0"/>
          <w:sz w:val="24"/>
          <w:szCs w:val="24"/>
        </w:rPr>
        <w:t xml:space="preserve"> залишається невизначеність щодо юридичної можливості присудження </w:t>
      </w:r>
      <w:r w:rsidRPr="00F43628">
        <w:rPr>
          <w:rFonts w:ascii="Times New Roman" w:hAnsi="Times New Roman" w:cs="Times New Roman"/>
          <w:color w:val="000000"/>
          <w:kern w:val="0"/>
          <w:sz w:val="24"/>
          <w:szCs w:val="24"/>
        </w:rPr>
        <w:lastRenderedPageBreak/>
        <w:t>спільн</w:t>
      </w:r>
      <w:r w:rsidR="000405FC">
        <w:rPr>
          <w:rFonts w:ascii="Times New Roman" w:hAnsi="Times New Roman" w:cs="Times New Roman"/>
          <w:color w:val="000000"/>
          <w:kern w:val="0"/>
          <w:sz w:val="24"/>
          <w:szCs w:val="24"/>
        </w:rPr>
        <w:t>ого</w:t>
      </w:r>
      <w:r w:rsidRPr="00F43628">
        <w:rPr>
          <w:rFonts w:ascii="Times New Roman" w:hAnsi="Times New Roman" w:cs="Times New Roman"/>
          <w:color w:val="000000"/>
          <w:kern w:val="0"/>
          <w:sz w:val="24"/>
          <w:szCs w:val="24"/>
        </w:rPr>
        <w:t xml:space="preserve"> </w:t>
      </w:r>
      <w:r w:rsidRPr="000405FC">
        <w:rPr>
          <w:rFonts w:ascii="Times New Roman" w:hAnsi="Times New Roman" w:cs="Times New Roman"/>
          <w:color w:val="000000"/>
          <w:kern w:val="0"/>
          <w:sz w:val="24"/>
          <w:szCs w:val="24"/>
        </w:rPr>
        <w:t>ступен</w:t>
      </w:r>
      <w:r w:rsidR="000405FC" w:rsidRPr="000405FC">
        <w:rPr>
          <w:rFonts w:ascii="Times New Roman" w:hAnsi="Times New Roman" w:cs="Times New Roman"/>
          <w:color w:val="000000"/>
          <w:kern w:val="0"/>
          <w:sz w:val="24"/>
          <w:szCs w:val="24"/>
        </w:rPr>
        <w:t>я</w:t>
      </w:r>
      <w:r w:rsidRPr="00F43628">
        <w:rPr>
          <w:rFonts w:ascii="Times New Roman" w:hAnsi="Times New Roman" w:cs="Times New Roman"/>
          <w:i/>
          <w:iCs/>
          <w:color w:val="000000"/>
          <w:kern w:val="0"/>
          <w:sz w:val="24"/>
          <w:szCs w:val="24"/>
        </w:rPr>
        <w:t xml:space="preserve"> </w:t>
      </w:r>
      <w:r w:rsidR="000405FC">
        <w:rPr>
          <w:rFonts w:ascii="Times New Roman" w:hAnsi="Times New Roman" w:cs="Times New Roman"/>
          <w:color w:val="000000"/>
          <w:kern w:val="0"/>
          <w:sz w:val="24"/>
          <w:szCs w:val="24"/>
        </w:rPr>
        <w:t>та видачі спільного диплому</w:t>
      </w:r>
      <w:r w:rsidR="000405FC" w:rsidRPr="00F43628">
        <w:rPr>
          <w:rFonts w:ascii="Times New Roman" w:hAnsi="Times New Roman" w:cs="Times New Roman"/>
          <w:color w:val="000000"/>
          <w:kern w:val="0"/>
          <w:sz w:val="24"/>
          <w:szCs w:val="24"/>
        </w:rPr>
        <w:t xml:space="preserve"> </w:t>
      </w:r>
      <w:r w:rsidRPr="00F43628">
        <w:rPr>
          <w:rFonts w:ascii="Times New Roman" w:hAnsi="Times New Roman" w:cs="Times New Roman"/>
          <w:color w:val="000000"/>
          <w:kern w:val="0"/>
          <w:sz w:val="24"/>
          <w:szCs w:val="24"/>
        </w:rPr>
        <w:t xml:space="preserve">через відсутність </w:t>
      </w:r>
      <w:r w:rsidR="000405FC">
        <w:rPr>
          <w:rFonts w:ascii="Times New Roman" w:hAnsi="Times New Roman" w:cs="Times New Roman"/>
          <w:color w:val="000000"/>
          <w:kern w:val="0"/>
          <w:sz w:val="24"/>
          <w:szCs w:val="24"/>
        </w:rPr>
        <w:t>відповідних</w:t>
      </w:r>
      <w:r w:rsidRPr="00F43628">
        <w:rPr>
          <w:rFonts w:ascii="Times New Roman" w:hAnsi="Times New Roman" w:cs="Times New Roman"/>
          <w:color w:val="000000"/>
          <w:kern w:val="0"/>
          <w:sz w:val="24"/>
          <w:szCs w:val="24"/>
        </w:rPr>
        <w:t xml:space="preserve"> нормативно-правових актів</w:t>
      </w:r>
      <w:r w:rsidRPr="00F43628">
        <w:rPr>
          <w:rFonts w:ascii="Times New Roman" w:hAnsi="Times New Roman" w:cs="Times New Roman"/>
          <w:kern w:val="0"/>
          <w:sz w:val="24"/>
          <w:szCs w:val="24"/>
        </w:rPr>
        <w:t>.</w:t>
      </w:r>
    </w:p>
    <w:p w14:paraId="02D0BBC8" w14:textId="77777777" w:rsidR="001317E5" w:rsidRDefault="001317E5" w:rsidP="001317E5">
      <w:pPr>
        <w:autoSpaceDE w:val="0"/>
        <w:autoSpaceDN w:val="0"/>
        <w:adjustRightInd w:val="0"/>
        <w:spacing w:after="120" w:line="240" w:lineRule="auto"/>
        <w:jc w:val="both"/>
        <w:rPr>
          <w:rFonts w:ascii="Times New Roman" w:hAnsi="Times New Roman" w:cs="Times New Roman"/>
          <w:kern w:val="0"/>
          <w:sz w:val="24"/>
          <w:szCs w:val="24"/>
        </w:rPr>
      </w:pPr>
      <w:r w:rsidRPr="001317E5">
        <w:rPr>
          <w:rFonts w:ascii="Times New Roman" w:hAnsi="Times New Roman" w:cs="Times New Roman"/>
          <w:kern w:val="0"/>
          <w:sz w:val="24"/>
          <w:szCs w:val="24"/>
        </w:rPr>
        <w:t>В Україні видача єдиного спільного диплома (тобто одного єдиного документа) про завершення спільної програми є законодавчо можливою</w:t>
      </w:r>
      <w:r>
        <w:rPr>
          <w:rFonts w:ascii="Times New Roman" w:hAnsi="Times New Roman" w:cs="Times New Roman"/>
          <w:kern w:val="0"/>
          <w:sz w:val="24"/>
          <w:szCs w:val="24"/>
        </w:rPr>
        <w:t>, але механізм видачі спільного диплома на державному рівні не розроблений</w:t>
      </w:r>
      <w:r w:rsidRPr="001317E5">
        <w:rPr>
          <w:rFonts w:ascii="Times New Roman" w:hAnsi="Times New Roman" w:cs="Times New Roman"/>
          <w:kern w:val="0"/>
          <w:sz w:val="24"/>
          <w:szCs w:val="24"/>
        </w:rPr>
        <w:t>.</w:t>
      </w:r>
    </w:p>
    <w:p w14:paraId="00F774E5" w14:textId="77459002" w:rsidR="007D4583" w:rsidRPr="00EA3A36" w:rsidRDefault="009448E4" w:rsidP="0094404A">
      <w:pPr>
        <w:autoSpaceDE w:val="0"/>
        <w:autoSpaceDN w:val="0"/>
        <w:adjustRightInd w:val="0"/>
        <w:spacing w:after="120" w:line="240" w:lineRule="auto"/>
        <w:jc w:val="both"/>
        <w:rPr>
          <w:rFonts w:ascii="Times New Roman" w:hAnsi="Times New Roman" w:cs="Times New Roman"/>
          <w:color w:val="365F91" w:themeColor="accent1" w:themeShade="BF"/>
          <w:kern w:val="0"/>
          <w:sz w:val="24"/>
          <w:szCs w:val="24"/>
        </w:rPr>
      </w:pPr>
      <w:r w:rsidRPr="001317E5">
        <w:rPr>
          <w:rFonts w:ascii="Times New Roman" w:hAnsi="Times New Roman" w:cs="Times New Roman"/>
          <w:color w:val="365F91" w:themeColor="accent1" w:themeShade="BF"/>
          <w:kern w:val="0"/>
          <w:sz w:val="24"/>
          <w:szCs w:val="24"/>
        </w:rPr>
        <w:t>Правова ситуація щодо вступу</w:t>
      </w:r>
      <w:r w:rsidR="005A1E41" w:rsidRPr="001317E5">
        <w:rPr>
          <w:rFonts w:ascii="Times New Roman" w:hAnsi="Times New Roman" w:cs="Times New Roman"/>
          <w:color w:val="365F91" w:themeColor="accent1" w:themeShade="BF"/>
          <w:kern w:val="0"/>
          <w:sz w:val="24"/>
          <w:szCs w:val="24"/>
        </w:rPr>
        <w:t xml:space="preserve"> на навчання</w:t>
      </w:r>
    </w:p>
    <w:p w14:paraId="0EC180FF" w14:textId="618AB2A0" w:rsidR="007D4583" w:rsidRDefault="005A1E41" w:rsidP="00832494">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У спільних програмах, навіть </w:t>
      </w:r>
      <w:r w:rsidR="00485465" w:rsidRPr="00F43628">
        <w:rPr>
          <w:rFonts w:ascii="Times New Roman" w:hAnsi="Times New Roman" w:cs="Times New Roman"/>
          <w:kern w:val="0"/>
          <w:sz w:val="24"/>
          <w:szCs w:val="24"/>
        </w:rPr>
        <w:t xml:space="preserve">за умови </w:t>
      </w:r>
      <w:r w:rsidRPr="00F43628">
        <w:rPr>
          <w:rFonts w:ascii="Times New Roman" w:hAnsi="Times New Roman" w:cs="Times New Roman"/>
          <w:kern w:val="0"/>
          <w:sz w:val="24"/>
          <w:szCs w:val="24"/>
        </w:rPr>
        <w:t>існу</w:t>
      </w:r>
      <w:r w:rsidR="00485465" w:rsidRPr="00F43628">
        <w:rPr>
          <w:rFonts w:ascii="Times New Roman" w:hAnsi="Times New Roman" w:cs="Times New Roman"/>
          <w:kern w:val="0"/>
          <w:sz w:val="24"/>
          <w:szCs w:val="24"/>
        </w:rPr>
        <w:t>вання</w:t>
      </w:r>
      <w:r w:rsidRPr="00F43628">
        <w:rPr>
          <w:rFonts w:ascii="Times New Roman" w:hAnsi="Times New Roman" w:cs="Times New Roman"/>
          <w:kern w:val="0"/>
          <w:sz w:val="24"/>
          <w:szCs w:val="24"/>
        </w:rPr>
        <w:t xml:space="preserve"> спільн</w:t>
      </w:r>
      <w:r w:rsidR="00485465" w:rsidRPr="00F43628">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відбірков</w:t>
      </w:r>
      <w:r w:rsidR="00485465" w:rsidRPr="00F43628">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комісі</w:t>
      </w:r>
      <w:r w:rsidR="00485465" w:rsidRPr="00F43628">
        <w:rPr>
          <w:rFonts w:ascii="Times New Roman" w:hAnsi="Times New Roman" w:cs="Times New Roman"/>
          <w:kern w:val="0"/>
          <w:sz w:val="24"/>
          <w:szCs w:val="24"/>
        </w:rPr>
        <w:t>ї</w:t>
      </w:r>
      <w:r w:rsidRPr="00F43628">
        <w:rPr>
          <w:rFonts w:ascii="Times New Roman" w:hAnsi="Times New Roman" w:cs="Times New Roman"/>
          <w:kern w:val="0"/>
          <w:sz w:val="24"/>
          <w:szCs w:val="24"/>
        </w:rPr>
        <w:t>, рішення про зарахування повинно відповідати національним та</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інституційним правилам, якщо тільки для спільних програм не існує винятків.</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Дотримання національних правових вимог до вступу має вирішальне значення для гарантування визнання присуджених ступенів. Як правило, рекомендується, щоб спільні критерії вступу відповідали вимогам найсуворішого партнера, за умови, що вони не суперечать національним або інституційним критеріям.</w:t>
      </w:r>
    </w:p>
    <w:p w14:paraId="35E5CB92" w14:textId="77777777" w:rsidR="00B12474" w:rsidRPr="00F43628" w:rsidRDefault="00B12474" w:rsidP="00832494">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4967378F" w14:textId="326AD37B" w:rsidR="007D4583" w:rsidRPr="002233EB" w:rsidRDefault="007E3027" w:rsidP="00832494">
      <w:pPr>
        <w:pStyle w:val="1"/>
        <w:spacing w:before="100" w:beforeAutospacing="1" w:after="100" w:afterAutospacing="1" w:line="240" w:lineRule="auto"/>
        <w:rPr>
          <w:rFonts w:ascii="Times New Roman" w:hAnsi="Times New Roman" w:cs="Times New Roman"/>
          <w:b/>
          <w:bCs/>
          <w:sz w:val="24"/>
          <w:szCs w:val="24"/>
        </w:rPr>
      </w:pPr>
      <w:bookmarkStart w:id="12" w:name="_Toc188337415"/>
      <w:r>
        <w:rPr>
          <w:rFonts w:ascii="Times New Roman" w:hAnsi="Times New Roman" w:cs="Times New Roman"/>
          <w:b/>
          <w:bCs/>
          <w:sz w:val="24"/>
          <w:szCs w:val="24"/>
        </w:rPr>
        <w:t>5</w:t>
      </w:r>
      <w:r w:rsidR="002233EB" w:rsidRPr="002233EB">
        <w:rPr>
          <w:rFonts w:ascii="Times New Roman" w:hAnsi="Times New Roman" w:cs="Times New Roman"/>
          <w:b/>
          <w:bCs/>
          <w:sz w:val="24"/>
          <w:szCs w:val="24"/>
        </w:rPr>
        <w:t xml:space="preserve">. СПІЛЬНЕ РОЗРОБЛЕННЯ </w:t>
      </w:r>
      <w:r w:rsidR="00B1568E">
        <w:rPr>
          <w:rFonts w:ascii="Times New Roman" w:hAnsi="Times New Roman" w:cs="Times New Roman"/>
          <w:b/>
          <w:bCs/>
          <w:sz w:val="24"/>
          <w:szCs w:val="24"/>
        </w:rPr>
        <w:t xml:space="preserve">ТА УЗГОДЖЕННЯ </w:t>
      </w:r>
      <w:r w:rsidR="002233EB">
        <w:rPr>
          <w:rFonts w:ascii="Times New Roman" w:hAnsi="Times New Roman" w:cs="Times New Roman"/>
          <w:b/>
          <w:bCs/>
          <w:sz w:val="24"/>
          <w:szCs w:val="24"/>
        </w:rPr>
        <w:t xml:space="preserve">СПІЛЬНИХ </w:t>
      </w:r>
      <w:r w:rsidR="002233EB" w:rsidRPr="002233EB">
        <w:rPr>
          <w:rFonts w:ascii="Times New Roman" w:hAnsi="Times New Roman" w:cs="Times New Roman"/>
          <w:b/>
          <w:bCs/>
          <w:sz w:val="24"/>
          <w:szCs w:val="24"/>
        </w:rPr>
        <w:t>ОСВІТНІХ ПРОГРАМ</w:t>
      </w:r>
      <w:bookmarkEnd w:id="12"/>
    </w:p>
    <w:p w14:paraId="010932BA" w14:textId="11A88823" w:rsidR="00832494" w:rsidRPr="00331A99" w:rsidRDefault="00832494" w:rsidP="00832494">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5B4C3E">
        <w:rPr>
          <w:rFonts w:ascii="Times New Roman" w:hAnsi="Times New Roman" w:cs="Times New Roman"/>
          <w:kern w:val="0"/>
          <w:sz w:val="24"/>
          <w:szCs w:val="24"/>
        </w:rPr>
        <w:t xml:space="preserve">Важливо </w:t>
      </w:r>
      <w:r w:rsidRPr="00331A99">
        <w:rPr>
          <w:rFonts w:ascii="Times New Roman" w:hAnsi="Times New Roman" w:cs="Times New Roman"/>
          <w:kern w:val="0"/>
          <w:sz w:val="24"/>
          <w:szCs w:val="24"/>
        </w:rPr>
        <w:t>розробити узгоджену спільну освітню програму як щодо змісту, так і щодо усіх процедур її реалізації.</w:t>
      </w:r>
      <w:r w:rsidR="00D70219" w:rsidRPr="00331A99">
        <w:rPr>
          <w:rFonts w:ascii="Times New Roman" w:hAnsi="Times New Roman" w:cs="Times New Roman"/>
          <w:color w:val="000000"/>
          <w:kern w:val="0"/>
          <w:sz w:val="24"/>
          <w:szCs w:val="24"/>
        </w:rPr>
        <w:t xml:space="preserve"> При розробленні </w:t>
      </w:r>
      <w:r w:rsidR="00D70219" w:rsidRPr="00331A99">
        <w:rPr>
          <w:rFonts w:ascii="Times New Roman" w:hAnsi="Times New Roman" w:cs="Times New Roman"/>
          <w:kern w:val="0"/>
          <w:sz w:val="24"/>
          <w:szCs w:val="24"/>
        </w:rPr>
        <w:t>спільної програми</w:t>
      </w:r>
      <w:r w:rsidR="00D70219" w:rsidRPr="00331A99">
        <w:rPr>
          <w:rFonts w:ascii="Times New Roman" w:hAnsi="Times New Roman" w:cs="Times New Roman"/>
          <w:color w:val="000000"/>
          <w:kern w:val="0"/>
          <w:sz w:val="24"/>
          <w:szCs w:val="24"/>
        </w:rPr>
        <w:t xml:space="preserve"> важливо враховувати комплексного бачення наступні аспекти:</w:t>
      </w:r>
    </w:p>
    <w:p w14:paraId="16E45859" w14:textId="24AD5C44" w:rsidR="00D70219" w:rsidRPr="00331A99" w:rsidRDefault="006538D9"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Сформулюйте</w:t>
      </w:r>
      <w:r w:rsidR="00D70219" w:rsidRPr="00331A99">
        <w:rPr>
          <w:rFonts w:ascii="Times New Roman" w:hAnsi="Times New Roman" w:cs="Times New Roman"/>
          <w:kern w:val="0"/>
          <w:sz w:val="24"/>
          <w:szCs w:val="24"/>
        </w:rPr>
        <w:t xml:space="preserve"> унікальні конкурентні переваги </w:t>
      </w:r>
      <w:r w:rsidRPr="00331A99">
        <w:rPr>
          <w:rFonts w:ascii="Times New Roman" w:hAnsi="Times New Roman" w:cs="Times New Roman"/>
          <w:kern w:val="0"/>
          <w:sz w:val="24"/>
          <w:szCs w:val="24"/>
        </w:rPr>
        <w:t>реалізації</w:t>
      </w:r>
      <w:r w:rsidR="00D70219" w:rsidRPr="00331A99">
        <w:rPr>
          <w:rFonts w:ascii="Times New Roman" w:hAnsi="Times New Roman" w:cs="Times New Roman"/>
          <w:kern w:val="0"/>
          <w:sz w:val="24"/>
          <w:szCs w:val="24"/>
        </w:rPr>
        <w:t xml:space="preserve"> спільної програми, враховуючи тип консорціуму та академічний зміст</w:t>
      </w:r>
      <w:r w:rsidRPr="00331A99">
        <w:rPr>
          <w:rFonts w:ascii="Times New Roman" w:hAnsi="Times New Roman" w:cs="Times New Roman"/>
          <w:kern w:val="0"/>
          <w:sz w:val="24"/>
          <w:szCs w:val="24"/>
        </w:rPr>
        <w:t>.</w:t>
      </w:r>
    </w:p>
    <w:p w14:paraId="533199E8" w14:textId="4ED32FFA" w:rsidR="00F3004E" w:rsidRPr="00331A99" w:rsidRDefault="00F3004E" w:rsidP="00331A99">
      <w:pPr>
        <w:numPr>
          <w:ilvl w:val="0"/>
          <w:numId w:val="103"/>
        </w:numPr>
        <w:autoSpaceDE w:val="0"/>
        <w:autoSpaceDN w:val="0"/>
        <w:adjustRightInd w:val="0"/>
        <w:spacing w:after="0" w:line="240" w:lineRule="auto"/>
        <w:ind w:left="351"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Спільно </w:t>
      </w:r>
      <w:r w:rsidR="00832494" w:rsidRPr="00331A99">
        <w:rPr>
          <w:rFonts w:ascii="Times New Roman" w:hAnsi="Times New Roman" w:cs="Times New Roman"/>
          <w:kern w:val="0"/>
          <w:sz w:val="24"/>
          <w:szCs w:val="24"/>
        </w:rPr>
        <w:t>визначте мету, завдання</w:t>
      </w:r>
      <w:r w:rsidRPr="00331A99">
        <w:rPr>
          <w:rFonts w:ascii="Times New Roman" w:hAnsi="Times New Roman" w:cs="Times New Roman"/>
          <w:kern w:val="0"/>
          <w:sz w:val="24"/>
          <w:szCs w:val="24"/>
        </w:rPr>
        <w:t xml:space="preserve">, </w:t>
      </w:r>
      <w:r w:rsidR="00832494" w:rsidRPr="00331A99">
        <w:rPr>
          <w:rFonts w:ascii="Times New Roman" w:hAnsi="Times New Roman" w:cs="Times New Roman"/>
          <w:kern w:val="0"/>
          <w:sz w:val="24"/>
          <w:szCs w:val="24"/>
        </w:rPr>
        <w:t xml:space="preserve">програмні компетентності та </w:t>
      </w:r>
      <w:r w:rsidRPr="00331A99">
        <w:rPr>
          <w:rFonts w:ascii="Times New Roman" w:hAnsi="Times New Roman" w:cs="Times New Roman"/>
          <w:kern w:val="0"/>
          <w:sz w:val="24"/>
          <w:szCs w:val="24"/>
        </w:rPr>
        <w:t>результати навчання</w:t>
      </w:r>
      <w:r w:rsidR="00832494" w:rsidRPr="00331A99">
        <w:rPr>
          <w:rFonts w:ascii="Times New Roman" w:hAnsi="Times New Roman" w:cs="Times New Roman"/>
          <w:kern w:val="0"/>
          <w:sz w:val="24"/>
          <w:szCs w:val="24"/>
        </w:rPr>
        <w:t>,</w:t>
      </w:r>
      <w:r w:rsidRPr="00331A99">
        <w:rPr>
          <w:rFonts w:ascii="Times New Roman" w:hAnsi="Times New Roman" w:cs="Times New Roman"/>
          <w:kern w:val="0"/>
          <w:sz w:val="24"/>
          <w:szCs w:val="24"/>
        </w:rPr>
        <w:t xml:space="preserve"> </w:t>
      </w:r>
      <w:r w:rsidR="00832494" w:rsidRPr="00331A99">
        <w:rPr>
          <w:rFonts w:ascii="Times New Roman" w:hAnsi="Times New Roman" w:cs="Times New Roman"/>
          <w:kern w:val="0"/>
          <w:sz w:val="24"/>
          <w:szCs w:val="24"/>
        </w:rPr>
        <w:t xml:space="preserve">обсяг у кредитах ЄКТС спільної </w:t>
      </w:r>
      <w:r w:rsidRPr="00331A99">
        <w:rPr>
          <w:rFonts w:ascii="Times New Roman" w:hAnsi="Times New Roman" w:cs="Times New Roman"/>
          <w:kern w:val="0"/>
          <w:sz w:val="24"/>
          <w:szCs w:val="24"/>
        </w:rPr>
        <w:t>програми.</w:t>
      </w:r>
    </w:p>
    <w:p w14:paraId="77C28A10" w14:textId="144C3A5E" w:rsidR="002D02C4" w:rsidRPr="00331A99" w:rsidRDefault="007E4116" w:rsidP="00331A99">
      <w:pPr>
        <w:autoSpaceDE w:val="0"/>
        <w:autoSpaceDN w:val="0"/>
        <w:adjustRightInd w:val="0"/>
        <w:spacing w:after="0" w:line="240" w:lineRule="auto"/>
        <w:ind w:left="352"/>
        <w:jc w:val="both"/>
        <w:rPr>
          <w:rFonts w:ascii="Times New Roman" w:hAnsi="Times New Roman" w:cs="Times New Roman"/>
          <w:kern w:val="0"/>
          <w:sz w:val="24"/>
          <w:szCs w:val="24"/>
        </w:rPr>
      </w:pPr>
      <w:r w:rsidRPr="00331A99">
        <w:rPr>
          <w:rFonts w:ascii="Times New Roman" w:hAnsi="Times New Roman" w:cs="Times New Roman"/>
          <w:kern w:val="0"/>
          <w:sz w:val="24"/>
          <w:szCs w:val="24"/>
        </w:rPr>
        <w:t>С</w:t>
      </w:r>
      <w:r w:rsidR="002D02C4" w:rsidRPr="00331A99">
        <w:rPr>
          <w:rFonts w:ascii="Times New Roman" w:hAnsi="Times New Roman" w:cs="Times New Roman"/>
          <w:kern w:val="0"/>
          <w:sz w:val="24"/>
          <w:szCs w:val="24"/>
        </w:rPr>
        <w:t xml:space="preserve">лід використовувати Національну рамку кваліфікацій та тематичний підхід через методологію </w:t>
      </w:r>
      <w:hyperlink r:id="rId31" w:history="1">
        <w:r w:rsidR="002D02C4" w:rsidRPr="00331A99">
          <w:rPr>
            <w:rStyle w:val="a8"/>
            <w:rFonts w:ascii="Times New Roman" w:hAnsi="Times New Roman" w:cs="Times New Roman"/>
            <w:sz w:val="24"/>
            <w:szCs w:val="24"/>
          </w:rPr>
          <w:t>TUNING</w:t>
        </w:r>
      </w:hyperlink>
      <w:r w:rsidR="002D02C4" w:rsidRPr="00331A99">
        <w:rPr>
          <w:rFonts w:ascii="Times New Roman" w:hAnsi="Times New Roman" w:cs="Times New Roman"/>
          <w:sz w:val="24"/>
          <w:szCs w:val="24"/>
        </w:rPr>
        <w:t xml:space="preserve"> </w:t>
      </w:r>
      <w:r w:rsidR="002D02C4" w:rsidRPr="00331A99">
        <w:rPr>
          <w:rFonts w:ascii="Times New Roman" w:hAnsi="Times New Roman" w:cs="Times New Roman"/>
          <w:kern w:val="0"/>
          <w:sz w:val="24"/>
          <w:szCs w:val="24"/>
        </w:rPr>
        <w:t>(результат проєкту ЄС)</w:t>
      </w:r>
      <w:r w:rsidR="002D7876" w:rsidRPr="00331A99">
        <w:rPr>
          <w:rFonts w:ascii="Times New Roman" w:hAnsi="Times New Roman" w:cs="Times New Roman"/>
          <w:kern w:val="0"/>
          <w:sz w:val="24"/>
          <w:szCs w:val="24"/>
        </w:rPr>
        <w:t xml:space="preserve"> </w:t>
      </w:r>
      <w:r w:rsidR="00995094" w:rsidRPr="00331A99">
        <w:rPr>
          <w:rFonts w:ascii="Times New Roman" w:hAnsi="Times New Roman" w:cs="Times New Roman"/>
          <w:kern w:val="0"/>
          <w:sz w:val="24"/>
          <w:szCs w:val="24"/>
        </w:rPr>
        <w:t>д</w:t>
      </w:r>
      <w:r w:rsidRPr="00331A99">
        <w:rPr>
          <w:rFonts w:ascii="Times New Roman" w:hAnsi="Times New Roman" w:cs="Times New Roman"/>
          <w:kern w:val="0"/>
          <w:sz w:val="24"/>
          <w:szCs w:val="24"/>
        </w:rPr>
        <w:t xml:space="preserve">ля формулювання компетентностей і результатів навчання </w:t>
      </w:r>
      <w:r w:rsidR="002D7876" w:rsidRPr="00331A99">
        <w:rPr>
          <w:rFonts w:ascii="Times New Roman" w:hAnsi="Times New Roman" w:cs="Times New Roman"/>
          <w:kern w:val="0"/>
          <w:sz w:val="24"/>
          <w:szCs w:val="24"/>
        </w:rPr>
        <w:t>на основі стандартів вищої освіти за відповідною спеціальністю</w:t>
      </w:r>
      <w:r w:rsidR="002D02C4" w:rsidRPr="00331A99">
        <w:rPr>
          <w:rFonts w:ascii="Times New Roman" w:hAnsi="Times New Roman" w:cs="Times New Roman"/>
          <w:kern w:val="0"/>
          <w:sz w:val="24"/>
          <w:szCs w:val="24"/>
        </w:rPr>
        <w:t>.</w:t>
      </w:r>
    </w:p>
    <w:p w14:paraId="011D938F" w14:textId="77777777" w:rsidR="00D70219" w:rsidRPr="00331A99" w:rsidRDefault="00F3004E" w:rsidP="00331A99">
      <w:pPr>
        <w:numPr>
          <w:ilvl w:val="0"/>
          <w:numId w:val="103"/>
        </w:numPr>
        <w:autoSpaceDE w:val="0"/>
        <w:autoSpaceDN w:val="0"/>
        <w:adjustRightInd w:val="0"/>
        <w:spacing w:after="0" w:line="240" w:lineRule="auto"/>
        <w:ind w:left="351"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Спільно визначте цільов</w:t>
      </w:r>
      <w:r w:rsidR="00832494" w:rsidRPr="00331A99">
        <w:rPr>
          <w:rFonts w:ascii="Times New Roman" w:hAnsi="Times New Roman" w:cs="Times New Roman"/>
          <w:kern w:val="0"/>
          <w:sz w:val="24"/>
          <w:szCs w:val="24"/>
        </w:rPr>
        <w:t>у групу потенційних</w:t>
      </w:r>
      <w:r w:rsidRPr="00331A99">
        <w:rPr>
          <w:rFonts w:ascii="Times New Roman" w:hAnsi="Times New Roman" w:cs="Times New Roman"/>
          <w:kern w:val="0"/>
          <w:sz w:val="24"/>
          <w:szCs w:val="24"/>
        </w:rPr>
        <w:t xml:space="preserve"> студентів, </w:t>
      </w:r>
      <w:r w:rsidR="00832494" w:rsidRPr="00331A99">
        <w:rPr>
          <w:rFonts w:ascii="Times New Roman" w:hAnsi="Times New Roman" w:cs="Times New Roman"/>
          <w:kern w:val="0"/>
          <w:sz w:val="24"/>
          <w:szCs w:val="24"/>
        </w:rPr>
        <w:t>зокрема</w:t>
      </w:r>
      <w:r w:rsidRPr="00331A99">
        <w:rPr>
          <w:rFonts w:ascii="Times New Roman" w:hAnsi="Times New Roman" w:cs="Times New Roman"/>
          <w:kern w:val="0"/>
          <w:sz w:val="24"/>
          <w:szCs w:val="24"/>
        </w:rPr>
        <w:t xml:space="preserve"> з огляду на </w:t>
      </w:r>
      <w:r w:rsidR="00832494" w:rsidRPr="00331A99">
        <w:rPr>
          <w:rFonts w:ascii="Times New Roman" w:hAnsi="Times New Roman" w:cs="Times New Roman"/>
          <w:kern w:val="0"/>
          <w:sz w:val="24"/>
          <w:szCs w:val="24"/>
        </w:rPr>
        <w:t>попередню освіту та відповідні компетентності</w:t>
      </w:r>
      <w:r w:rsidRPr="00331A99">
        <w:rPr>
          <w:rFonts w:ascii="Times New Roman" w:hAnsi="Times New Roman" w:cs="Times New Roman"/>
          <w:kern w:val="0"/>
          <w:sz w:val="24"/>
          <w:szCs w:val="24"/>
        </w:rPr>
        <w:t>.</w:t>
      </w:r>
      <w:r w:rsidR="00D70219" w:rsidRPr="00331A99">
        <w:rPr>
          <w:rFonts w:ascii="Times New Roman" w:hAnsi="Times New Roman" w:cs="Times New Roman"/>
          <w:kern w:val="0"/>
          <w:sz w:val="24"/>
          <w:szCs w:val="24"/>
        </w:rPr>
        <w:t xml:space="preserve"> </w:t>
      </w:r>
    </w:p>
    <w:p w14:paraId="30EA3E5C" w14:textId="7C5988A4" w:rsidR="00F3004E" w:rsidRPr="00331A99" w:rsidRDefault="00D70219" w:rsidP="00331A99">
      <w:pPr>
        <w:autoSpaceDE w:val="0"/>
        <w:autoSpaceDN w:val="0"/>
        <w:adjustRightInd w:val="0"/>
        <w:spacing w:after="0" w:line="240" w:lineRule="auto"/>
        <w:ind w:left="352"/>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Це стратегічна справа, оскільки тісно пов’язана з фінансуванням спільної програми. Залучення міжнародних студентів вимагає чітко розроблених маркетингових планів, інвестицій </w:t>
      </w:r>
      <w:r w:rsidR="00C43DAF" w:rsidRPr="00331A99">
        <w:rPr>
          <w:rFonts w:ascii="Times New Roman" w:hAnsi="Times New Roman" w:cs="Times New Roman"/>
          <w:kern w:val="0"/>
          <w:sz w:val="24"/>
          <w:szCs w:val="24"/>
        </w:rPr>
        <w:t>і</w:t>
      </w:r>
      <w:r w:rsidRPr="00331A99">
        <w:rPr>
          <w:rFonts w:ascii="Times New Roman" w:hAnsi="Times New Roman" w:cs="Times New Roman"/>
          <w:kern w:val="0"/>
          <w:sz w:val="24"/>
          <w:szCs w:val="24"/>
        </w:rPr>
        <w:t xml:space="preserve"> фандрейзингових заходів для підтримки спільної програми.</w:t>
      </w:r>
    </w:p>
    <w:p w14:paraId="25672A89" w14:textId="0CCF1836" w:rsidR="00F3004E" w:rsidRPr="00331A99" w:rsidRDefault="00F3004E"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Спільно розробіть </w:t>
      </w:r>
      <w:r w:rsidR="00832494" w:rsidRPr="00331A99">
        <w:rPr>
          <w:rFonts w:ascii="Times New Roman" w:hAnsi="Times New Roman" w:cs="Times New Roman"/>
          <w:kern w:val="0"/>
          <w:sz w:val="24"/>
          <w:szCs w:val="24"/>
        </w:rPr>
        <w:t xml:space="preserve">освітню </w:t>
      </w:r>
      <w:r w:rsidRPr="00331A99">
        <w:rPr>
          <w:rFonts w:ascii="Times New Roman" w:hAnsi="Times New Roman" w:cs="Times New Roman"/>
          <w:kern w:val="0"/>
          <w:sz w:val="24"/>
          <w:szCs w:val="24"/>
        </w:rPr>
        <w:t>програму</w:t>
      </w:r>
      <w:r w:rsidR="00254B37" w:rsidRPr="00331A99">
        <w:rPr>
          <w:rFonts w:ascii="Times New Roman" w:hAnsi="Times New Roman" w:cs="Times New Roman"/>
          <w:kern w:val="0"/>
          <w:sz w:val="24"/>
          <w:szCs w:val="24"/>
        </w:rPr>
        <w:t xml:space="preserve"> (зміст через теми, які мають бути охоплені, та структуру – модулі та відповідні кредити ЄКТС, види діяльності для досягнення визначених результатів навчання)</w:t>
      </w:r>
      <w:r w:rsidR="00832494" w:rsidRPr="00331A99">
        <w:rPr>
          <w:rFonts w:ascii="Times New Roman" w:hAnsi="Times New Roman" w:cs="Times New Roman"/>
          <w:kern w:val="0"/>
          <w:sz w:val="24"/>
          <w:szCs w:val="24"/>
        </w:rPr>
        <w:t xml:space="preserve"> та навчальний план</w:t>
      </w:r>
      <w:r w:rsidR="007A469D" w:rsidRPr="00331A99">
        <w:rPr>
          <w:rFonts w:ascii="Times New Roman" w:hAnsi="Times New Roman" w:cs="Times New Roman"/>
          <w:kern w:val="0"/>
          <w:sz w:val="24"/>
          <w:szCs w:val="24"/>
        </w:rPr>
        <w:t>/академічний календар</w:t>
      </w:r>
      <w:r w:rsidRPr="00331A99">
        <w:rPr>
          <w:rFonts w:ascii="Times New Roman" w:hAnsi="Times New Roman" w:cs="Times New Roman"/>
          <w:kern w:val="0"/>
          <w:sz w:val="24"/>
          <w:szCs w:val="24"/>
        </w:rPr>
        <w:t xml:space="preserve">, </w:t>
      </w:r>
      <w:r w:rsidR="00832494" w:rsidRPr="00331A99">
        <w:rPr>
          <w:rFonts w:ascii="Times New Roman" w:hAnsi="Times New Roman" w:cs="Times New Roman"/>
          <w:kern w:val="0"/>
          <w:sz w:val="24"/>
          <w:szCs w:val="24"/>
        </w:rPr>
        <w:t>ураховуючи «вікно мобільності» для навчання в кожному закладі-партнері</w:t>
      </w:r>
      <w:r w:rsidRPr="00331A99">
        <w:rPr>
          <w:rFonts w:ascii="Times New Roman" w:hAnsi="Times New Roman" w:cs="Times New Roman"/>
          <w:kern w:val="0"/>
          <w:sz w:val="24"/>
          <w:szCs w:val="24"/>
        </w:rPr>
        <w:t xml:space="preserve"> </w:t>
      </w:r>
      <w:r w:rsidR="00832494" w:rsidRPr="00331A99">
        <w:rPr>
          <w:rFonts w:ascii="Times New Roman" w:hAnsi="Times New Roman" w:cs="Times New Roman"/>
          <w:kern w:val="0"/>
          <w:sz w:val="24"/>
          <w:szCs w:val="24"/>
        </w:rPr>
        <w:t xml:space="preserve">та </w:t>
      </w:r>
      <w:r w:rsidRPr="00331A99">
        <w:rPr>
          <w:rFonts w:ascii="Times New Roman" w:hAnsi="Times New Roman" w:cs="Times New Roman"/>
          <w:kern w:val="0"/>
          <w:sz w:val="24"/>
          <w:szCs w:val="24"/>
        </w:rPr>
        <w:t xml:space="preserve">визнання </w:t>
      </w:r>
      <w:r w:rsidR="00832494" w:rsidRPr="00331A99">
        <w:rPr>
          <w:rFonts w:ascii="Times New Roman" w:hAnsi="Times New Roman" w:cs="Times New Roman"/>
          <w:kern w:val="0"/>
          <w:sz w:val="24"/>
          <w:szCs w:val="24"/>
        </w:rPr>
        <w:t>результатів навчання</w:t>
      </w:r>
      <w:r w:rsidRPr="00331A99">
        <w:rPr>
          <w:rFonts w:ascii="Times New Roman" w:hAnsi="Times New Roman" w:cs="Times New Roman"/>
          <w:kern w:val="0"/>
          <w:sz w:val="24"/>
          <w:szCs w:val="24"/>
        </w:rPr>
        <w:t>.</w:t>
      </w:r>
    </w:p>
    <w:p w14:paraId="13B77390" w14:textId="766495DA" w:rsidR="00254B37" w:rsidRPr="00331A99" w:rsidRDefault="00254B37"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Визначте підходи до викладання та навчання (типи методів, техн</w:t>
      </w:r>
      <w:r w:rsidR="003E200B" w:rsidRPr="00331A99">
        <w:rPr>
          <w:rFonts w:ascii="Times New Roman" w:hAnsi="Times New Roman" w:cs="Times New Roman"/>
          <w:kern w:val="0"/>
          <w:sz w:val="24"/>
          <w:szCs w:val="24"/>
        </w:rPr>
        <w:t>ологій</w:t>
      </w:r>
      <w:r w:rsidRPr="00331A99">
        <w:rPr>
          <w:rFonts w:ascii="Times New Roman" w:hAnsi="Times New Roman" w:cs="Times New Roman"/>
          <w:kern w:val="0"/>
          <w:sz w:val="24"/>
          <w:szCs w:val="24"/>
        </w:rPr>
        <w:t>, форматів і, за необхідності, розроблення навчальних матеріалів), а також методи оцінювання</w:t>
      </w:r>
      <w:r w:rsidR="003E200B" w:rsidRPr="00331A99">
        <w:rPr>
          <w:rFonts w:ascii="Times New Roman" w:hAnsi="Times New Roman" w:cs="Times New Roman"/>
          <w:kern w:val="0"/>
          <w:sz w:val="24"/>
          <w:szCs w:val="24"/>
        </w:rPr>
        <w:t>.</w:t>
      </w:r>
    </w:p>
    <w:p w14:paraId="33D561AC" w14:textId="33888E22" w:rsidR="00855EB9" w:rsidRPr="00331A99" w:rsidRDefault="00855EB9"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Визначте рівень інтеграції </w:t>
      </w:r>
      <w:r w:rsidR="000C10D4" w:rsidRPr="00331A99">
        <w:rPr>
          <w:rFonts w:ascii="Times New Roman" w:hAnsi="Times New Roman" w:cs="Times New Roman"/>
          <w:kern w:val="0"/>
          <w:sz w:val="24"/>
          <w:szCs w:val="24"/>
        </w:rPr>
        <w:t xml:space="preserve">спільної програми </w:t>
      </w:r>
      <w:r w:rsidRPr="00331A99">
        <w:rPr>
          <w:rFonts w:ascii="Times New Roman" w:hAnsi="Times New Roman" w:cs="Times New Roman"/>
          <w:kern w:val="0"/>
          <w:sz w:val="24"/>
          <w:szCs w:val="24"/>
        </w:rPr>
        <w:t>та</w:t>
      </w:r>
      <w:r w:rsidR="00870626" w:rsidRPr="00331A99">
        <w:rPr>
          <w:rFonts w:ascii="Times New Roman" w:hAnsi="Times New Roman" w:cs="Times New Roman"/>
          <w:kern w:val="0"/>
          <w:sz w:val="24"/>
          <w:szCs w:val="24"/>
        </w:rPr>
        <w:t>, відповідно,</w:t>
      </w:r>
      <w:r w:rsidRPr="00331A99">
        <w:rPr>
          <w:rFonts w:ascii="Times New Roman" w:hAnsi="Times New Roman" w:cs="Times New Roman"/>
          <w:kern w:val="0"/>
          <w:sz w:val="24"/>
          <w:szCs w:val="24"/>
        </w:rPr>
        <w:t xml:space="preserve"> передбачте присудження ступеня</w:t>
      </w:r>
      <w:r w:rsidR="000C10D4" w:rsidRPr="00331A99">
        <w:rPr>
          <w:rFonts w:ascii="Times New Roman" w:hAnsi="Times New Roman" w:cs="Times New Roman"/>
          <w:kern w:val="0"/>
          <w:sz w:val="24"/>
          <w:szCs w:val="24"/>
        </w:rPr>
        <w:t>/ступенів та видачу спільного/подвійного/багатостороннього диплому.</w:t>
      </w:r>
    </w:p>
    <w:p w14:paraId="630D3ED9" w14:textId="795F0C74" w:rsidR="00F3004E" w:rsidRPr="00331A99" w:rsidRDefault="00F3004E"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Залуч</w:t>
      </w:r>
      <w:r w:rsidR="00594A08" w:rsidRPr="00331A99">
        <w:rPr>
          <w:rFonts w:ascii="Times New Roman" w:hAnsi="Times New Roman" w:cs="Times New Roman"/>
          <w:kern w:val="0"/>
          <w:sz w:val="24"/>
          <w:szCs w:val="24"/>
        </w:rPr>
        <w:t>іть</w:t>
      </w:r>
      <w:r w:rsidRPr="00331A99">
        <w:rPr>
          <w:rFonts w:ascii="Times New Roman" w:hAnsi="Times New Roman" w:cs="Times New Roman"/>
          <w:kern w:val="0"/>
          <w:sz w:val="24"/>
          <w:szCs w:val="24"/>
        </w:rPr>
        <w:t xml:space="preserve"> неакадемічних суб'єктів ринку праці, щоб вони допомогли (i) сформулювати результати навчання з огляду на працевлаштування, (ii) включити елементи </w:t>
      </w:r>
      <w:r w:rsidR="00594A08" w:rsidRPr="00331A99">
        <w:rPr>
          <w:rFonts w:ascii="Times New Roman" w:hAnsi="Times New Roman" w:cs="Times New Roman"/>
          <w:kern w:val="0"/>
          <w:sz w:val="24"/>
          <w:szCs w:val="24"/>
        </w:rPr>
        <w:t>практичної підготовки</w:t>
      </w:r>
      <w:r w:rsidRPr="00331A99">
        <w:rPr>
          <w:rFonts w:ascii="Times New Roman" w:hAnsi="Times New Roman" w:cs="Times New Roman"/>
          <w:kern w:val="0"/>
          <w:sz w:val="24"/>
          <w:szCs w:val="24"/>
        </w:rPr>
        <w:t xml:space="preserve"> в </w:t>
      </w:r>
      <w:r w:rsidR="00594A08" w:rsidRPr="00331A99">
        <w:rPr>
          <w:rFonts w:ascii="Times New Roman" w:hAnsi="Times New Roman" w:cs="Times New Roman"/>
          <w:kern w:val="0"/>
          <w:sz w:val="24"/>
          <w:szCs w:val="24"/>
        </w:rPr>
        <w:t>спільну</w:t>
      </w:r>
      <w:r w:rsidRPr="00331A99">
        <w:rPr>
          <w:rFonts w:ascii="Times New Roman" w:hAnsi="Times New Roman" w:cs="Times New Roman"/>
          <w:kern w:val="0"/>
          <w:sz w:val="24"/>
          <w:szCs w:val="24"/>
        </w:rPr>
        <w:t xml:space="preserve"> програм</w:t>
      </w:r>
      <w:r w:rsidR="00594A08" w:rsidRPr="00331A99">
        <w:rPr>
          <w:rFonts w:ascii="Times New Roman" w:hAnsi="Times New Roman" w:cs="Times New Roman"/>
          <w:kern w:val="0"/>
          <w:sz w:val="24"/>
          <w:szCs w:val="24"/>
        </w:rPr>
        <w:t>у</w:t>
      </w:r>
      <w:r w:rsidRPr="00331A99">
        <w:rPr>
          <w:rFonts w:ascii="Times New Roman" w:hAnsi="Times New Roman" w:cs="Times New Roman"/>
          <w:kern w:val="0"/>
          <w:sz w:val="24"/>
          <w:szCs w:val="24"/>
        </w:rPr>
        <w:t>, (iii) забезпечити програми стажування</w:t>
      </w:r>
      <w:r w:rsidR="00594A08" w:rsidRPr="00331A99">
        <w:rPr>
          <w:rFonts w:ascii="Times New Roman" w:hAnsi="Times New Roman" w:cs="Times New Roman"/>
          <w:kern w:val="0"/>
          <w:sz w:val="24"/>
          <w:szCs w:val="24"/>
        </w:rPr>
        <w:t>, практики</w:t>
      </w:r>
      <w:r w:rsidRPr="00331A99">
        <w:rPr>
          <w:rFonts w:ascii="Times New Roman" w:hAnsi="Times New Roman" w:cs="Times New Roman"/>
          <w:kern w:val="0"/>
          <w:sz w:val="24"/>
          <w:szCs w:val="24"/>
        </w:rPr>
        <w:t xml:space="preserve"> та (iv) дослідити потенціал фінансової співпраці для забезпечення стійк</w:t>
      </w:r>
      <w:r w:rsidR="00594A08" w:rsidRPr="00331A99">
        <w:rPr>
          <w:rFonts w:ascii="Times New Roman" w:hAnsi="Times New Roman" w:cs="Times New Roman"/>
          <w:kern w:val="0"/>
          <w:sz w:val="24"/>
          <w:szCs w:val="24"/>
        </w:rPr>
        <w:t>ості</w:t>
      </w:r>
      <w:r w:rsidRPr="00331A99">
        <w:rPr>
          <w:rFonts w:ascii="Times New Roman" w:hAnsi="Times New Roman" w:cs="Times New Roman"/>
          <w:kern w:val="0"/>
          <w:sz w:val="24"/>
          <w:szCs w:val="24"/>
        </w:rPr>
        <w:t xml:space="preserve"> </w:t>
      </w:r>
      <w:r w:rsidR="00594A08" w:rsidRPr="00331A99">
        <w:rPr>
          <w:rFonts w:ascii="Times New Roman" w:hAnsi="Times New Roman" w:cs="Times New Roman"/>
          <w:kern w:val="0"/>
          <w:sz w:val="24"/>
          <w:szCs w:val="24"/>
        </w:rPr>
        <w:t xml:space="preserve">спільної </w:t>
      </w:r>
      <w:r w:rsidRPr="00331A99">
        <w:rPr>
          <w:rFonts w:ascii="Times New Roman" w:hAnsi="Times New Roman" w:cs="Times New Roman"/>
          <w:kern w:val="0"/>
          <w:sz w:val="24"/>
          <w:szCs w:val="24"/>
        </w:rPr>
        <w:t>програми</w:t>
      </w:r>
      <w:r w:rsidR="00594A08" w:rsidRPr="00331A99">
        <w:rPr>
          <w:rFonts w:ascii="Times New Roman" w:hAnsi="Times New Roman" w:cs="Times New Roman"/>
          <w:kern w:val="0"/>
          <w:sz w:val="24"/>
          <w:szCs w:val="24"/>
        </w:rPr>
        <w:t>.</w:t>
      </w:r>
    </w:p>
    <w:p w14:paraId="5BFDBE72" w14:textId="41B588F8" w:rsidR="00D70219" w:rsidRPr="00331A99" w:rsidRDefault="00FC4BD2"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Р</w:t>
      </w:r>
      <w:r w:rsidR="00D70219" w:rsidRPr="00331A99">
        <w:rPr>
          <w:rFonts w:ascii="Times New Roman" w:hAnsi="Times New Roman" w:cs="Times New Roman"/>
          <w:kern w:val="0"/>
          <w:sz w:val="24"/>
          <w:szCs w:val="24"/>
        </w:rPr>
        <w:t>озроб</w:t>
      </w:r>
      <w:r w:rsidRPr="00331A99">
        <w:rPr>
          <w:rFonts w:ascii="Times New Roman" w:hAnsi="Times New Roman" w:cs="Times New Roman"/>
          <w:kern w:val="0"/>
          <w:sz w:val="24"/>
          <w:szCs w:val="24"/>
        </w:rPr>
        <w:t>іть спільні правила для запровадження</w:t>
      </w:r>
      <w:r w:rsidR="00D70219" w:rsidRPr="00331A99">
        <w:rPr>
          <w:rFonts w:ascii="Times New Roman" w:hAnsi="Times New Roman" w:cs="Times New Roman"/>
          <w:kern w:val="0"/>
          <w:sz w:val="24"/>
          <w:szCs w:val="24"/>
        </w:rPr>
        <w:t xml:space="preserve"> спільної академічної та адміністративної культури</w:t>
      </w:r>
      <w:r w:rsidRPr="00331A99">
        <w:rPr>
          <w:rFonts w:ascii="Times New Roman" w:hAnsi="Times New Roman" w:cs="Times New Roman"/>
          <w:kern w:val="0"/>
          <w:sz w:val="24"/>
          <w:szCs w:val="24"/>
        </w:rPr>
        <w:t>.</w:t>
      </w:r>
    </w:p>
    <w:p w14:paraId="00665F6C" w14:textId="12F4C38F" w:rsidR="00D70219" w:rsidRPr="00331A99" w:rsidRDefault="00FC4BD2"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У</w:t>
      </w:r>
      <w:r w:rsidR="00D70219" w:rsidRPr="00331A99">
        <w:rPr>
          <w:rFonts w:ascii="Times New Roman" w:hAnsi="Times New Roman" w:cs="Times New Roman"/>
          <w:kern w:val="0"/>
          <w:sz w:val="24"/>
          <w:szCs w:val="24"/>
        </w:rPr>
        <w:t>згод</w:t>
      </w:r>
      <w:r w:rsidRPr="00331A99">
        <w:rPr>
          <w:rFonts w:ascii="Times New Roman" w:hAnsi="Times New Roman" w:cs="Times New Roman"/>
          <w:kern w:val="0"/>
          <w:sz w:val="24"/>
          <w:szCs w:val="24"/>
        </w:rPr>
        <w:t>ьте</w:t>
      </w:r>
      <w:r w:rsidR="00D70219" w:rsidRPr="00331A99">
        <w:rPr>
          <w:rFonts w:ascii="Times New Roman" w:hAnsi="Times New Roman" w:cs="Times New Roman"/>
          <w:kern w:val="0"/>
          <w:sz w:val="24"/>
          <w:szCs w:val="24"/>
        </w:rPr>
        <w:t xml:space="preserve"> процес проведення екзаменів</w:t>
      </w:r>
      <w:r w:rsidRPr="00331A99">
        <w:rPr>
          <w:rFonts w:ascii="Times New Roman" w:hAnsi="Times New Roman" w:cs="Times New Roman"/>
          <w:kern w:val="0"/>
          <w:sz w:val="24"/>
          <w:szCs w:val="24"/>
        </w:rPr>
        <w:t xml:space="preserve"> на основі </w:t>
      </w:r>
      <w:r w:rsidR="00D70219" w:rsidRPr="00331A99">
        <w:rPr>
          <w:rFonts w:ascii="Times New Roman" w:hAnsi="Times New Roman" w:cs="Times New Roman"/>
          <w:kern w:val="0"/>
          <w:sz w:val="24"/>
          <w:szCs w:val="24"/>
        </w:rPr>
        <w:t>прозор</w:t>
      </w:r>
      <w:r w:rsidRPr="00331A99">
        <w:rPr>
          <w:rFonts w:ascii="Times New Roman" w:hAnsi="Times New Roman" w:cs="Times New Roman"/>
          <w:kern w:val="0"/>
          <w:sz w:val="24"/>
          <w:szCs w:val="24"/>
        </w:rPr>
        <w:t>ості.</w:t>
      </w:r>
    </w:p>
    <w:p w14:paraId="678FCFBC" w14:textId="6328A977" w:rsidR="00D70219" w:rsidRPr="00331A99" w:rsidRDefault="00FC4BD2"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В</w:t>
      </w:r>
      <w:r w:rsidR="00D70219" w:rsidRPr="00331A99">
        <w:rPr>
          <w:rFonts w:ascii="Times New Roman" w:hAnsi="Times New Roman" w:cs="Times New Roman"/>
          <w:kern w:val="0"/>
          <w:sz w:val="24"/>
          <w:szCs w:val="24"/>
        </w:rPr>
        <w:t>ироб</w:t>
      </w:r>
      <w:r w:rsidRPr="00331A99">
        <w:rPr>
          <w:rFonts w:ascii="Times New Roman" w:hAnsi="Times New Roman" w:cs="Times New Roman"/>
          <w:kern w:val="0"/>
          <w:sz w:val="24"/>
          <w:szCs w:val="24"/>
        </w:rPr>
        <w:t>іть</w:t>
      </w:r>
      <w:r w:rsidR="00D70219" w:rsidRPr="00331A99">
        <w:rPr>
          <w:rFonts w:ascii="Times New Roman" w:hAnsi="Times New Roman" w:cs="Times New Roman"/>
          <w:kern w:val="0"/>
          <w:sz w:val="24"/>
          <w:szCs w:val="24"/>
        </w:rPr>
        <w:t xml:space="preserve"> стратегію ст</w:t>
      </w:r>
      <w:r w:rsidRPr="00331A99">
        <w:rPr>
          <w:rFonts w:ascii="Times New Roman" w:hAnsi="Times New Roman" w:cs="Times New Roman"/>
          <w:kern w:val="0"/>
          <w:sz w:val="24"/>
          <w:szCs w:val="24"/>
        </w:rPr>
        <w:t>ійкості спільної</w:t>
      </w:r>
      <w:r w:rsidR="00D70219" w:rsidRPr="00331A99">
        <w:rPr>
          <w:rFonts w:ascii="Times New Roman" w:hAnsi="Times New Roman" w:cs="Times New Roman"/>
          <w:kern w:val="0"/>
          <w:sz w:val="24"/>
          <w:szCs w:val="24"/>
        </w:rPr>
        <w:t xml:space="preserve"> програми</w:t>
      </w:r>
      <w:r w:rsidRPr="00331A99">
        <w:rPr>
          <w:rFonts w:ascii="Times New Roman" w:hAnsi="Times New Roman" w:cs="Times New Roman"/>
          <w:kern w:val="0"/>
          <w:sz w:val="24"/>
          <w:szCs w:val="24"/>
        </w:rPr>
        <w:t>.</w:t>
      </w:r>
    </w:p>
    <w:p w14:paraId="3B93E3E3" w14:textId="4D2C7EEF" w:rsidR="00D70219" w:rsidRPr="00331A99" w:rsidRDefault="00FC4BD2" w:rsidP="00331A99">
      <w:pPr>
        <w:numPr>
          <w:ilvl w:val="0"/>
          <w:numId w:val="103"/>
        </w:numPr>
        <w:autoSpaceDE w:val="0"/>
        <w:autoSpaceDN w:val="0"/>
        <w:adjustRightInd w:val="0"/>
        <w:spacing w:after="0" w:line="240" w:lineRule="auto"/>
        <w:ind w:left="350" w:hanging="357"/>
        <w:jc w:val="both"/>
        <w:rPr>
          <w:rFonts w:ascii="Times New Roman" w:hAnsi="Times New Roman" w:cs="Times New Roman"/>
          <w:kern w:val="0"/>
          <w:sz w:val="24"/>
          <w:szCs w:val="24"/>
        </w:rPr>
      </w:pPr>
      <w:r w:rsidRPr="00331A99">
        <w:rPr>
          <w:rFonts w:ascii="Times New Roman" w:hAnsi="Times New Roman" w:cs="Times New Roman"/>
          <w:kern w:val="0"/>
          <w:sz w:val="24"/>
          <w:szCs w:val="24"/>
        </w:rPr>
        <w:t>Підготуйте</w:t>
      </w:r>
      <w:r w:rsidR="00D70219" w:rsidRPr="00331A99">
        <w:rPr>
          <w:rFonts w:ascii="Times New Roman" w:hAnsi="Times New Roman" w:cs="Times New Roman"/>
          <w:kern w:val="0"/>
          <w:sz w:val="24"/>
          <w:szCs w:val="24"/>
        </w:rPr>
        <w:t xml:space="preserve"> детальну стратегією працевлаштування для </w:t>
      </w:r>
      <w:r w:rsidRPr="00331A99">
        <w:rPr>
          <w:rFonts w:ascii="Times New Roman" w:hAnsi="Times New Roman" w:cs="Times New Roman"/>
          <w:kern w:val="0"/>
          <w:sz w:val="24"/>
          <w:szCs w:val="24"/>
        </w:rPr>
        <w:t>випускників.</w:t>
      </w:r>
    </w:p>
    <w:p w14:paraId="19F454D0" w14:textId="4FD8091A" w:rsidR="007D4583" w:rsidRPr="00331A99" w:rsidRDefault="002E24F6" w:rsidP="0094404A">
      <w:pPr>
        <w:pStyle w:val="2"/>
        <w:spacing w:line="240" w:lineRule="auto"/>
        <w:rPr>
          <w:rFonts w:ascii="Times New Roman" w:hAnsi="Times New Roman" w:cs="Times New Roman"/>
          <w:b/>
          <w:bCs/>
          <w:sz w:val="24"/>
          <w:szCs w:val="24"/>
        </w:rPr>
      </w:pPr>
      <w:bookmarkStart w:id="13" w:name="_Toc188337418"/>
      <w:r w:rsidRPr="00331A99">
        <w:rPr>
          <w:rFonts w:ascii="Times New Roman" w:hAnsi="Times New Roman" w:cs="Times New Roman"/>
          <w:b/>
          <w:bCs/>
          <w:sz w:val="24"/>
          <w:szCs w:val="24"/>
        </w:rPr>
        <w:lastRenderedPageBreak/>
        <w:t>5</w:t>
      </w:r>
      <w:r w:rsidR="005A1E41" w:rsidRPr="00331A99">
        <w:rPr>
          <w:rFonts w:ascii="Times New Roman" w:hAnsi="Times New Roman" w:cs="Times New Roman"/>
          <w:b/>
          <w:bCs/>
          <w:sz w:val="24"/>
          <w:szCs w:val="24"/>
        </w:rPr>
        <w:t>.</w:t>
      </w:r>
      <w:r w:rsidRPr="00331A99">
        <w:rPr>
          <w:rFonts w:ascii="Times New Roman" w:hAnsi="Times New Roman" w:cs="Times New Roman"/>
          <w:b/>
          <w:bCs/>
          <w:sz w:val="24"/>
          <w:szCs w:val="24"/>
        </w:rPr>
        <w:t>1</w:t>
      </w:r>
      <w:r w:rsidR="005A1E41" w:rsidRPr="00331A99">
        <w:rPr>
          <w:rFonts w:ascii="Times New Roman" w:hAnsi="Times New Roman" w:cs="Times New Roman"/>
          <w:b/>
          <w:bCs/>
          <w:sz w:val="24"/>
          <w:szCs w:val="24"/>
        </w:rPr>
        <w:t>.</w:t>
      </w:r>
      <w:r w:rsidR="00FC4D59" w:rsidRPr="00331A99">
        <w:rPr>
          <w:rFonts w:ascii="Times New Roman" w:hAnsi="Times New Roman" w:cs="Times New Roman"/>
          <w:b/>
          <w:bCs/>
          <w:sz w:val="24"/>
          <w:szCs w:val="24"/>
        </w:rPr>
        <w:t xml:space="preserve"> </w:t>
      </w:r>
      <w:r w:rsidR="005A1E41" w:rsidRPr="00331A99">
        <w:rPr>
          <w:rFonts w:ascii="Times New Roman" w:hAnsi="Times New Roman" w:cs="Times New Roman"/>
          <w:b/>
          <w:bCs/>
          <w:sz w:val="24"/>
          <w:szCs w:val="24"/>
        </w:rPr>
        <w:t xml:space="preserve">Шляхи </w:t>
      </w:r>
      <w:r w:rsidR="00CF1361">
        <w:rPr>
          <w:rFonts w:ascii="Times New Roman" w:hAnsi="Times New Roman" w:cs="Times New Roman"/>
          <w:b/>
          <w:bCs/>
          <w:sz w:val="24"/>
          <w:szCs w:val="24"/>
        </w:rPr>
        <w:t xml:space="preserve">реалізації </w:t>
      </w:r>
      <w:r w:rsidR="005A1E41" w:rsidRPr="00331A99">
        <w:rPr>
          <w:rFonts w:ascii="Times New Roman" w:hAnsi="Times New Roman" w:cs="Times New Roman"/>
          <w:b/>
          <w:bCs/>
          <w:sz w:val="24"/>
          <w:szCs w:val="24"/>
        </w:rPr>
        <w:t>мобільності</w:t>
      </w:r>
      <w:bookmarkEnd w:id="13"/>
    </w:p>
    <w:p w14:paraId="6FB25D1B" w14:textId="7FAB4779" w:rsidR="007D4583" w:rsidRPr="00331A99" w:rsidRDefault="005A1E41" w:rsidP="0094404A">
      <w:pPr>
        <w:autoSpaceDE w:val="0"/>
        <w:autoSpaceDN w:val="0"/>
        <w:adjustRightInd w:val="0"/>
        <w:spacing w:after="120" w:line="240" w:lineRule="auto"/>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Важливо мати академічно </w:t>
      </w:r>
      <w:r w:rsidR="007C2C47" w:rsidRPr="00331A99">
        <w:rPr>
          <w:rFonts w:ascii="Times New Roman" w:hAnsi="Times New Roman" w:cs="Times New Roman"/>
          <w:kern w:val="0"/>
          <w:sz w:val="24"/>
          <w:szCs w:val="24"/>
        </w:rPr>
        <w:t>доцільну траєкторію</w:t>
      </w:r>
      <w:r w:rsidRPr="00331A99">
        <w:rPr>
          <w:rFonts w:ascii="Times New Roman" w:hAnsi="Times New Roman" w:cs="Times New Roman"/>
          <w:kern w:val="0"/>
          <w:sz w:val="24"/>
          <w:szCs w:val="24"/>
        </w:rPr>
        <w:t xml:space="preserve"> мобільності як для студентів, так і для викладачів. </w:t>
      </w:r>
      <w:r w:rsidR="007C2C47" w:rsidRPr="00331A99">
        <w:rPr>
          <w:rFonts w:ascii="Times New Roman" w:hAnsi="Times New Roman" w:cs="Times New Roman"/>
          <w:kern w:val="0"/>
          <w:sz w:val="24"/>
          <w:szCs w:val="24"/>
        </w:rPr>
        <w:t>Схеми</w:t>
      </w:r>
      <w:r w:rsidRPr="00331A99">
        <w:rPr>
          <w:rFonts w:ascii="Times New Roman" w:hAnsi="Times New Roman" w:cs="Times New Roman"/>
          <w:kern w:val="0"/>
          <w:sz w:val="24"/>
          <w:szCs w:val="24"/>
        </w:rPr>
        <w:t xml:space="preserve"> мобільності як для студентів, так і для викладачів залежать насамперед від результатів навчання за програмою, академічної </w:t>
      </w:r>
      <w:r w:rsidR="007C2C47" w:rsidRPr="00331A99">
        <w:rPr>
          <w:rFonts w:ascii="Times New Roman" w:hAnsi="Times New Roman" w:cs="Times New Roman"/>
          <w:kern w:val="0"/>
          <w:sz w:val="24"/>
          <w:szCs w:val="24"/>
        </w:rPr>
        <w:t>доцільності</w:t>
      </w:r>
      <w:r w:rsidRPr="00331A99">
        <w:rPr>
          <w:rFonts w:ascii="Times New Roman" w:hAnsi="Times New Roman" w:cs="Times New Roman"/>
          <w:kern w:val="0"/>
          <w:sz w:val="24"/>
          <w:szCs w:val="24"/>
        </w:rPr>
        <w:t xml:space="preserve">, можливої спеціалізації, </w:t>
      </w:r>
      <w:r w:rsidR="0009580A" w:rsidRPr="00331A99">
        <w:rPr>
          <w:rFonts w:ascii="Times New Roman" w:hAnsi="Times New Roman" w:cs="Times New Roman"/>
          <w:kern w:val="0"/>
          <w:sz w:val="24"/>
          <w:szCs w:val="24"/>
        </w:rPr>
        <w:t xml:space="preserve">а також </w:t>
      </w:r>
      <w:r w:rsidRPr="00331A99">
        <w:rPr>
          <w:rFonts w:ascii="Times New Roman" w:hAnsi="Times New Roman" w:cs="Times New Roman"/>
          <w:kern w:val="0"/>
          <w:sz w:val="24"/>
          <w:szCs w:val="24"/>
        </w:rPr>
        <w:t xml:space="preserve">від інституційних </w:t>
      </w:r>
      <w:r w:rsidR="007C2C47" w:rsidRPr="00331A99">
        <w:rPr>
          <w:rFonts w:ascii="Times New Roman" w:hAnsi="Times New Roman" w:cs="Times New Roman"/>
          <w:kern w:val="0"/>
          <w:sz w:val="24"/>
          <w:szCs w:val="24"/>
        </w:rPr>
        <w:t>правил</w:t>
      </w:r>
      <w:r w:rsidR="0009580A" w:rsidRPr="00331A99">
        <w:rPr>
          <w:rFonts w:ascii="Times New Roman" w:hAnsi="Times New Roman" w:cs="Times New Roman"/>
          <w:kern w:val="0"/>
          <w:sz w:val="24"/>
          <w:szCs w:val="24"/>
        </w:rPr>
        <w:t xml:space="preserve"> закладів-партнерів, що присуджують ступені</w:t>
      </w:r>
      <w:r w:rsidRPr="00331A99">
        <w:rPr>
          <w:rFonts w:ascii="Times New Roman" w:hAnsi="Times New Roman" w:cs="Times New Roman"/>
          <w:kern w:val="0"/>
          <w:sz w:val="24"/>
          <w:szCs w:val="24"/>
        </w:rPr>
        <w:t>.</w:t>
      </w:r>
    </w:p>
    <w:p w14:paraId="1A3E4AA0" w14:textId="77777777" w:rsidR="00151B80" w:rsidRPr="00331A99" w:rsidRDefault="00011C6F" w:rsidP="0094404A">
      <w:pPr>
        <w:autoSpaceDE w:val="0"/>
        <w:autoSpaceDN w:val="0"/>
        <w:adjustRightInd w:val="0"/>
        <w:spacing w:after="120" w:line="240" w:lineRule="auto"/>
        <w:jc w:val="both"/>
        <w:rPr>
          <w:rFonts w:ascii="Times New Roman" w:hAnsi="Times New Roman" w:cs="Times New Roman"/>
          <w:kern w:val="0"/>
          <w:sz w:val="24"/>
          <w:szCs w:val="24"/>
        </w:rPr>
      </w:pPr>
      <w:r w:rsidRPr="00331A99">
        <w:rPr>
          <w:rFonts w:ascii="Times New Roman" w:hAnsi="Times New Roman" w:cs="Times New Roman"/>
          <w:kern w:val="0"/>
          <w:sz w:val="24"/>
          <w:szCs w:val="24"/>
        </w:rPr>
        <w:t>Належною</w:t>
      </w:r>
      <w:r w:rsidR="005A1E41" w:rsidRPr="00331A99">
        <w:rPr>
          <w:rFonts w:ascii="Times New Roman" w:hAnsi="Times New Roman" w:cs="Times New Roman"/>
          <w:kern w:val="0"/>
          <w:sz w:val="24"/>
          <w:szCs w:val="24"/>
        </w:rPr>
        <w:t xml:space="preserve"> практикою є визнач</w:t>
      </w:r>
      <w:r w:rsidRPr="00331A99">
        <w:rPr>
          <w:rFonts w:ascii="Times New Roman" w:hAnsi="Times New Roman" w:cs="Times New Roman"/>
          <w:kern w:val="0"/>
          <w:sz w:val="24"/>
          <w:szCs w:val="24"/>
        </w:rPr>
        <w:t>ення</w:t>
      </w:r>
      <w:r w:rsidR="005A1E41" w:rsidRPr="00331A99">
        <w:rPr>
          <w:rFonts w:ascii="Times New Roman" w:hAnsi="Times New Roman" w:cs="Times New Roman"/>
          <w:kern w:val="0"/>
          <w:sz w:val="24"/>
          <w:szCs w:val="24"/>
        </w:rPr>
        <w:t xml:space="preserve"> різн</w:t>
      </w:r>
      <w:r w:rsidRPr="00331A99">
        <w:rPr>
          <w:rFonts w:ascii="Times New Roman" w:hAnsi="Times New Roman" w:cs="Times New Roman"/>
          <w:kern w:val="0"/>
          <w:sz w:val="24"/>
          <w:szCs w:val="24"/>
        </w:rPr>
        <w:t>их</w:t>
      </w:r>
      <w:r w:rsidR="005A1E41" w:rsidRPr="00331A99">
        <w:rPr>
          <w:rFonts w:ascii="Times New Roman" w:hAnsi="Times New Roman" w:cs="Times New Roman"/>
          <w:kern w:val="0"/>
          <w:sz w:val="24"/>
          <w:szCs w:val="24"/>
        </w:rPr>
        <w:t xml:space="preserve"> модел</w:t>
      </w:r>
      <w:r w:rsidRPr="00331A99">
        <w:rPr>
          <w:rFonts w:ascii="Times New Roman" w:hAnsi="Times New Roman" w:cs="Times New Roman"/>
          <w:kern w:val="0"/>
          <w:sz w:val="24"/>
          <w:szCs w:val="24"/>
        </w:rPr>
        <w:t>ей</w:t>
      </w:r>
      <w:r w:rsidR="005A1E41" w:rsidRPr="00331A99">
        <w:rPr>
          <w:rFonts w:ascii="Times New Roman" w:hAnsi="Times New Roman" w:cs="Times New Roman"/>
          <w:kern w:val="0"/>
          <w:sz w:val="24"/>
          <w:szCs w:val="24"/>
        </w:rPr>
        <w:t xml:space="preserve"> мобільності та обговор</w:t>
      </w:r>
      <w:r w:rsidRPr="00331A99">
        <w:rPr>
          <w:rFonts w:ascii="Times New Roman" w:hAnsi="Times New Roman" w:cs="Times New Roman"/>
          <w:kern w:val="0"/>
          <w:sz w:val="24"/>
          <w:szCs w:val="24"/>
        </w:rPr>
        <w:t xml:space="preserve">ення </w:t>
      </w:r>
      <w:r w:rsidR="005A1E41" w:rsidRPr="00331A99">
        <w:rPr>
          <w:rFonts w:ascii="Times New Roman" w:hAnsi="Times New Roman" w:cs="Times New Roman"/>
          <w:kern w:val="0"/>
          <w:sz w:val="24"/>
          <w:szCs w:val="24"/>
        </w:rPr>
        <w:t>в консорціумі їх</w:t>
      </w:r>
      <w:r w:rsidRPr="00331A99">
        <w:rPr>
          <w:rFonts w:ascii="Times New Roman" w:hAnsi="Times New Roman" w:cs="Times New Roman"/>
          <w:kern w:val="0"/>
          <w:sz w:val="24"/>
          <w:szCs w:val="24"/>
        </w:rPr>
        <w:t>ніх</w:t>
      </w:r>
      <w:r w:rsidR="005A1E41" w:rsidRPr="00331A99">
        <w:rPr>
          <w:rFonts w:ascii="Times New Roman" w:hAnsi="Times New Roman" w:cs="Times New Roman"/>
          <w:kern w:val="0"/>
          <w:sz w:val="24"/>
          <w:szCs w:val="24"/>
        </w:rPr>
        <w:t xml:space="preserve"> позитивн</w:t>
      </w:r>
      <w:r w:rsidRPr="00331A99">
        <w:rPr>
          <w:rFonts w:ascii="Times New Roman" w:hAnsi="Times New Roman" w:cs="Times New Roman"/>
          <w:kern w:val="0"/>
          <w:sz w:val="24"/>
          <w:szCs w:val="24"/>
        </w:rPr>
        <w:t xml:space="preserve">их і </w:t>
      </w:r>
      <w:r w:rsidR="005A1E41" w:rsidRPr="00331A99">
        <w:rPr>
          <w:rFonts w:ascii="Times New Roman" w:hAnsi="Times New Roman" w:cs="Times New Roman"/>
          <w:kern w:val="0"/>
          <w:sz w:val="24"/>
          <w:szCs w:val="24"/>
        </w:rPr>
        <w:t>негативн</w:t>
      </w:r>
      <w:r w:rsidRPr="00331A99">
        <w:rPr>
          <w:rFonts w:ascii="Times New Roman" w:hAnsi="Times New Roman" w:cs="Times New Roman"/>
          <w:kern w:val="0"/>
          <w:sz w:val="24"/>
          <w:szCs w:val="24"/>
        </w:rPr>
        <w:t>их</w:t>
      </w:r>
      <w:r w:rsidR="00083B87" w:rsidRPr="00331A99">
        <w:rPr>
          <w:rFonts w:ascii="Times New Roman" w:hAnsi="Times New Roman" w:cs="Times New Roman"/>
          <w:kern w:val="0"/>
          <w:sz w:val="24"/>
          <w:szCs w:val="24"/>
        </w:rPr>
        <w:t xml:space="preserve"> стор</w:t>
      </w:r>
      <w:r w:rsidRPr="00331A99">
        <w:rPr>
          <w:rFonts w:ascii="Times New Roman" w:hAnsi="Times New Roman" w:cs="Times New Roman"/>
          <w:kern w:val="0"/>
          <w:sz w:val="24"/>
          <w:szCs w:val="24"/>
        </w:rPr>
        <w:t>ін</w:t>
      </w:r>
      <w:r w:rsidR="005A1E41" w:rsidRPr="00331A99">
        <w:rPr>
          <w:rFonts w:ascii="Times New Roman" w:hAnsi="Times New Roman" w:cs="Times New Roman"/>
          <w:kern w:val="0"/>
          <w:sz w:val="24"/>
          <w:szCs w:val="24"/>
        </w:rPr>
        <w:t>.</w:t>
      </w:r>
      <w:r w:rsidR="00FC4D59" w:rsidRPr="00331A99">
        <w:rPr>
          <w:rFonts w:ascii="Times New Roman" w:hAnsi="Times New Roman" w:cs="Times New Roman"/>
          <w:kern w:val="0"/>
          <w:sz w:val="24"/>
          <w:szCs w:val="24"/>
        </w:rPr>
        <w:t xml:space="preserve"> </w:t>
      </w:r>
      <w:r w:rsidR="005A1E41" w:rsidRPr="00331A99">
        <w:rPr>
          <w:rFonts w:ascii="Times New Roman" w:hAnsi="Times New Roman" w:cs="Times New Roman"/>
          <w:kern w:val="0"/>
          <w:sz w:val="24"/>
          <w:szCs w:val="24"/>
        </w:rPr>
        <w:t>Моделі мобільності можуть ґрунтуватися на виборі студента або визначатися закладами-партнерами. Варіанти мобільності можуть бути простими або складними, залежно, наприклад, від кількості закладів-партнерів та/або від кількості студентів, які беруть участь у</w:t>
      </w:r>
      <w:r w:rsidR="00FC4D59" w:rsidRPr="00331A99">
        <w:rPr>
          <w:rFonts w:ascii="Times New Roman" w:hAnsi="Times New Roman" w:cs="Times New Roman"/>
          <w:kern w:val="0"/>
          <w:sz w:val="24"/>
          <w:szCs w:val="24"/>
        </w:rPr>
        <w:t xml:space="preserve"> </w:t>
      </w:r>
      <w:r w:rsidR="005A1E41" w:rsidRPr="00331A99">
        <w:rPr>
          <w:rFonts w:ascii="Times New Roman" w:hAnsi="Times New Roman" w:cs="Times New Roman"/>
          <w:kern w:val="0"/>
          <w:sz w:val="24"/>
          <w:szCs w:val="24"/>
        </w:rPr>
        <w:t>програмі.</w:t>
      </w:r>
      <w:r w:rsidR="00FC4D59" w:rsidRPr="00331A99">
        <w:rPr>
          <w:rFonts w:ascii="Times New Roman" w:hAnsi="Times New Roman" w:cs="Times New Roman"/>
          <w:kern w:val="0"/>
          <w:sz w:val="24"/>
          <w:szCs w:val="24"/>
        </w:rPr>
        <w:t xml:space="preserve"> </w:t>
      </w:r>
    </w:p>
    <w:p w14:paraId="4887FFDD" w14:textId="77777777" w:rsidR="00A95D9F" w:rsidRPr="00331A99" w:rsidRDefault="00011C6F" w:rsidP="00A95D9F">
      <w:pPr>
        <w:autoSpaceDE w:val="0"/>
        <w:autoSpaceDN w:val="0"/>
        <w:adjustRightInd w:val="0"/>
        <w:spacing w:after="0" w:line="240" w:lineRule="auto"/>
        <w:jc w:val="both"/>
        <w:rPr>
          <w:rFonts w:ascii="Times New Roman" w:hAnsi="Times New Roman" w:cs="Times New Roman"/>
          <w:kern w:val="0"/>
          <w:sz w:val="24"/>
          <w:szCs w:val="24"/>
        </w:rPr>
      </w:pPr>
      <w:r w:rsidRPr="00331A99">
        <w:rPr>
          <w:rFonts w:ascii="Times New Roman" w:hAnsi="Times New Roman" w:cs="Times New Roman"/>
          <w:kern w:val="0"/>
          <w:sz w:val="24"/>
          <w:szCs w:val="24"/>
        </w:rPr>
        <w:t xml:space="preserve">У випадку міжнародної </w:t>
      </w:r>
      <w:r w:rsidR="005A1E41" w:rsidRPr="00331A99">
        <w:rPr>
          <w:rFonts w:ascii="Times New Roman" w:hAnsi="Times New Roman" w:cs="Times New Roman"/>
          <w:kern w:val="0"/>
          <w:sz w:val="24"/>
          <w:szCs w:val="24"/>
        </w:rPr>
        <w:t>спільн</w:t>
      </w:r>
      <w:r w:rsidRPr="00331A99">
        <w:rPr>
          <w:rFonts w:ascii="Times New Roman" w:hAnsi="Times New Roman" w:cs="Times New Roman"/>
          <w:kern w:val="0"/>
          <w:sz w:val="24"/>
          <w:szCs w:val="24"/>
        </w:rPr>
        <w:t>ої</w:t>
      </w:r>
      <w:r w:rsidR="005A1E41" w:rsidRPr="00331A99">
        <w:rPr>
          <w:rFonts w:ascii="Times New Roman" w:hAnsi="Times New Roman" w:cs="Times New Roman"/>
          <w:kern w:val="0"/>
          <w:sz w:val="24"/>
          <w:szCs w:val="24"/>
        </w:rPr>
        <w:t xml:space="preserve"> програм</w:t>
      </w:r>
      <w:r w:rsidRPr="00331A99">
        <w:rPr>
          <w:rFonts w:ascii="Times New Roman" w:hAnsi="Times New Roman" w:cs="Times New Roman"/>
          <w:kern w:val="0"/>
          <w:sz w:val="24"/>
          <w:szCs w:val="24"/>
        </w:rPr>
        <w:t>и</w:t>
      </w:r>
      <w:r w:rsidR="005A1E41" w:rsidRPr="00331A99">
        <w:rPr>
          <w:rFonts w:ascii="Times New Roman" w:hAnsi="Times New Roman" w:cs="Times New Roman"/>
          <w:kern w:val="0"/>
          <w:sz w:val="24"/>
          <w:szCs w:val="24"/>
        </w:rPr>
        <w:t xml:space="preserve"> шляхи мобільності можуть також </w:t>
      </w:r>
      <w:r w:rsidR="00083B87" w:rsidRPr="00331A99">
        <w:rPr>
          <w:rFonts w:ascii="Times New Roman" w:hAnsi="Times New Roman" w:cs="Times New Roman"/>
          <w:kern w:val="0"/>
          <w:sz w:val="24"/>
          <w:szCs w:val="24"/>
        </w:rPr>
        <w:t xml:space="preserve">залежати від </w:t>
      </w:r>
      <w:r w:rsidR="005A1E41" w:rsidRPr="00331A99">
        <w:rPr>
          <w:rFonts w:ascii="Times New Roman" w:hAnsi="Times New Roman" w:cs="Times New Roman"/>
          <w:kern w:val="0"/>
          <w:sz w:val="24"/>
          <w:szCs w:val="24"/>
        </w:rPr>
        <w:t>візов</w:t>
      </w:r>
      <w:r w:rsidR="00083B87" w:rsidRPr="00331A99">
        <w:rPr>
          <w:rFonts w:ascii="Times New Roman" w:hAnsi="Times New Roman" w:cs="Times New Roman"/>
          <w:kern w:val="0"/>
          <w:sz w:val="24"/>
          <w:szCs w:val="24"/>
        </w:rPr>
        <w:t>ого</w:t>
      </w:r>
      <w:r w:rsidR="005A1E41" w:rsidRPr="00331A99">
        <w:rPr>
          <w:rFonts w:ascii="Times New Roman" w:hAnsi="Times New Roman" w:cs="Times New Roman"/>
          <w:kern w:val="0"/>
          <w:sz w:val="24"/>
          <w:szCs w:val="24"/>
        </w:rPr>
        <w:t xml:space="preserve"> законодавств</w:t>
      </w:r>
      <w:r w:rsidR="00083B87" w:rsidRPr="00331A99">
        <w:rPr>
          <w:rFonts w:ascii="Times New Roman" w:hAnsi="Times New Roman" w:cs="Times New Roman"/>
          <w:kern w:val="0"/>
          <w:sz w:val="24"/>
          <w:szCs w:val="24"/>
        </w:rPr>
        <w:t>а</w:t>
      </w:r>
      <w:r w:rsidR="005A1E41" w:rsidRPr="00331A99">
        <w:rPr>
          <w:rFonts w:ascii="Times New Roman" w:hAnsi="Times New Roman" w:cs="Times New Roman"/>
          <w:kern w:val="0"/>
          <w:sz w:val="24"/>
          <w:szCs w:val="24"/>
        </w:rPr>
        <w:t xml:space="preserve"> країн консорціуму.</w:t>
      </w:r>
      <w:r w:rsidR="00151B80" w:rsidRPr="00331A99">
        <w:rPr>
          <w:rFonts w:ascii="Times New Roman" w:hAnsi="Times New Roman" w:cs="Times New Roman"/>
          <w:kern w:val="0"/>
          <w:sz w:val="24"/>
          <w:szCs w:val="24"/>
        </w:rPr>
        <w:t xml:space="preserve"> </w:t>
      </w:r>
    </w:p>
    <w:p w14:paraId="34F6788B" w14:textId="7C870933" w:rsidR="007D4583" w:rsidRPr="00331A99" w:rsidRDefault="0062708A" w:rsidP="00723F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31A99">
        <w:rPr>
          <w:rFonts w:ascii="Times New Roman" w:hAnsi="Times New Roman" w:cs="Times New Roman"/>
          <w:sz w:val="24"/>
          <w:szCs w:val="24"/>
        </w:rPr>
        <w:t>М</w:t>
      </w:r>
      <w:r w:rsidR="007D4583" w:rsidRPr="00331A99">
        <w:rPr>
          <w:rFonts w:ascii="Times New Roman" w:hAnsi="Times New Roman" w:cs="Times New Roman"/>
          <w:kern w:val="0"/>
          <w:sz w:val="24"/>
          <w:szCs w:val="24"/>
        </w:rPr>
        <w:t xml:space="preserve">оделі </w:t>
      </w:r>
      <w:r w:rsidRPr="00331A99">
        <w:rPr>
          <w:rFonts w:ascii="Times New Roman" w:hAnsi="Times New Roman" w:cs="Times New Roman"/>
          <w:kern w:val="0"/>
          <w:sz w:val="24"/>
          <w:szCs w:val="24"/>
        </w:rPr>
        <w:t>програм</w:t>
      </w:r>
      <w:r w:rsidR="007D4583" w:rsidRPr="00331A99">
        <w:rPr>
          <w:rFonts w:ascii="Times New Roman" w:hAnsi="Times New Roman" w:cs="Times New Roman"/>
          <w:kern w:val="0"/>
          <w:sz w:val="24"/>
          <w:szCs w:val="24"/>
        </w:rPr>
        <w:t xml:space="preserve"> мобільності</w:t>
      </w:r>
      <w:r w:rsidRPr="00331A99">
        <w:rPr>
          <w:rFonts w:ascii="Times New Roman" w:hAnsi="Times New Roman" w:cs="Times New Roman"/>
          <w:kern w:val="0"/>
          <w:sz w:val="24"/>
          <w:szCs w:val="24"/>
        </w:rPr>
        <w:t xml:space="preserve"> в межах спільної програми</w:t>
      </w:r>
      <w:r w:rsidR="007D4583" w:rsidRPr="00331A99">
        <w:rPr>
          <w:rFonts w:ascii="Times New Roman" w:hAnsi="Times New Roman" w:cs="Times New Roman"/>
          <w:kern w:val="0"/>
          <w:sz w:val="24"/>
          <w:szCs w:val="24"/>
        </w:rPr>
        <w:t>:</w:t>
      </w:r>
    </w:p>
    <w:p w14:paraId="08073CC8" w14:textId="5D0BF8A3" w:rsidR="007D4583" w:rsidRPr="00331A99" w:rsidRDefault="005A1E41" w:rsidP="0094404A">
      <w:pPr>
        <w:numPr>
          <w:ilvl w:val="0"/>
          <w:numId w:val="28"/>
        </w:numPr>
        <w:autoSpaceDE w:val="0"/>
        <w:autoSpaceDN w:val="0"/>
        <w:adjustRightInd w:val="0"/>
        <w:spacing w:after="120" w:line="240" w:lineRule="auto"/>
        <w:ind w:left="426"/>
        <w:jc w:val="both"/>
        <w:rPr>
          <w:rFonts w:ascii="Times New Roman" w:hAnsi="Times New Roman" w:cs="Times New Roman"/>
          <w:kern w:val="0"/>
          <w:sz w:val="24"/>
          <w:szCs w:val="24"/>
        </w:rPr>
      </w:pPr>
      <w:r w:rsidRPr="00331A99">
        <w:rPr>
          <w:rFonts w:ascii="Times New Roman" w:hAnsi="Times New Roman" w:cs="Times New Roman"/>
          <w:kern w:val="0"/>
          <w:sz w:val="24"/>
          <w:szCs w:val="24"/>
        </w:rPr>
        <w:t>Програми</w:t>
      </w:r>
      <w:r w:rsidR="00F67358" w:rsidRPr="00331A99">
        <w:rPr>
          <w:rFonts w:ascii="Times New Roman" w:hAnsi="Times New Roman" w:cs="Times New Roman"/>
          <w:kern w:val="0"/>
          <w:sz w:val="24"/>
          <w:szCs w:val="24"/>
        </w:rPr>
        <w:t xml:space="preserve"> </w:t>
      </w:r>
      <w:r w:rsidR="008D52AF" w:rsidRPr="00331A99">
        <w:rPr>
          <w:rFonts w:ascii="Times New Roman" w:hAnsi="Times New Roman" w:cs="Times New Roman"/>
          <w:kern w:val="0"/>
          <w:sz w:val="24"/>
          <w:szCs w:val="24"/>
        </w:rPr>
        <w:t xml:space="preserve">індивідуальної </w:t>
      </w:r>
      <w:r w:rsidR="00F67358" w:rsidRPr="00331A99">
        <w:rPr>
          <w:rFonts w:ascii="Times New Roman" w:hAnsi="Times New Roman" w:cs="Times New Roman"/>
          <w:kern w:val="0"/>
          <w:sz w:val="24"/>
          <w:szCs w:val="24"/>
        </w:rPr>
        <w:t>мобільності</w:t>
      </w:r>
      <w:r w:rsidR="00C023E4" w:rsidRPr="00331A99">
        <w:rPr>
          <w:rFonts w:ascii="Times New Roman" w:hAnsi="Times New Roman" w:cs="Times New Roman"/>
          <w:kern w:val="0"/>
          <w:sz w:val="24"/>
          <w:szCs w:val="24"/>
        </w:rPr>
        <w:t>, коли</w:t>
      </w:r>
      <w:r w:rsidRPr="00331A99">
        <w:rPr>
          <w:rFonts w:ascii="Times New Roman" w:hAnsi="Times New Roman" w:cs="Times New Roman"/>
          <w:kern w:val="0"/>
          <w:sz w:val="24"/>
          <w:szCs w:val="24"/>
        </w:rPr>
        <w:t xml:space="preserve"> </w:t>
      </w:r>
      <w:r w:rsidR="00C023E4" w:rsidRPr="00331A99">
        <w:rPr>
          <w:rFonts w:ascii="Times New Roman" w:hAnsi="Times New Roman" w:cs="Times New Roman"/>
          <w:kern w:val="0"/>
          <w:sz w:val="24"/>
          <w:szCs w:val="24"/>
        </w:rPr>
        <w:t>студент мож</w:t>
      </w:r>
      <w:r w:rsidR="00B328EA" w:rsidRPr="00331A99">
        <w:rPr>
          <w:rFonts w:ascii="Times New Roman" w:hAnsi="Times New Roman" w:cs="Times New Roman"/>
          <w:kern w:val="0"/>
          <w:sz w:val="24"/>
          <w:szCs w:val="24"/>
        </w:rPr>
        <w:t>е</w:t>
      </w:r>
      <w:r w:rsidR="00C023E4" w:rsidRPr="00331A99">
        <w:rPr>
          <w:rFonts w:ascii="Times New Roman" w:hAnsi="Times New Roman" w:cs="Times New Roman"/>
          <w:kern w:val="0"/>
          <w:sz w:val="24"/>
          <w:szCs w:val="24"/>
        </w:rPr>
        <w:t xml:space="preserve"> розпочати навчання</w:t>
      </w:r>
      <w:r w:rsidR="00B328EA" w:rsidRPr="00331A99">
        <w:rPr>
          <w:rFonts w:ascii="Times New Roman" w:hAnsi="Times New Roman" w:cs="Times New Roman"/>
          <w:kern w:val="0"/>
          <w:sz w:val="24"/>
          <w:szCs w:val="24"/>
        </w:rPr>
        <w:t xml:space="preserve"> в своєму закладі</w:t>
      </w:r>
      <w:r w:rsidR="00C023E4" w:rsidRPr="00331A99">
        <w:rPr>
          <w:rFonts w:ascii="Times New Roman" w:hAnsi="Times New Roman" w:cs="Times New Roman"/>
          <w:kern w:val="0"/>
          <w:sz w:val="24"/>
          <w:szCs w:val="24"/>
        </w:rPr>
        <w:t xml:space="preserve"> </w:t>
      </w:r>
      <w:r w:rsidRPr="00331A99">
        <w:rPr>
          <w:rFonts w:ascii="Times New Roman" w:hAnsi="Times New Roman" w:cs="Times New Roman"/>
          <w:kern w:val="0"/>
          <w:sz w:val="24"/>
          <w:szCs w:val="24"/>
        </w:rPr>
        <w:t>з</w:t>
      </w:r>
      <w:r w:rsidR="00C023E4" w:rsidRPr="00331A99">
        <w:rPr>
          <w:rFonts w:ascii="Times New Roman" w:hAnsi="Times New Roman" w:cs="Times New Roman"/>
          <w:kern w:val="0"/>
          <w:sz w:val="24"/>
          <w:szCs w:val="24"/>
        </w:rPr>
        <w:t>а</w:t>
      </w:r>
      <w:r w:rsidRPr="00331A99">
        <w:rPr>
          <w:rFonts w:ascii="Times New Roman" w:hAnsi="Times New Roman" w:cs="Times New Roman"/>
          <w:kern w:val="0"/>
          <w:sz w:val="24"/>
          <w:szCs w:val="24"/>
        </w:rPr>
        <w:t xml:space="preserve"> спільними</w:t>
      </w:r>
      <w:r w:rsidR="00F67358" w:rsidRPr="00331A99">
        <w:rPr>
          <w:rFonts w:ascii="Times New Roman" w:hAnsi="Times New Roman" w:cs="Times New Roman"/>
          <w:kern w:val="0"/>
          <w:sz w:val="24"/>
          <w:szCs w:val="24"/>
        </w:rPr>
        <w:t xml:space="preserve"> навчальними дисциплінами/модулями</w:t>
      </w:r>
      <w:r w:rsidRPr="00331A99">
        <w:rPr>
          <w:rFonts w:ascii="Times New Roman" w:hAnsi="Times New Roman" w:cs="Times New Roman"/>
          <w:kern w:val="0"/>
          <w:sz w:val="24"/>
          <w:szCs w:val="24"/>
        </w:rPr>
        <w:t xml:space="preserve"> </w:t>
      </w:r>
      <w:r w:rsidR="00F67358" w:rsidRPr="00331A99">
        <w:rPr>
          <w:rFonts w:ascii="Times New Roman" w:hAnsi="Times New Roman" w:cs="Times New Roman"/>
          <w:kern w:val="0"/>
          <w:sz w:val="24"/>
          <w:szCs w:val="24"/>
        </w:rPr>
        <w:t>(</w:t>
      </w:r>
      <w:r w:rsidRPr="00331A99">
        <w:rPr>
          <w:rFonts w:ascii="Times New Roman" w:hAnsi="Times New Roman" w:cs="Times New Roman"/>
          <w:kern w:val="0"/>
          <w:sz w:val="24"/>
          <w:szCs w:val="24"/>
        </w:rPr>
        <w:t>курсами</w:t>
      </w:r>
      <w:r w:rsidR="00F67358" w:rsidRPr="00331A99">
        <w:rPr>
          <w:rFonts w:ascii="Times New Roman" w:hAnsi="Times New Roman" w:cs="Times New Roman"/>
          <w:kern w:val="0"/>
          <w:sz w:val="24"/>
          <w:szCs w:val="24"/>
        </w:rPr>
        <w:t>)</w:t>
      </w:r>
      <w:r w:rsidRPr="00331A99">
        <w:rPr>
          <w:rFonts w:ascii="Times New Roman" w:hAnsi="Times New Roman" w:cs="Times New Roman"/>
          <w:kern w:val="0"/>
          <w:sz w:val="24"/>
          <w:szCs w:val="24"/>
        </w:rPr>
        <w:t xml:space="preserve">, </w:t>
      </w:r>
      <w:r w:rsidR="00591735" w:rsidRPr="00331A99">
        <w:rPr>
          <w:rFonts w:ascii="Times New Roman" w:hAnsi="Times New Roman" w:cs="Times New Roman"/>
          <w:kern w:val="0"/>
          <w:sz w:val="24"/>
          <w:szCs w:val="24"/>
        </w:rPr>
        <w:t>які</w:t>
      </w:r>
      <w:r w:rsidRPr="00331A99">
        <w:rPr>
          <w:rFonts w:ascii="Times New Roman" w:hAnsi="Times New Roman" w:cs="Times New Roman"/>
          <w:kern w:val="0"/>
          <w:sz w:val="24"/>
          <w:szCs w:val="24"/>
        </w:rPr>
        <w:t xml:space="preserve"> пропонують всі </w:t>
      </w:r>
      <w:r w:rsidR="00F67358" w:rsidRPr="00331A99">
        <w:rPr>
          <w:rFonts w:ascii="Times New Roman" w:hAnsi="Times New Roman" w:cs="Times New Roman"/>
          <w:kern w:val="0"/>
          <w:sz w:val="24"/>
          <w:szCs w:val="24"/>
        </w:rPr>
        <w:t>заклади-партнери</w:t>
      </w:r>
      <w:r w:rsidRPr="00331A99">
        <w:rPr>
          <w:rFonts w:ascii="Times New Roman" w:hAnsi="Times New Roman" w:cs="Times New Roman"/>
          <w:kern w:val="0"/>
          <w:sz w:val="24"/>
          <w:szCs w:val="24"/>
        </w:rPr>
        <w:t xml:space="preserve">, плюс період мобільності </w:t>
      </w:r>
      <w:r w:rsidR="00C023E4" w:rsidRPr="00331A99">
        <w:rPr>
          <w:rFonts w:ascii="Times New Roman" w:hAnsi="Times New Roman" w:cs="Times New Roman"/>
          <w:kern w:val="0"/>
          <w:sz w:val="24"/>
          <w:szCs w:val="24"/>
        </w:rPr>
        <w:t xml:space="preserve">тривалістю один семестр </w:t>
      </w:r>
      <w:r w:rsidRPr="00331A99">
        <w:rPr>
          <w:rFonts w:ascii="Times New Roman" w:hAnsi="Times New Roman" w:cs="Times New Roman"/>
          <w:kern w:val="0"/>
          <w:sz w:val="24"/>
          <w:szCs w:val="24"/>
        </w:rPr>
        <w:t xml:space="preserve">для </w:t>
      </w:r>
      <w:r w:rsidR="00C023E4" w:rsidRPr="00331A99">
        <w:rPr>
          <w:rFonts w:ascii="Times New Roman" w:hAnsi="Times New Roman" w:cs="Times New Roman"/>
          <w:kern w:val="0"/>
          <w:sz w:val="24"/>
          <w:szCs w:val="24"/>
        </w:rPr>
        <w:t>опанування фахових та/або вибіркових</w:t>
      </w:r>
      <w:r w:rsidRPr="00331A99">
        <w:rPr>
          <w:rFonts w:ascii="Times New Roman" w:hAnsi="Times New Roman" w:cs="Times New Roman"/>
          <w:kern w:val="0"/>
          <w:sz w:val="24"/>
          <w:szCs w:val="24"/>
        </w:rPr>
        <w:t xml:space="preserve"> </w:t>
      </w:r>
      <w:r w:rsidR="00F67358" w:rsidRPr="00331A99">
        <w:rPr>
          <w:rFonts w:ascii="Times New Roman" w:hAnsi="Times New Roman" w:cs="Times New Roman"/>
          <w:kern w:val="0"/>
          <w:sz w:val="24"/>
          <w:szCs w:val="24"/>
        </w:rPr>
        <w:t>навчальних дисциплін/модулів (</w:t>
      </w:r>
      <w:r w:rsidRPr="00331A99">
        <w:rPr>
          <w:rFonts w:ascii="Times New Roman" w:hAnsi="Times New Roman" w:cs="Times New Roman"/>
          <w:kern w:val="0"/>
          <w:sz w:val="24"/>
          <w:szCs w:val="24"/>
        </w:rPr>
        <w:t>курсів</w:t>
      </w:r>
      <w:r w:rsidR="00F67358" w:rsidRPr="00331A99">
        <w:rPr>
          <w:rFonts w:ascii="Times New Roman" w:hAnsi="Times New Roman" w:cs="Times New Roman"/>
          <w:kern w:val="0"/>
          <w:sz w:val="24"/>
          <w:szCs w:val="24"/>
        </w:rPr>
        <w:t>)</w:t>
      </w:r>
      <w:r w:rsidRPr="00331A99">
        <w:rPr>
          <w:rFonts w:ascii="Times New Roman" w:hAnsi="Times New Roman" w:cs="Times New Roman"/>
          <w:kern w:val="0"/>
          <w:sz w:val="24"/>
          <w:szCs w:val="24"/>
        </w:rPr>
        <w:t xml:space="preserve">, </w:t>
      </w:r>
      <w:r w:rsidR="00591735" w:rsidRPr="00331A99">
        <w:rPr>
          <w:rFonts w:ascii="Times New Roman" w:hAnsi="Times New Roman" w:cs="Times New Roman"/>
          <w:kern w:val="0"/>
          <w:sz w:val="24"/>
          <w:szCs w:val="24"/>
        </w:rPr>
        <w:t>потім</w:t>
      </w:r>
      <w:r w:rsidRPr="00331A99">
        <w:rPr>
          <w:rFonts w:ascii="Times New Roman" w:hAnsi="Times New Roman" w:cs="Times New Roman"/>
          <w:kern w:val="0"/>
          <w:sz w:val="24"/>
          <w:szCs w:val="24"/>
        </w:rPr>
        <w:t xml:space="preserve"> студент поверта</w:t>
      </w:r>
      <w:r w:rsidR="00B328EA" w:rsidRPr="00331A99">
        <w:rPr>
          <w:rFonts w:ascii="Times New Roman" w:hAnsi="Times New Roman" w:cs="Times New Roman"/>
          <w:kern w:val="0"/>
          <w:sz w:val="24"/>
          <w:szCs w:val="24"/>
        </w:rPr>
        <w:t>є</w:t>
      </w:r>
      <w:r w:rsidRPr="00331A99">
        <w:rPr>
          <w:rFonts w:ascii="Times New Roman" w:hAnsi="Times New Roman" w:cs="Times New Roman"/>
          <w:kern w:val="0"/>
          <w:sz w:val="24"/>
          <w:szCs w:val="24"/>
        </w:rPr>
        <w:t>ться до сво</w:t>
      </w:r>
      <w:r w:rsidR="00B328EA" w:rsidRPr="00331A99">
        <w:rPr>
          <w:rFonts w:ascii="Times New Roman" w:hAnsi="Times New Roman" w:cs="Times New Roman"/>
          <w:kern w:val="0"/>
          <w:sz w:val="24"/>
          <w:szCs w:val="24"/>
        </w:rPr>
        <w:t>го</w:t>
      </w:r>
      <w:r w:rsidRPr="00331A99">
        <w:rPr>
          <w:rFonts w:ascii="Times New Roman" w:hAnsi="Times New Roman" w:cs="Times New Roman"/>
          <w:kern w:val="0"/>
          <w:sz w:val="24"/>
          <w:szCs w:val="24"/>
        </w:rPr>
        <w:t xml:space="preserve"> </w:t>
      </w:r>
      <w:r w:rsidR="00F67358" w:rsidRPr="00331A99">
        <w:rPr>
          <w:rFonts w:ascii="Times New Roman" w:hAnsi="Times New Roman" w:cs="Times New Roman"/>
          <w:kern w:val="0"/>
          <w:sz w:val="24"/>
          <w:szCs w:val="24"/>
        </w:rPr>
        <w:t>заклад</w:t>
      </w:r>
      <w:r w:rsidR="00B328EA" w:rsidRPr="00331A99">
        <w:rPr>
          <w:rFonts w:ascii="Times New Roman" w:hAnsi="Times New Roman" w:cs="Times New Roman"/>
          <w:kern w:val="0"/>
          <w:sz w:val="24"/>
          <w:szCs w:val="24"/>
        </w:rPr>
        <w:t>у</w:t>
      </w:r>
      <w:r w:rsidRPr="00331A99">
        <w:rPr>
          <w:rFonts w:ascii="Times New Roman" w:hAnsi="Times New Roman" w:cs="Times New Roman"/>
          <w:kern w:val="0"/>
          <w:sz w:val="24"/>
          <w:szCs w:val="24"/>
        </w:rPr>
        <w:t xml:space="preserve"> </w:t>
      </w:r>
      <w:r w:rsidR="004A73E1" w:rsidRPr="00331A99">
        <w:rPr>
          <w:rFonts w:ascii="Times New Roman" w:hAnsi="Times New Roman" w:cs="Times New Roman"/>
          <w:kern w:val="0"/>
          <w:sz w:val="24"/>
          <w:szCs w:val="24"/>
        </w:rPr>
        <w:t>для продовження навчання та</w:t>
      </w:r>
      <w:r w:rsidR="00B328EA" w:rsidRPr="00331A99">
        <w:rPr>
          <w:rFonts w:ascii="Times New Roman" w:hAnsi="Times New Roman" w:cs="Times New Roman"/>
          <w:kern w:val="0"/>
          <w:sz w:val="24"/>
          <w:szCs w:val="24"/>
        </w:rPr>
        <w:t>/або</w:t>
      </w:r>
      <w:r w:rsidR="004A73E1" w:rsidRPr="00331A99">
        <w:rPr>
          <w:rFonts w:ascii="Times New Roman" w:hAnsi="Times New Roman" w:cs="Times New Roman"/>
          <w:kern w:val="0"/>
          <w:sz w:val="24"/>
          <w:szCs w:val="24"/>
        </w:rPr>
        <w:t xml:space="preserve"> </w:t>
      </w:r>
      <w:r w:rsidRPr="00331A99">
        <w:rPr>
          <w:rFonts w:ascii="Times New Roman" w:hAnsi="Times New Roman" w:cs="Times New Roman"/>
          <w:kern w:val="0"/>
          <w:sz w:val="24"/>
          <w:szCs w:val="24"/>
        </w:rPr>
        <w:t xml:space="preserve">на період </w:t>
      </w:r>
      <w:r w:rsidR="0062708A" w:rsidRPr="00331A99">
        <w:rPr>
          <w:rFonts w:ascii="Times New Roman" w:hAnsi="Times New Roman" w:cs="Times New Roman"/>
          <w:kern w:val="0"/>
          <w:sz w:val="24"/>
          <w:szCs w:val="24"/>
        </w:rPr>
        <w:t>підготовки дипломної роботи</w:t>
      </w:r>
      <w:r w:rsidR="005A65C4" w:rsidRPr="00331A99">
        <w:rPr>
          <w:rFonts w:ascii="Times New Roman" w:hAnsi="Times New Roman" w:cs="Times New Roman"/>
          <w:kern w:val="0"/>
          <w:sz w:val="24"/>
          <w:szCs w:val="24"/>
        </w:rPr>
        <w:t>/дисертації</w:t>
      </w:r>
      <w:r w:rsidR="006837E0" w:rsidRPr="00331A99">
        <w:rPr>
          <w:rFonts w:ascii="Times New Roman" w:hAnsi="Times New Roman" w:cs="Times New Roman"/>
          <w:kern w:val="0"/>
          <w:sz w:val="24"/>
          <w:szCs w:val="24"/>
        </w:rPr>
        <w:t xml:space="preserve"> (</w:t>
      </w:r>
      <w:r w:rsidR="006837E0" w:rsidRPr="00331A99">
        <w:rPr>
          <w:rFonts w:ascii="Times New Roman" w:hAnsi="Times New Roman" w:cs="Times New Roman"/>
          <w:b/>
          <w:bCs/>
          <w:i/>
          <w:iCs/>
          <w:kern w:val="0"/>
          <w:sz w:val="24"/>
          <w:szCs w:val="24"/>
        </w:rPr>
        <w:t>для міжнародної спільної програми</w:t>
      </w:r>
      <w:r w:rsidR="006837E0" w:rsidRPr="00331A99">
        <w:rPr>
          <w:rFonts w:ascii="Times New Roman" w:hAnsi="Times New Roman" w:cs="Times New Roman"/>
          <w:kern w:val="0"/>
          <w:sz w:val="24"/>
          <w:szCs w:val="24"/>
        </w:rPr>
        <w:t>)</w:t>
      </w:r>
      <w:r w:rsidR="00F67358" w:rsidRPr="00331A99">
        <w:rPr>
          <w:rFonts w:ascii="Times New Roman" w:hAnsi="Times New Roman" w:cs="Times New Roman"/>
          <w:kern w:val="0"/>
          <w:sz w:val="24"/>
          <w:szCs w:val="24"/>
        </w:rPr>
        <w:t>.</w:t>
      </w:r>
    </w:p>
    <w:p w14:paraId="36022C8C" w14:textId="4CB292EE" w:rsidR="00B328EA" w:rsidRPr="00F43628" w:rsidRDefault="00B328EA" w:rsidP="00B328EA">
      <w:pPr>
        <w:numPr>
          <w:ilvl w:val="0"/>
          <w:numId w:val="28"/>
        </w:numPr>
        <w:autoSpaceDE w:val="0"/>
        <w:autoSpaceDN w:val="0"/>
        <w:adjustRightInd w:val="0"/>
        <w:spacing w:after="120" w:line="240" w:lineRule="auto"/>
        <w:ind w:left="426"/>
        <w:jc w:val="both"/>
        <w:rPr>
          <w:rFonts w:ascii="Times New Roman" w:hAnsi="Times New Roman" w:cs="Times New Roman"/>
          <w:kern w:val="0"/>
          <w:sz w:val="24"/>
          <w:szCs w:val="24"/>
        </w:rPr>
      </w:pPr>
      <w:r w:rsidRPr="00331A99">
        <w:rPr>
          <w:rFonts w:ascii="Times New Roman" w:hAnsi="Times New Roman" w:cs="Times New Roman"/>
          <w:kern w:val="0"/>
          <w:sz w:val="24"/>
          <w:szCs w:val="24"/>
        </w:rPr>
        <w:t>Програми</w:t>
      </w:r>
      <w:r w:rsidR="000A072A" w:rsidRPr="00331A99">
        <w:rPr>
          <w:rFonts w:ascii="Times New Roman" w:hAnsi="Times New Roman" w:cs="Times New Roman"/>
          <w:kern w:val="0"/>
          <w:sz w:val="24"/>
          <w:szCs w:val="24"/>
        </w:rPr>
        <w:t xml:space="preserve"> збалансованої</w:t>
      </w:r>
      <w:r w:rsidRPr="00331A99">
        <w:rPr>
          <w:rFonts w:ascii="Times New Roman" w:hAnsi="Times New Roman" w:cs="Times New Roman"/>
          <w:kern w:val="0"/>
          <w:sz w:val="24"/>
          <w:szCs w:val="24"/>
        </w:rPr>
        <w:t xml:space="preserve"> індивідуальної мобільності, коли студент</w:t>
      </w:r>
      <w:r w:rsidR="000A072A" w:rsidRPr="00331A99">
        <w:rPr>
          <w:rFonts w:ascii="Times New Roman" w:hAnsi="Times New Roman" w:cs="Times New Roman"/>
          <w:kern w:val="0"/>
          <w:sz w:val="24"/>
          <w:szCs w:val="24"/>
        </w:rPr>
        <w:t>и</w:t>
      </w:r>
      <w:r w:rsidRPr="00331A99">
        <w:rPr>
          <w:rFonts w:ascii="Times New Roman" w:hAnsi="Times New Roman" w:cs="Times New Roman"/>
          <w:kern w:val="0"/>
          <w:sz w:val="24"/>
          <w:szCs w:val="24"/>
        </w:rPr>
        <w:t xml:space="preserve"> мож</w:t>
      </w:r>
      <w:r w:rsidR="000A072A" w:rsidRPr="00331A99">
        <w:rPr>
          <w:rFonts w:ascii="Times New Roman" w:hAnsi="Times New Roman" w:cs="Times New Roman"/>
          <w:kern w:val="0"/>
          <w:sz w:val="24"/>
          <w:szCs w:val="24"/>
        </w:rPr>
        <w:t>уть</w:t>
      </w:r>
      <w:r w:rsidRPr="00331A99">
        <w:rPr>
          <w:rFonts w:ascii="Times New Roman" w:hAnsi="Times New Roman" w:cs="Times New Roman"/>
          <w:kern w:val="0"/>
          <w:sz w:val="24"/>
          <w:szCs w:val="24"/>
        </w:rPr>
        <w:t xml:space="preserve"> розпочати навчання</w:t>
      </w:r>
      <w:r w:rsidR="007879F4" w:rsidRPr="00331A99">
        <w:rPr>
          <w:rFonts w:ascii="Times New Roman" w:hAnsi="Times New Roman" w:cs="Times New Roman"/>
          <w:kern w:val="0"/>
          <w:sz w:val="24"/>
          <w:szCs w:val="24"/>
        </w:rPr>
        <w:t xml:space="preserve"> в своєму закладі</w:t>
      </w:r>
      <w:r w:rsidRPr="00331A99">
        <w:rPr>
          <w:rFonts w:ascii="Times New Roman" w:hAnsi="Times New Roman" w:cs="Times New Roman"/>
          <w:kern w:val="0"/>
          <w:sz w:val="24"/>
          <w:szCs w:val="24"/>
        </w:rPr>
        <w:t xml:space="preserve"> за спільними навчальними дисциплінами/модулями (курсами), які пропонують всі заклади-партнери, плюс період мобільності </w:t>
      </w:r>
      <w:r w:rsidR="000A072A" w:rsidRPr="00331A99">
        <w:rPr>
          <w:rFonts w:ascii="Times New Roman" w:hAnsi="Times New Roman" w:cs="Times New Roman"/>
          <w:kern w:val="0"/>
          <w:sz w:val="24"/>
          <w:szCs w:val="24"/>
        </w:rPr>
        <w:t xml:space="preserve">за збалансованим за кількістю обміном студентами </w:t>
      </w:r>
      <w:r w:rsidRPr="00331A99">
        <w:rPr>
          <w:rFonts w:ascii="Times New Roman" w:hAnsi="Times New Roman" w:cs="Times New Roman"/>
          <w:kern w:val="0"/>
          <w:sz w:val="24"/>
          <w:szCs w:val="24"/>
        </w:rPr>
        <w:t>для опанування фахових та/або вибіркових навчальних дисциплін/модулів (курсів), потім студент</w:t>
      </w:r>
      <w:r w:rsidR="000A072A" w:rsidRPr="00331A99">
        <w:rPr>
          <w:rFonts w:ascii="Times New Roman" w:hAnsi="Times New Roman" w:cs="Times New Roman"/>
          <w:kern w:val="0"/>
          <w:sz w:val="24"/>
          <w:szCs w:val="24"/>
        </w:rPr>
        <w:t>и</w:t>
      </w:r>
      <w:r w:rsidRPr="00331A99">
        <w:rPr>
          <w:rFonts w:ascii="Times New Roman" w:hAnsi="Times New Roman" w:cs="Times New Roman"/>
          <w:kern w:val="0"/>
          <w:sz w:val="24"/>
          <w:szCs w:val="24"/>
        </w:rPr>
        <w:t xml:space="preserve"> поверта</w:t>
      </w:r>
      <w:r w:rsidR="000A072A" w:rsidRPr="00331A99">
        <w:rPr>
          <w:rFonts w:ascii="Times New Roman" w:hAnsi="Times New Roman" w:cs="Times New Roman"/>
          <w:kern w:val="0"/>
          <w:sz w:val="24"/>
          <w:szCs w:val="24"/>
        </w:rPr>
        <w:t>ю</w:t>
      </w:r>
      <w:r w:rsidRPr="00331A99">
        <w:rPr>
          <w:rFonts w:ascii="Times New Roman" w:hAnsi="Times New Roman" w:cs="Times New Roman"/>
          <w:kern w:val="0"/>
          <w:sz w:val="24"/>
          <w:szCs w:val="24"/>
        </w:rPr>
        <w:t>ться до сво</w:t>
      </w:r>
      <w:r w:rsidR="007879F4" w:rsidRPr="00331A99">
        <w:rPr>
          <w:rFonts w:ascii="Times New Roman" w:hAnsi="Times New Roman" w:cs="Times New Roman"/>
          <w:kern w:val="0"/>
          <w:sz w:val="24"/>
          <w:szCs w:val="24"/>
        </w:rPr>
        <w:t>го</w:t>
      </w:r>
      <w:r w:rsidRPr="00331A99">
        <w:rPr>
          <w:rFonts w:ascii="Times New Roman" w:hAnsi="Times New Roman" w:cs="Times New Roman"/>
          <w:kern w:val="0"/>
          <w:sz w:val="24"/>
          <w:szCs w:val="24"/>
        </w:rPr>
        <w:t xml:space="preserve"> заклад</w:t>
      </w:r>
      <w:r w:rsidR="007879F4" w:rsidRPr="00331A99">
        <w:rPr>
          <w:rFonts w:ascii="Times New Roman" w:hAnsi="Times New Roman" w:cs="Times New Roman"/>
          <w:kern w:val="0"/>
          <w:sz w:val="24"/>
          <w:szCs w:val="24"/>
        </w:rPr>
        <w:t>у</w:t>
      </w:r>
      <w:r w:rsidRPr="00331A99">
        <w:rPr>
          <w:rFonts w:ascii="Times New Roman" w:hAnsi="Times New Roman" w:cs="Times New Roman"/>
          <w:kern w:val="0"/>
          <w:sz w:val="24"/>
          <w:szCs w:val="24"/>
        </w:rPr>
        <w:t xml:space="preserve"> для продовження навчання та</w:t>
      </w:r>
      <w:r w:rsidR="007879F4" w:rsidRPr="00331A99">
        <w:rPr>
          <w:rFonts w:ascii="Times New Roman" w:hAnsi="Times New Roman" w:cs="Times New Roman"/>
          <w:kern w:val="0"/>
          <w:sz w:val="24"/>
          <w:szCs w:val="24"/>
        </w:rPr>
        <w:t>/або</w:t>
      </w:r>
      <w:r w:rsidRPr="00331A99">
        <w:rPr>
          <w:rFonts w:ascii="Times New Roman" w:hAnsi="Times New Roman" w:cs="Times New Roman"/>
          <w:kern w:val="0"/>
          <w:sz w:val="24"/>
          <w:szCs w:val="24"/>
        </w:rPr>
        <w:t xml:space="preserve"> на період підготовки дипломної роботи/дисертації</w:t>
      </w:r>
      <w:r w:rsidR="000A072A" w:rsidRPr="00331A99">
        <w:rPr>
          <w:rFonts w:ascii="Times New Roman" w:hAnsi="Times New Roman" w:cs="Times New Roman"/>
          <w:kern w:val="0"/>
          <w:sz w:val="24"/>
          <w:szCs w:val="24"/>
        </w:rPr>
        <w:t xml:space="preserve"> </w:t>
      </w:r>
      <w:r w:rsidRPr="00331A99">
        <w:rPr>
          <w:rFonts w:ascii="Times New Roman" w:hAnsi="Times New Roman" w:cs="Times New Roman"/>
          <w:kern w:val="0"/>
          <w:sz w:val="24"/>
          <w:szCs w:val="24"/>
        </w:rPr>
        <w:t xml:space="preserve"> (</w:t>
      </w:r>
      <w:r w:rsidRPr="00331A99">
        <w:rPr>
          <w:rFonts w:ascii="Times New Roman" w:hAnsi="Times New Roman" w:cs="Times New Roman"/>
          <w:b/>
          <w:bCs/>
          <w:i/>
          <w:iCs/>
          <w:kern w:val="0"/>
          <w:sz w:val="24"/>
          <w:szCs w:val="24"/>
        </w:rPr>
        <w:t>для</w:t>
      </w:r>
      <w:r w:rsidRPr="006837E0">
        <w:rPr>
          <w:rFonts w:ascii="Times New Roman" w:hAnsi="Times New Roman" w:cs="Times New Roman"/>
          <w:b/>
          <w:bCs/>
          <w:i/>
          <w:iCs/>
          <w:kern w:val="0"/>
          <w:sz w:val="24"/>
          <w:szCs w:val="24"/>
        </w:rPr>
        <w:t xml:space="preserve"> </w:t>
      </w:r>
      <w:r>
        <w:rPr>
          <w:rFonts w:ascii="Times New Roman" w:hAnsi="Times New Roman" w:cs="Times New Roman"/>
          <w:b/>
          <w:bCs/>
          <w:i/>
          <w:iCs/>
          <w:kern w:val="0"/>
          <w:sz w:val="24"/>
          <w:szCs w:val="24"/>
        </w:rPr>
        <w:t>національної</w:t>
      </w:r>
      <w:r w:rsidRPr="006837E0">
        <w:rPr>
          <w:rFonts w:ascii="Times New Roman" w:hAnsi="Times New Roman" w:cs="Times New Roman"/>
          <w:b/>
          <w:bCs/>
          <w:i/>
          <w:iCs/>
          <w:kern w:val="0"/>
          <w:sz w:val="24"/>
          <w:szCs w:val="24"/>
        </w:rPr>
        <w:t xml:space="preserve"> спільної програми</w:t>
      </w:r>
      <w:r>
        <w:rPr>
          <w:rFonts w:ascii="Times New Roman" w:hAnsi="Times New Roman" w:cs="Times New Roman"/>
          <w:kern w:val="0"/>
          <w:sz w:val="24"/>
          <w:szCs w:val="24"/>
        </w:rPr>
        <w:t>).</w:t>
      </w:r>
    </w:p>
    <w:p w14:paraId="3AD1E278" w14:textId="639EBED1" w:rsidR="007D4583" w:rsidRPr="00F43628" w:rsidRDefault="005A1E41" w:rsidP="0094404A">
      <w:pPr>
        <w:numPr>
          <w:ilvl w:val="0"/>
          <w:numId w:val="28"/>
        </w:numPr>
        <w:autoSpaceDE w:val="0"/>
        <w:autoSpaceDN w:val="0"/>
        <w:adjustRightInd w:val="0"/>
        <w:spacing w:after="120" w:line="240" w:lineRule="auto"/>
        <w:ind w:left="426" w:hanging="426"/>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Програми </w:t>
      </w:r>
      <w:r w:rsidR="009B736E" w:rsidRPr="00F43628">
        <w:rPr>
          <w:rFonts w:ascii="Times New Roman" w:hAnsi="Times New Roman" w:cs="Times New Roman"/>
          <w:kern w:val="0"/>
          <w:sz w:val="24"/>
          <w:szCs w:val="24"/>
        </w:rPr>
        <w:t>мобільності</w:t>
      </w:r>
      <w:r w:rsidRPr="00F43628">
        <w:rPr>
          <w:rFonts w:ascii="Times New Roman" w:hAnsi="Times New Roman" w:cs="Times New Roman"/>
          <w:kern w:val="0"/>
          <w:sz w:val="24"/>
          <w:szCs w:val="24"/>
        </w:rPr>
        <w:t xml:space="preserve"> з фіксован</w:t>
      </w:r>
      <w:r w:rsidR="009B736E" w:rsidRPr="00F43628">
        <w:rPr>
          <w:rFonts w:ascii="Times New Roman" w:hAnsi="Times New Roman" w:cs="Times New Roman"/>
          <w:kern w:val="0"/>
          <w:sz w:val="24"/>
          <w:szCs w:val="24"/>
        </w:rPr>
        <w:t xml:space="preserve">им маршрутом, коли </w:t>
      </w:r>
      <w:r w:rsidR="00A95D9F">
        <w:rPr>
          <w:rFonts w:ascii="Times New Roman" w:hAnsi="Times New Roman" w:cs="Times New Roman"/>
          <w:kern w:val="0"/>
          <w:sz w:val="24"/>
          <w:szCs w:val="24"/>
        </w:rPr>
        <w:t>група</w:t>
      </w:r>
      <w:r w:rsidR="009B736E"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студент</w:t>
      </w:r>
      <w:r w:rsidR="00A95D9F">
        <w:rPr>
          <w:rFonts w:ascii="Times New Roman" w:hAnsi="Times New Roman" w:cs="Times New Roman"/>
          <w:kern w:val="0"/>
          <w:sz w:val="24"/>
          <w:szCs w:val="24"/>
        </w:rPr>
        <w:t>ів спільної програми</w:t>
      </w:r>
      <w:r w:rsidR="009B736E" w:rsidRPr="00F43628">
        <w:rPr>
          <w:rFonts w:ascii="Times New Roman" w:hAnsi="Times New Roman" w:cs="Times New Roman"/>
          <w:kern w:val="0"/>
          <w:sz w:val="24"/>
          <w:szCs w:val="24"/>
        </w:rPr>
        <w:t xml:space="preserve"> роз</w:t>
      </w:r>
      <w:r w:rsidRPr="00F43628">
        <w:rPr>
          <w:rFonts w:ascii="Times New Roman" w:hAnsi="Times New Roman" w:cs="Times New Roman"/>
          <w:kern w:val="0"/>
          <w:sz w:val="24"/>
          <w:szCs w:val="24"/>
        </w:rPr>
        <w:t>почина</w:t>
      </w:r>
      <w:r w:rsidR="00A95D9F">
        <w:rPr>
          <w:rFonts w:ascii="Times New Roman" w:hAnsi="Times New Roman" w:cs="Times New Roman"/>
          <w:kern w:val="0"/>
          <w:sz w:val="24"/>
          <w:szCs w:val="24"/>
        </w:rPr>
        <w:t xml:space="preserve">є </w:t>
      </w:r>
      <w:r w:rsidRPr="00F43628">
        <w:rPr>
          <w:rFonts w:ascii="Times New Roman" w:hAnsi="Times New Roman" w:cs="Times New Roman"/>
          <w:kern w:val="0"/>
          <w:sz w:val="24"/>
          <w:szCs w:val="24"/>
        </w:rPr>
        <w:t>навчання в одному закладі</w:t>
      </w:r>
      <w:r w:rsidR="009B736E" w:rsidRPr="00F43628">
        <w:rPr>
          <w:rFonts w:ascii="Times New Roman" w:hAnsi="Times New Roman" w:cs="Times New Roman"/>
          <w:kern w:val="0"/>
          <w:sz w:val="24"/>
          <w:szCs w:val="24"/>
        </w:rPr>
        <w:t xml:space="preserve"> </w:t>
      </w:r>
      <w:r w:rsidR="00005E08">
        <w:rPr>
          <w:rFonts w:ascii="Times New Roman" w:hAnsi="Times New Roman" w:cs="Times New Roman"/>
          <w:kern w:val="0"/>
          <w:sz w:val="24"/>
          <w:szCs w:val="24"/>
        </w:rPr>
        <w:t>та</w:t>
      </w:r>
      <w:r w:rsidRPr="00F43628">
        <w:rPr>
          <w:rFonts w:ascii="Times New Roman" w:hAnsi="Times New Roman" w:cs="Times New Roman"/>
          <w:kern w:val="0"/>
          <w:sz w:val="24"/>
          <w:szCs w:val="24"/>
        </w:rPr>
        <w:t xml:space="preserve"> </w:t>
      </w:r>
      <w:r w:rsidR="00005E08">
        <w:rPr>
          <w:rFonts w:ascii="Times New Roman" w:hAnsi="Times New Roman" w:cs="Times New Roman"/>
          <w:kern w:val="0"/>
          <w:sz w:val="24"/>
          <w:szCs w:val="24"/>
        </w:rPr>
        <w:t>продовжу</w:t>
      </w:r>
      <w:r w:rsidR="00A95D9F">
        <w:rPr>
          <w:rFonts w:ascii="Times New Roman" w:hAnsi="Times New Roman" w:cs="Times New Roman"/>
          <w:kern w:val="0"/>
          <w:sz w:val="24"/>
          <w:szCs w:val="24"/>
        </w:rPr>
        <w:t>є</w:t>
      </w:r>
      <w:r w:rsidR="00005E08">
        <w:rPr>
          <w:rFonts w:ascii="Times New Roman" w:hAnsi="Times New Roman" w:cs="Times New Roman"/>
          <w:kern w:val="0"/>
          <w:sz w:val="24"/>
          <w:szCs w:val="24"/>
        </w:rPr>
        <w:t xml:space="preserve"> навчання</w:t>
      </w:r>
      <w:r w:rsidRPr="00F43628">
        <w:rPr>
          <w:rFonts w:ascii="Times New Roman" w:hAnsi="Times New Roman" w:cs="Times New Roman"/>
          <w:kern w:val="0"/>
          <w:sz w:val="24"/>
          <w:szCs w:val="24"/>
        </w:rPr>
        <w:t xml:space="preserve"> </w:t>
      </w:r>
      <w:r w:rsidR="00005E08" w:rsidRPr="00F43628">
        <w:rPr>
          <w:rFonts w:ascii="Times New Roman" w:hAnsi="Times New Roman" w:cs="Times New Roman"/>
          <w:kern w:val="0"/>
          <w:sz w:val="24"/>
          <w:szCs w:val="24"/>
        </w:rPr>
        <w:t>разом</w:t>
      </w:r>
      <w:r w:rsidR="00A95D9F">
        <w:rPr>
          <w:rFonts w:ascii="Times New Roman" w:hAnsi="Times New Roman" w:cs="Times New Roman"/>
          <w:kern w:val="0"/>
          <w:sz w:val="24"/>
          <w:szCs w:val="24"/>
        </w:rPr>
        <w:t xml:space="preserve"> у</w:t>
      </w:r>
      <w:r w:rsidR="00005E08">
        <w:rPr>
          <w:rFonts w:ascii="Times New Roman" w:hAnsi="Times New Roman" w:cs="Times New Roman"/>
          <w:kern w:val="0"/>
          <w:sz w:val="24"/>
          <w:szCs w:val="24"/>
        </w:rPr>
        <w:t xml:space="preserve"> різних закладах-партнерах </w:t>
      </w:r>
      <w:r w:rsidRPr="00F43628">
        <w:rPr>
          <w:rFonts w:ascii="Times New Roman" w:hAnsi="Times New Roman" w:cs="Times New Roman"/>
          <w:kern w:val="0"/>
          <w:sz w:val="24"/>
          <w:szCs w:val="24"/>
        </w:rPr>
        <w:t xml:space="preserve">від початку до кінця </w:t>
      </w:r>
      <w:r w:rsidR="00005E08">
        <w:rPr>
          <w:rFonts w:ascii="Times New Roman" w:hAnsi="Times New Roman" w:cs="Times New Roman"/>
          <w:kern w:val="0"/>
          <w:sz w:val="24"/>
          <w:szCs w:val="24"/>
        </w:rPr>
        <w:t xml:space="preserve">спільної </w:t>
      </w:r>
      <w:r w:rsidRPr="00F43628">
        <w:rPr>
          <w:rFonts w:ascii="Times New Roman" w:hAnsi="Times New Roman" w:cs="Times New Roman"/>
          <w:kern w:val="0"/>
          <w:sz w:val="24"/>
          <w:szCs w:val="24"/>
        </w:rPr>
        <w:t>програми</w:t>
      </w:r>
      <w:r w:rsidR="00850200">
        <w:rPr>
          <w:rFonts w:ascii="Times New Roman" w:hAnsi="Times New Roman" w:cs="Times New Roman"/>
          <w:kern w:val="0"/>
          <w:sz w:val="24"/>
          <w:szCs w:val="24"/>
        </w:rPr>
        <w:t xml:space="preserve"> (</w:t>
      </w:r>
      <w:r w:rsidR="00850200" w:rsidRPr="006837E0">
        <w:rPr>
          <w:rFonts w:ascii="Times New Roman" w:hAnsi="Times New Roman" w:cs="Times New Roman"/>
          <w:b/>
          <w:bCs/>
          <w:i/>
          <w:iCs/>
          <w:kern w:val="0"/>
          <w:sz w:val="24"/>
          <w:szCs w:val="24"/>
        </w:rPr>
        <w:t>для міжнародної спільної програми</w:t>
      </w:r>
      <w:r w:rsidR="00850200">
        <w:rPr>
          <w:rFonts w:ascii="Times New Roman" w:hAnsi="Times New Roman" w:cs="Times New Roman"/>
          <w:kern w:val="0"/>
          <w:sz w:val="24"/>
          <w:szCs w:val="24"/>
        </w:rPr>
        <w:t>)</w:t>
      </w:r>
      <w:r w:rsidR="00F60F45">
        <w:rPr>
          <w:rFonts w:ascii="Times New Roman" w:hAnsi="Times New Roman" w:cs="Times New Roman"/>
          <w:kern w:val="0"/>
          <w:sz w:val="24"/>
          <w:szCs w:val="24"/>
        </w:rPr>
        <w:t>.</w:t>
      </w:r>
    </w:p>
    <w:p w14:paraId="20E9E6E5" w14:textId="04CC7D9C" w:rsidR="007D4583" w:rsidRDefault="005A1E41" w:rsidP="0094404A">
      <w:pPr>
        <w:numPr>
          <w:ilvl w:val="0"/>
          <w:numId w:val="28"/>
        </w:numPr>
        <w:autoSpaceDE w:val="0"/>
        <w:autoSpaceDN w:val="0"/>
        <w:adjustRightInd w:val="0"/>
        <w:spacing w:after="120" w:line="240" w:lineRule="auto"/>
        <w:ind w:left="426" w:hanging="426"/>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Програми двосторонньої мобільності, коли студенти проводять один рік у </w:t>
      </w:r>
      <w:r w:rsidR="005B05B5">
        <w:rPr>
          <w:rFonts w:ascii="Times New Roman" w:hAnsi="Times New Roman" w:cs="Times New Roman"/>
          <w:kern w:val="0"/>
          <w:sz w:val="24"/>
          <w:szCs w:val="24"/>
        </w:rPr>
        <w:t>одному</w:t>
      </w:r>
      <w:r w:rsidRPr="00F43628">
        <w:rPr>
          <w:rFonts w:ascii="Times New Roman" w:hAnsi="Times New Roman" w:cs="Times New Roman"/>
          <w:kern w:val="0"/>
          <w:sz w:val="24"/>
          <w:szCs w:val="24"/>
        </w:rPr>
        <w:t xml:space="preserve"> закладі</w:t>
      </w:r>
      <w:r w:rsidR="005B05B5">
        <w:rPr>
          <w:rFonts w:ascii="Times New Roman" w:hAnsi="Times New Roman" w:cs="Times New Roman"/>
          <w:kern w:val="0"/>
          <w:sz w:val="24"/>
          <w:szCs w:val="24"/>
        </w:rPr>
        <w:t xml:space="preserve">-партнер </w:t>
      </w:r>
      <w:r w:rsidRPr="00F43628">
        <w:rPr>
          <w:rFonts w:ascii="Times New Roman" w:hAnsi="Times New Roman" w:cs="Times New Roman"/>
          <w:kern w:val="0"/>
          <w:sz w:val="24"/>
          <w:szCs w:val="24"/>
        </w:rPr>
        <w:t>та один рік у другому</w:t>
      </w:r>
      <w:r w:rsidR="009B736E" w:rsidRPr="00F43628">
        <w:rPr>
          <w:rFonts w:ascii="Times New Roman" w:hAnsi="Times New Roman" w:cs="Times New Roman"/>
          <w:kern w:val="0"/>
          <w:sz w:val="24"/>
          <w:szCs w:val="24"/>
        </w:rPr>
        <w:t xml:space="preserve"> закладі</w:t>
      </w:r>
      <w:r w:rsidR="005A65C4">
        <w:rPr>
          <w:rFonts w:ascii="Times New Roman" w:hAnsi="Times New Roman" w:cs="Times New Roman"/>
          <w:kern w:val="0"/>
          <w:sz w:val="24"/>
          <w:szCs w:val="24"/>
        </w:rPr>
        <w:t>-партнері</w:t>
      </w:r>
      <w:r w:rsidRPr="00F43628">
        <w:rPr>
          <w:rFonts w:ascii="Times New Roman" w:hAnsi="Times New Roman" w:cs="Times New Roman"/>
          <w:kern w:val="0"/>
          <w:sz w:val="24"/>
          <w:szCs w:val="24"/>
        </w:rPr>
        <w:t xml:space="preserve">, включаючи </w:t>
      </w:r>
      <w:r w:rsidR="005A65C4">
        <w:rPr>
          <w:rFonts w:ascii="Times New Roman" w:hAnsi="Times New Roman" w:cs="Times New Roman"/>
          <w:kern w:val="0"/>
          <w:sz w:val="24"/>
          <w:szCs w:val="24"/>
        </w:rPr>
        <w:t>підготовку</w:t>
      </w:r>
      <w:r w:rsidRPr="00F43628">
        <w:rPr>
          <w:rFonts w:ascii="Times New Roman" w:hAnsi="Times New Roman" w:cs="Times New Roman"/>
          <w:kern w:val="0"/>
          <w:sz w:val="24"/>
          <w:szCs w:val="24"/>
        </w:rPr>
        <w:t xml:space="preserve"> дипломної роботи</w:t>
      </w:r>
      <w:r w:rsidR="005A65C4">
        <w:rPr>
          <w:rFonts w:ascii="Times New Roman" w:hAnsi="Times New Roman" w:cs="Times New Roman"/>
          <w:kern w:val="0"/>
          <w:sz w:val="24"/>
          <w:szCs w:val="24"/>
        </w:rPr>
        <w:t>/</w:t>
      </w:r>
      <w:r w:rsidR="005A65C4" w:rsidRPr="00F43628">
        <w:rPr>
          <w:rFonts w:ascii="Times New Roman" w:hAnsi="Times New Roman" w:cs="Times New Roman"/>
          <w:kern w:val="0"/>
          <w:sz w:val="24"/>
          <w:szCs w:val="24"/>
        </w:rPr>
        <w:t>дисертації</w:t>
      </w:r>
      <w:r w:rsidR="003A01C6">
        <w:rPr>
          <w:rFonts w:ascii="Times New Roman" w:hAnsi="Times New Roman" w:cs="Times New Roman"/>
          <w:kern w:val="0"/>
          <w:sz w:val="24"/>
          <w:szCs w:val="24"/>
        </w:rPr>
        <w:t xml:space="preserve"> (</w:t>
      </w:r>
      <w:r w:rsidR="003A01C6" w:rsidRPr="006837E0">
        <w:rPr>
          <w:rFonts w:ascii="Times New Roman" w:hAnsi="Times New Roman" w:cs="Times New Roman"/>
          <w:b/>
          <w:bCs/>
          <w:i/>
          <w:iCs/>
          <w:kern w:val="0"/>
          <w:sz w:val="24"/>
          <w:szCs w:val="24"/>
        </w:rPr>
        <w:t>для міжнародної спільної програми</w:t>
      </w:r>
      <w:r w:rsidR="003A01C6">
        <w:rPr>
          <w:rFonts w:ascii="Times New Roman" w:hAnsi="Times New Roman" w:cs="Times New Roman"/>
          <w:kern w:val="0"/>
          <w:sz w:val="24"/>
          <w:szCs w:val="24"/>
        </w:rPr>
        <w:t>)</w:t>
      </w:r>
      <w:r w:rsidR="00F60F45">
        <w:rPr>
          <w:rFonts w:ascii="Times New Roman" w:hAnsi="Times New Roman" w:cs="Times New Roman"/>
          <w:kern w:val="0"/>
          <w:sz w:val="24"/>
          <w:szCs w:val="24"/>
        </w:rPr>
        <w:t>.</w:t>
      </w:r>
    </w:p>
    <w:p w14:paraId="0406BB31" w14:textId="3F3FC4B8" w:rsidR="00A642CF" w:rsidRPr="00F43628" w:rsidRDefault="00A642CF" w:rsidP="00A642CF">
      <w:pPr>
        <w:numPr>
          <w:ilvl w:val="0"/>
          <w:numId w:val="28"/>
        </w:numPr>
        <w:autoSpaceDE w:val="0"/>
        <w:autoSpaceDN w:val="0"/>
        <w:adjustRightInd w:val="0"/>
        <w:spacing w:after="120" w:line="240" w:lineRule="auto"/>
        <w:ind w:left="426" w:hanging="426"/>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Програми </w:t>
      </w:r>
      <w:r>
        <w:rPr>
          <w:rFonts w:ascii="Times New Roman" w:hAnsi="Times New Roman" w:cs="Times New Roman"/>
          <w:kern w:val="0"/>
          <w:sz w:val="24"/>
          <w:szCs w:val="24"/>
        </w:rPr>
        <w:t xml:space="preserve">збалансованої </w:t>
      </w:r>
      <w:r w:rsidRPr="00F43628">
        <w:rPr>
          <w:rFonts w:ascii="Times New Roman" w:hAnsi="Times New Roman" w:cs="Times New Roman"/>
          <w:kern w:val="0"/>
          <w:sz w:val="24"/>
          <w:szCs w:val="24"/>
        </w:rPr>
        <w:t xml:space="preserve">двосторонньої мобільності, коли </w:t>
      </w:r>
      <w:r w:rsidR="00FA0F3D">
        <w:rPr>
          <w:rFonts w:ascii="Times New Roman" w:hAnsi="Times New Roman" w:cs="Times New Roman"/>
          <w:kern w:val="0"/>
          <w:sz w:val="24"/>
          <w:szCs w:val="24"/>
        </w:rPr>
        <w:t xml:space="preserve">за збалансованим за кількістю обміном </w:t>
      </w:r>
      <w:r w:rsidRPr="00F43628">
        <w:rPr>
          <w:rFonts w:ascii="Times New Roman" w:hAnsi="Times New Roman" w:cs="Times New Roman"/>
          <w:kern w:val="0"/>
          <w:sz w:val="24"/>
          <w:szCs w:val="24"/>
        </w:rPr>
        <w:t xml:space="preserve">студенти проводять </w:t>
      </w:r>
      <w:r>
        <w:rPr>
          <w:rFonts w:ascii="Times New Roman" w:hAnsi="Times New Roman" w:cs="Times New Roman"/>
          <w:kern w:val="0"/>
          <w:sz w:val="24"/>
          <w:szCs w:val="24"/>
        </w:rPr>
        <w:t>певний період навчання</w:t>
      </w:r>
      <w:r w:rsidRPr="00F43628">
        <w:rPr>
          <w:rFonts w:ascii="Times New Roman" w:hAnsi="Times New Roman" w:cs="Times New Roman"/>
          <w:kern w:val="0"/>
          <w:sz w:val="24"/>
          <w:szCs w:val="24"/>
        </w:rPr>
        <w:t xml:space="preserve"> у </w:t>
      </w:r>
      <w:r>
        <w:rPr>
          <w:rFonts w:ascii="Times New Roman" w:hAnsi="Times New Roman" w:cs="Times New Roman"/>
          <w:kern w:val="0"/>
          <w:sz w:val="24"/>
          <w:szCs w:val="24"/>
        </w:rPr>
        <w:t>одному</w:t>
      </w:r>
      <w:r w:rsidRPr="00F43628">
        <w:rPr>
          <w:rFonts w:ascii="Times New Roman" w:hAnsi="Times New Roman" w:cs="Times New Roman"/>
          <w:kern w:val="0"/>
          <w:sz w:val="24"/>
          <w:szCs w:val="24"/>
        </w:rPr>
        <w:t xml:space="preserve"> закладі</w:t>
      </w:r>
      <w:r>
        <w:rPr>
          <w:rFonts w:ascii="Times New Roman" w:hAnsi="Times New Roman" w:cs="Times New Roman"/>
          <w:kern w:val="0"/>
          <w:sz w:val="24"/>
          <w:szCs w:val="24"/>
        </w:rPr>
        <w:t xml:space="preserve">-партнер </w:t>
      </w:r>
      <w:r w:rsidRPr="00F43628">
        <w:rPr>
          <w:rFonts w:ascii="Times New Roman" w:hAnsi="Times New Roman" w:cs="Times New Roman"/>
          <w:kern w:val="0"/>
          <w:sz w:val="24"/>
          <w:szCs w:val="24"/>
        </w:rPr>
        <w:t xml:space="preserve">та </w:t>
      </w:r>
      <w:r>
        <w:rPr>
          <w:rFonts w:ascii="Times New Roman" w:hAnsi="Times New Roman" w:cs="Times New Roman"/>
          <w:kern w:val="0"/>
          <w:sz w:val="24"/>
          <w:szCs w:val="24"/>
        </w:rPr>
        <w:t>певний період навчання</w:t>
      </w:r>
      <w:r w:rsidRPr="00F43628">
        <w:rPr>
          <w:rFonts w:ascii="Times New Roman" w:hAnsi="Times New Roman" w:cs="Times New Roman"/>
          <w:kern w:val="0"/>
          <w:sz w:val="24"/>
          <w:szCs w:val="24"/>
        </w:rPr>
        <w:t xml:space="preserve"> у другому закладі</w:t>
      </w:r>
      <w:r>
        <w:rPr>
          <w:rFonts w:ascii="Times New Roman" w:hAnsi="Times New Roman" w:cs="Times New Roman"/>
          <w:kern w:val="0"/>
          <w:sz w:val="24"/>
          <w:szCs w:val="24"/>
        </w:rPr>
        <w:t>-партнері</w:t>
      </w:r>
      <w:r w:rsidRPr="00F43628">
        <w:rPr>
          <w:rFonts w:ascii="Times New Roman" w:hAnsi="Times New Roman" w:cs="Times New Roman"/>
          <w:kern w:val="0"/>
          <w:sz w:val="24"/>
          <w:szCs w:val="24"/>
        </w:rPr>
        <w:t xml:space="preserve">, включаючи </w:t>
      </w:r>
      <w:r>
        <w:rPr>
          <w:rFonts w:ascii="Times New Roman" w:hAnsi="Times New Roman" w:cs="Times New Roman"/>
          <w:kern w:val="0"/>
          <w:sz w:val="24"/>
          <w:szCs w:val="24"/>
        </w:rPr>
        <w:t>підготовку</w:t>
      </w:r>
      <w:r w:rsidRPr="00F43628">
        <w:rPr>
          <w:rFonts w:ascii="Times New Roman" w:hAnsi="Times New Roman" w:cs="Times New Roman"/>
          <w:kern w:val="0"/>
          <w:sz w:val="24"/>
          <w:szCs w:val="24"/>
        </w:rPr>
        <w:t xml:space="preserve"> дипломної роботи</w:t>
      </w:r>
      <w:r>
        <w:rPr>
          <w:rFonts w:ascii="Times New Roman" w:hAnsi="Times New Roman" w:cs="Times New Roman"/>
          <w:kern w:val="0"/>
          <w:sz w:val="24"/>
          <w:szCs w:val="24"/>
        </w:rPr>
        <w:t>/</w:t>
      </w:r>
      <w:r w:rsidRPr="00F43628">
        <w:rPr>
          <w:rFonts w:ascii="Times New Roman" w:hAnsi="Times New Roman" w:cs="Times New Roman"/>
          <w:kern w:val="0"/>
          <w:sz w:val="24"/>
          <w:szCs w:val="24"/>
        </w:rPr>
        <w:t>дисертації</w:t>
      </w:r>
      <w:r>
        <w:rPr>
          <w:rFonts w:ascii="Times New Roman" w:hAnsi="Times New Roman" w:cs="Times New Roman"/>
          <w:kern w:val="0"/>
          <w:sz w:val="24"/>
          <w:szCs w:val="24"/>
        </w:rPr>
        <w:t xml:space="preserve"> (</w:t>
      </w:r>
      <w:r w:rsidRPr="006837E0">
        <w:rPr>
          <w:rFonts w:ascii="Times New Roman" w:hAnsi="Times New Roman" w:cs="Times New Roman"/>
          <w:b/>
          <w:bCs/>
          <w:i/>
          <w:iCs/>
          <w:kern w:val="0"/>
          <w:sz w:val="24"/>
          <w:szCs w:val="24"/>
        </w:rPr>
        <w:t xml:space="preserve">для </w:t>
      </w:r>
      <w:r>
        <w:rPr>
          <w:rFonts w:ascii="Times New Roman" w:hAnsi="Times New Roman" w:cs="Times New Roman"/>
          <w:b/>
          <w:bCs/>
          <w:i/>
          <w:iCs/>
          <w:kern w:val="0"/>
          <w:sz w:val="24"/>
          <w:szCs w:val="24"/>
        </w:rPr>
        <w:t xml:space="preserve">національної </w:t>
      </w:r>
      <w:r w:rsidRPr="006837E0">
        <w:rPr>
          <w:rFonts w:ascii="Times New Roman" w:hAnsi="Times New Roman" w:cs="Times New Roman"/>
          <w:b/>
          <w:bCs/>
          <w:i/>
          <w:iCs/>
          <w:kern w:val="0"/>
          <w:sz w:val="24"/>
          <w:szCs w:val="24"/>
        </w:rPr>
        <w:t xml:space="preserve"> спільної програми</w:t>
      </w:r>
      <w:r>
        <w:rPr>
          <w:rFonts w:ascii="Times New Roman" w:hAnsi="Times New Roman" w:cs="Times New Roman"/>
          <w:kern w:val="0"/>
          <w:sz w:val="24"/>
          <w:szCs w:val="24"/>
        </w:rPr>
        <w:t>).</w:t>
      </w:r>
    </w:p>
    <w:p w14:paraId="484B95BD" w14:textId="245193DE" w:rsidR="007D4583" w:rsidRPr="00F43628" w:rsidRDefault="005A1E41" w:rsidP="0094404A">
      <w:pPr>
        <w:numPr>
          <w:ilvl w:val="0"/>
          <w:numId w:val="28"/>
        </w:numPr>
        <w:autoSpaceDE w:val="0"/>
        <w:autoSpaceDN w:val="0"/>
        <w:adjustRightInd w:val="0"/>
        <w:spacing w:after="120" w:line="240" w:lineRule="auto"/>
        <w:ind w:left="426" w:hanging="426"/>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Програми з </w:t>
      </w:r>
      <w:r w:rsidR="0040739F" w:rsidRPr="00F43628">
        <w:rPr>
          <w:rFonts w:ascii="Times New Roman" w:hAnsi="Times New Roman" w:cs="Times New Roman"/>
          <w:kern w:val="0"/>
          <w:sz w:val="24"/>
          <w:szCs w:val="24"/>
        </w:rPr>
        <w:t xml:space="preserve">інтенсивними </w:t>
      </w:r>
      <w:r w:rsidRPr="00F43628">
        <w:rPr>
          <w:rFonts w:ascii="Times New Roman" w:hAnsi="Times New Roman" w:cs="Times New Roman"/>
          <w:kern w:val="0"/>
          <w:sz w:val="24"/>
          <w:szCs w:val="24"/>
        </w:rPr>
        <w:t xml:space="preserve">спільними </w:t>
      </w:r>
      <w:r w:rsidR="005B05B5">
        <w:rPr>
          <w:rFonts w:ascii="Times New Roman" w:hAnsi="Times New Roman" w:cs="Times New Roman"/>
          <w:kern w:val="0"/>
          <w:sz w:val="24"/>
          <w:szCs w:val="24"/>
        </w:rPr>
        <w:t>освітніми компонентами</w:t>
      </w:r>
      <w:r w:rsidR="00ED6991">
        <w:rPr>
          <w:rFonts w:ascii="Times New Roman" w:hAnsi="Times New Roman" w:cs="Times New Roman"/>
          <w:kern w:val="0"/>
          <w:sz w:val="24"/>
          <w:szCs w:val="24"/>
        </w:rPr>
        <w:t xml:space="preserve">, коли </w:t>
      </w:r>
      <w:r w:rsidRPr="00F43628">
        <w:rPr>
          <w:rFonts w:ascii="Times New Roman" w:hAnsi="Times New Roman" w:cs="Times New Roman"/>
          <w:kern w:val="0"/>
          <w:sz w:val="24"/>
          <w:szCs w:val="24"/>
        </w:rPr>
        <w:t xml:space="preserve">студенти можуть </w:t>
      </w:r>
      <w:r w:rsidR="0040739F" w:rsidRPr="00F43628">
        <w:rPr>
          <w:rFonts w:ascii="Times New Roman" w:hAnsi="Times New Roman" w:cs="Times New Roman"/>
          <w:kern w:val="0"/>
          <w:sz w:val="24"/>
          <w:szCs w:val="24"/>
        </w:rPr>
        <w:t>проходити</w:t>
      </w:r>
      <w:r w:rsidRPr="00F43628">
        <w:rPr>
          <w:rFonts w:ascii="Times New Roman" w:hAnsi="Times New Roman" w:cs="Times New Roman"/>
          <w:kern w:val="0"/>
          <w:sz w:val="24"/>
          <w:szCs w:val="24"/>
        </w:rPr>
        <w:t xml:space="preserve"> періоди мобільності на основі вищезгаданих моделей, а також</w:t>
      </w:r>
      <w:r w:rsidR="0040739F" w:rsidRPr="00F43628">
        <w:rPr>
          <w:rFonts w:ascii="Times New Roman" w:hAnsi="Times New Roman" w:cs="Times New Roman"/>
          <w:kern w:val="0"/>
          <w:sz w:val="24"/>
          <w:szCs w:val="24"/>
        </w:rPr>
        <w:t xml:space="preserve"> брати участь в</w:t>
      </w:r>
      <w:r w:rsidRPr="00F43628">
        <w:rPr>
          <w:rFonts w:ascii="Times New Roman" w:hAnsi="Times New Roman" w:cs="Times New Roman"/>
          <w:kern w:val="0"/>
          <w:sz w:val="24"/>
          <w:szCs w:val="24"/>
        </w:rPr>
        <w:t xml:space="preserve"> інтенсивн</w:t>
      </w:r>
      <w:r w:rsidR="0040739F" w:rsidRPr="00F43628">
        <w:rPr>
          <w:rFonts w:ascii="Times New Roman" w:hAnsi="Times New Roman" w:cs="Times New Roman"/>
          <w:kern w:val="0"/>
          <w:sz w:val="24"/>
          <w:szCs w:val="24"/>
        </w:rPr>
        <w:t>ому</w:t>
      </w:r>
      <w:r w:rsidRPr="00F43628">
        <w:rPr>
          <w:rFonts w:ascii="Times New Roman" w:hAnsi="Times New Roman" w:cs="Times New Roman"/>
          <w:kern w:val="0"/>
          <w:sz w:val="24"/>
          <w:szCs w:val="24"/>
        </w:rPr>
        <w:t xml:space="preserve"> </w:t>
      </w:r>
      <w:r w:rsidR="005B05B5">
        <w:rPr>
          <w:rFonts w:ascii="Times New Roman" w:hAnsi="Times New Roman" w:cs="Times New Roman"/>
          <w:kern w:val="0"/>
          <w:sz w:val="24"/>
          <w:szCs w:val="24"/>
        </w:rPr>
        <w:t xml:space="preserve">освітньому компоненті </w:t>
      </w:r>
      <w:r w:rsidR="00ED6991">
        <w:rPr>
          <w:rFonts w:ascii="Times New Roman" w:hAnsi="Times New Roman" w:cs="Times New Roman"/>
          <w:kern w:val="0"/>
          <w:sz w:val="24"/>
          <w:szCs w:val="24"/>
        </w:rPr>
        <w:t>(наприклад літня/зимова школа</w:t>
      </w:r>
      <w:r w:rsidR="005B05B5">
        <w:rPr>
          <w:rFonts w:ascii="Times New Roman" w:hAnsi="Times New Roman" w:cs="Times New Roman"/>
          <w:kern w:val="0"/>
          <w:sz w:val="24"/>
          <w:szCs w:val="24"/>
        </w:rPr>
        <w:t>, семінар тощо</w:t>
      </w:r>
      <w:r w:rsidR="00ED6991">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w:t>
      </w:r>
      <w:r w:rsidR="0040739F" w:rsidRPr="00F43628">
        <w:rPr>
          <w:rFonts w:ascii="Times New Roman" w:hAnsi="Times New Roman" w:cs="Times New Roman"/>
          <w:kern w:val="0"/>
          <w:sz w:val="24"/>
          <w:szCs w:val="24"/>
        </w:rPr>
        <w:t xml:space="preserve">який </w:t>
      </w:r>
      <w:r w:rsidRPr="00F43628">
        <w:rPr>
          <w:rFonts w:ascii="Times New Roman" w:hAnsi="Times New Roman" w:cs="Times New Roman"/>
          <w:kern w:val="0"/>
          <w:sz w:val="24"/>
          <w:szCs w:val="24"/>
        </w:rPr>
        <w:t>зазвичай</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організов</w:t>
      </w:r>
      <w:r w:rsidR="0040739F" w:rsidRPr="00F43628">
        <w:rPr>
          <w:rFonts w:ascii="Times New Roman" w:hAnsi="Times New Roman" w:cs="Times New Roman"/>
          <w:kern w:val="0"/>
          <w:sz w:val="24"/>
          <w:szCs w:val="24"/>
        </w:rPr>
        <w:t>ують</w:t>
      </w:r>
      <w:r w:rsidRPr="00F43628">
        <w:rPr>
          <w:rFonts w:ascii="Times New Roman" w:hAnsi="Times New Roman" w:cs="Times New Roman"/>
          <w:kern w:val="0"/>
          <w:sz w:val="24"/>
          <w:szCs w:val="24"/>
        </w:rPr>
        <w:t xml:space="preserve"> поза лекційними періодами</w:t>
      </w:r>
      <w:r w:rsidR="00ED6991">
        <w:rPr>
          <w:rFonts w:ascii="Times New Roman" w:hAnsi="Times New Roman" w:cs="Times New Roman"/>
          <w:kern w:val="0"/>
          <w:sz w:val="24"/>
          <w:szCs w:val="24"/>
        </w:rPr>
        <w:t xml:space="preserve"> для</w:t>
      </w:r>
      <w:r w:rsidR="0040739F"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всі</w:t>
      </w:r>
      <w:r w:rsidR="0040739F" w:rsidRPr="00F43628">
        <w:rPr>
          <w:rFonts w:ascii="Times New Roman" w:hAnsi="Times New Roman" w:cs="Times New Roman"/>
          <w:kern w:val="0"/>
          <w:sz w:val="24"/>
          <w:szCs w:val="24"/>
        </w:rPr>
        <w:t>х</w:t>
      </w:r>
      <w:r w:rsidRPr="00F43628">
        <w:rPr>
          <w:rFonts w:ascii="Times New Roman" w:hAnsi="Times New Roman" w:cs="Times New Roman"/>
          <w:kern w:val="0"/>
          <w:sz w:val="24"/>
          <w:szCs w:val="24"/>
        </w:rPr>
        <w:t xml:space="preserve"> студент</w:t>
      </w:r>
      <w:r w:rsidR="0040739F" w:rsidRPr="00F43628">
        <w:rPr>
          <w:rFonts w:ascii="Times New Roman" w:hAnsi="Times New Roman" w:cs="Times New Roman"/>
          <w:kern w:val="0"/>
          <w:sz w:val="24"/>
          <w:szCs w:val="24"/>
        </w:rPr>
        <w:t>ів</w:t>
      </w:r>
      <w:r w:rsidR="00ED6991">
        <w:rPr>
          <w:rFonts w:ascii="Times New Roman" w:hAnsi="Times New Roman" w:cs="Times New Roman"/>
          <w:kern w:val="0"/>
          <w:sz w:val="24"/>
          <w:szCs w:val="24"/>
        </w:rPr>
        <w:t xml:space="preserve"> спільної програми</w:t>
      </w:r>
      <w:r w:rsidR="00EE6648">
        <w:rPr>
          <w:rFonts w:ascii="Times New Roman" w:hAnsi="Times New Roman" w:cs="Times New Roman"/>
          <w:kern w:val="0"/>
          <w:sz w:val="24"/>
          <w:szCs w:val="24"/>
        </w:rPr>
        <w:t xml:space="preserve"> (</w:t>
      </w:r>
      <w:r w:rsidR="00EE6648" w:rsidRPr="006837E0">
        <w:rPr>
          <w:rFonts w:ascii="Times New Roman" w:hAnsi="Times New Roman" w:cs="Times New Roman"/>
          <w:b/>
          <w:bCs/>
          <w:i/>
          <w:iCs/>
          <w:kern w:val="0"/>
          <w:sz w:val="24"/>
          <w:szCs w:val="24"/>
        </w:rPr>
        <w:t>для</w:t>
      </w:r>
      <w:r w:rsidR="00EE6648">
        <w:rPr>
          <w:rFonts w:ascii="Times New Roman" w:hAnsi="Times New Roman" w:cs="Times New Roman"/>
          <w:b/>
          <w:bCs/>
          <w:i/>
          <w:iCs/>
          <w:kern w:val="0"/>
          <w:sz w:val="24"/>
          <w:szCs w:val="24"/>
        </w:rPr>
        <w:t xml:space="preserve"> національної /</w:t>
      </w:r>
      <w:r w:rsidR="00EE6648" w:rsidRPr="006837E0">
        <w:rPr>
          <w:rFonts w:ascii="Times New Roman" w:hAnsi="Times New Roman" w:cs="Times New Roman"/>
          <w:b/>
          <w:bCs/>
          <w:i/>
          <w:iCs/>
          <w:kern w:val="0"/>
          <w:sz w:val="24"/>
          <w:szCs w:val="24"/>
        </w:rPr>
        <w:t xml:space="preserve"> міжнародної спільної програми</w:t>
      </w:r>
      <w:r w:rsidR="00EE6648">
        <w:rPr>
          <w:rFonts w:ascii="Times New Roman" w:hAnsi="Times New Roman" w:cs="Times New Roman"/>
          <w:kern w:val="0"/>
          <w:sz w:val="24"/>
          <w:szCs w:val="24"/>
        </w:rPr>
        <w:t>)</w:t>
      </w:r>
      <w:r w:rsidRPr="00F43628">
        <w:rPr>
          <w:rFonts w:ascii="Times New Roman" w:hAnsi="Times New Roman" w:cs="Times New Roman"/>
          <w:kern w:val="0"/>
          <w:sz w:val="24"/>
          <w:szCs w:val="24"/>
        </w:rPr>
        <w:t>.</w:t>
      </w:r>
    </w:p>
    <w:p w14:paraId="7AC7F3F5" w14:textId="6CEB19B3" w:rsidR="007D4583" w:rsidRPr="005B05B5" w:rsidRDefault="00EC3409" w:rsidP="0094404A">
      <w:pPr>
        <w:autoSpaceDE w:val="0"/>
        <w:autoSpaceDN w:val="0"/>
        <w:adjustRightInd w:val="0"/>
        <w:spacing w:after="120" w:line="240" w:lineRule="auto"/>
        <w:jc w:val="both"/>
        <w:rPr>
          <w:rFonts w:ascii="Times New Roman" w:hAnsi="Times New Roman" w:cs="Times New Roman"/>
          <w:b/>
          <w:bCs/>
          <w:color w:val="365F91" w:themeColor="accent1" w:themeShade="BF"/>
          <w:kern w:val="0"/>
          <w:sz w:val="24"/>
          <w:szCs w:val="24"/>
        </w:rPr>
      </w:pPr>
      <w:r>
        <w:rPr>
          <w:rFonts w:ascii="Times New Roman" w:hAnsi="Times New Roman" w:cs="Times New Roman"/>
          <w:b/>
          <w:bCs/>
          <w:color w:val="365F91" w:themeColor="accent1" w:themeShade="BF"/>
          <w:kern w:val="0"/>
          <w:sz w:val="24"/>
          <w:szCs w:val="24"/>
        </w:rPr>
        <w:t xml:space="preserve">5.2. Навчальний план / </w:t>
      </w:r>
      <w:r w:rsidR="005A1E41" w:rsidRPr="005B05B5">
        <w:rPr>
          <w:rFonts w:ascii="Times New Roman" w:hAnsi="Times New Roman" w:cs="Times New Roman"/>
          <w:b/>
          <w:bCs/>
          <w:color w:val="365F91" w:themeColor="accent1" w:themeShade="BF"/>
          <w:kern w:val="0"/>
          <w:sz w:val="24"/>
          <w:szCs w:val="24"/>
        </w:rPr>
        <w:t>Академічний календар</w:t>
      </w:r>
    </w:p>
    <w:p w14:paraId="40362A0A" w14:textId="77777777" w:rsidR="00FD6693" w:rsidRDefault="00DB1A2B"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Відмінності</w:t>
      </w:r>
      <w:r w:rsidR="005A1E41" w:rsidRPr="00F43628">
        <w:rPr>
          <w:rFonts w:ascii="Times New Roman" w:hAnsi="Times New Roman" w:cs="Times New Roman"/>
          <w:kern w:val="0"/>
          <w:sz w:val="24"/>
          <w:szCs w:val="24"/>
        </w:rPr>
        <w:t xml:space="preserve"> </w:t>
      </w:r>
      <w:r w:rsidR="006D4FBD">
        <w:rPr>
          <w:rFonts w:ascii="Times New Roman" w:hAnsi="Times New Roman" w:cs="Times New Roman"/>
          <w:kern w:val="0"/>
          <w:sz w:val="24"/>
          <w:szCs w:val="24"/>
        </w:rPr>
        <w:t xml:space="preserve">навчальних планів / </w:t>
      </w:r>
      <w:r w:rsidR="005A1E41" w:rsidRPr="00F43628">
        <w:rPr>
          <w:rFonts w:ascii="Times New Roman" w:hAnsi="Times New Roman" w:cs="Times New Roman"/>
          <w:kern w:val="0"/>
          <w:sz w:val="24"/>
          <w:szCs w:val="24"/>
        </w:rPr>
        <w:t>академічн</w:t>
      </w:r>
      <w:r w:rsidRPr="00F43628">
        <w:rPr>
          <w:rFonts w:ascii="Times New Roman" w:hAnsi="Times New Roman" w:cs="Times New Roman"/>
          <w:kern w:val="0"/>
          <w:sz w:val="24"/>
          <w:szCs w:val="24"/>
        </w:rPr>
        <w:t>их</w:t>
      </w:r>
      <w:r w:rsidR="005A1E41" w:rsidRPr="00F43628">
        <w:rPr>
          <w:rFonts w:ascii="Times New Roman" w:hAnsi="Times New Roman" w:cs="Times New Roman"/>
          <w:kern w:val="0"/>
          <w:sz w:val="24"/>
          <w:szCs w:val="24"/>
        </w:rPr>
        <w:t xml:space="preserve"> календарі</w:t>
      </w:r>
      <w:r w:rsidRPr="00F43628">
        <w:rPr>
          <w:rFonts w:ascii="Times New Roman" w:hAnsi="Times New Roman" w:cs="Times New Roman"/>
          <w:kern w:val="0"/>
          <w:sz w:val="24"/>
          <w:szCs w:val="24"/>
        </w:rPr>
        <w:t>в</w:t>
      </w:r>
      <w:r w:rsidR="005A1E41" w:rsidRPr="00F43628">
        <w:rPr>
          <w:rFonts w:ascii="Times New Roman" w:hAnsi="Times New Roman" w:cs="Times New Roman"/>
          <w:kern w:val="0"/>
          <w:sz w:val="24"/>
          <w:szCs w:val="24"/>
        </w:rPr>
        <w:t xml:space="preserve"> можуть </w:t>
      </w:r>
      <w:r w:rsidRPr="00F43628">
        <w:rPr>
          <w:rFonts w:ascii="Times New Roman" w:hAnsi="Times New Roman" w:cs="Times New Roman"/>
          <w:kern w:val="0"/>
          <w:sz w:val="24"/>
          <w:szCs w:val="24"/>
        </w:rPr>
        <w:t>ускладнити</w:t>
      </w:r>
      <w:r w:rsidR="005A1E41"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мобільність </w:t>
      </w:r>
      <w:r w:rsidR="005A1E41" w:rsidRPr="00F43628">
        <w:rPr>
          <w:rFonts w:ascii="Times New Roman" w:hAnsi="Times New Roman" w:cs="Times New Roman"/>
          <w:kern w:val="0"/>
          <w:sz w:val="24"/>
          <w:szCs w:val="24"/>
        </w:rPr>
        <w:t>студент</w:t>
      </w:r>
      <w:r w:rsidRPr="00F43628">
        <w:rPr>
          <w:rFonts w:ascii="Times New Roman" w:hAnsi="Times New Roman" w:cs="Times New Roman"/>
          <w:kern w:val="0"/>
          <w:sz w:val="24"/>
          <w:szCs w:val="24"/>
        </w:rPr>
        <w:t>ів</w:t>
      </w:r>
      <w:r w:rsidR="005A1E41" w:rsidRPr="00F43628">
        <w:rPr>
          <w:rFonts w:ascii="Times New Roman" w:hAnsi="Times New Roman" w:cs="Times New Roman"/>
          <w:kern w:val="0"/>
          <w:sz w:val="24"/>
          <w:szCs w:val="24"/>
        </w:rPr>
        <w:t xml:space="preserve">, а вирішення питань мобільності вимагає </w:t>
      </w:r>
      <w:r w:rsidRPr="00F43628">
        <w:rPr>
          <w:rFonts w:ascii="Times New Roman" w:hAnsi="Times New Roman" w:cs="Times New Roman"/>
          <w:kern w:val="0"/>
          <w:sz w:val="24"/>
          <w:szCs w:val="24"/>
        </w:rPr>
        <w:t>рете</w:t>
      </w:r>
      <w:r w:rsidR="005A1E41" w:rsidRPr="00F43628">
        <w:rPr>
          <w:rFonts w:ascii="Times New Roman" w:hAnsi="Times New Roman" w:cs="Times New Roman"/>
          <w:kern w:val="0"/>
          <w:sz w:val="24"/>
          <w:szCs w:val="24"/>
        </w:rPr>
        <w:t xml:space="preserve">льної співпраці між партнерами. З іншого боку, різні </w:t>
      </w:r>
      <w:r w:rsidR="006D4FBD">
        <w:rPr>
          <w:rFonts w:ascii="Times New Roman" w:hAnsi="Times New Roman" w:cs="Times New Roman"/>
          <w:kern w:val="0"/>
          <w:sz w:val="24"/>
          <w:szCs w:val="24"/>
        </w:rPr>
        <w:t xml:space="preserve">навчальні плани / </w:t>
      </w:r>
      <w:r w:rsidR="005A1E41" w:rsidRPr="00F43628">
        <w:rPr>
          <w:rFonts w:ascii="Times New Roman" w:hAnsi="Times New Roman" w:cs="Times New Roman"/>
          <w:kern w:val="0"/>
          <w:sz w:val="24"/>
          <w:szCs w:val="24"/>
        </w:rPr>
        <w:t>академічні календарі надають більше можливостей для обміну викладачами.</w:t>
      </w:r>
      <w:r w:rsidR="00FD6693">
        <w:rPr>
          <w:rFonts w:ascii="Times New Roman" w:hAnsi="Times New Roman" w:cs="Times New Roman"/>
          <w:kern w:val="0"/>
          <w:sz w:val="24"/>
          <w:szCs w:val="24"/>
        </w:rPr>
        <w:t xml:space="preserve"> </w:t>
      </w:r>
    </w:p>
    <w:p w14:paraId="2ECEF154" w14:textId="61709ACA" w:rsidR="007D4583" w:rsidRPr="00F43628" w:rsidRDefault="00DB1A2B" w:rsidP="00156460">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Розбіжності між </w:t>
      </w:r>
      <w:r w:rsidR="00FD6693">
        <w:rPr>
          <w:rFonts w:ascii="Times New Roman" w:hAnsi="Times New Roman" w:cs="Times New Roman"/>
          <w:kern w:val="0"/>
          <w:sz w:val="24"/>
          <w:szCs w:val="24"/>
        </w:rPr>
        <w:t xml:space="preserve">навчальними планами / </w:t>
      </w:r>
      <w:r w:rsidRPr="00F43628">
        <w:rPr>
          <w:rFonts w:ascii="Times New Roman" w:hAnsi="Times New Roman" w:cs="Times New Roman"/>
          <w:kern w:val="0"/>
          <w:sz w:val="24"/>
          <w:szCs w:val="24"/>
        </w:rPr>
        <w:t>академічними календарями вимагають г</w:t>
      </w:r>
      <w:r w:rsidR="005A1E41" w:rsidRPr="00F43628">
        <w:rPr>
          <w:rFonts w:ascii="Times New Roman" w:hAnsi="Times New Roman" w:cs="Times New Roman"/>
          <w:kern w:val="0"/>
          <w:sz w:val="24"/>
          <w:szCs w:val="24"/>
        </w:rPr>
        <w:t>нучк</w:t>
      </w:r>
      <w:r w:rsidRPr="00F43628">
        <w:rPr>
          <w:rFonts w:ascii="Times New Roman" w:hAnsi="Times New Roman" w:cs="Times New Roman"/>
          <w:kern w:val="0"/>
          <w:sz w:val="24"/>
          <w:szCs w:val="24"/>
        </w:rPr>
        <w:t>их</w:t>
      </w:r>
      <w:r w:rsidR="005A1E41" w:rsidRPr="00F43628">
        <w:rPr>
          <w:rFonts w:ascii="Times New Roman" w:hAnsi="Times New Roman" w:cs="Times New Roman"/>
          <w:kern w:val="0"/>
          <w:sz w:val="24"/>
          <w:szCs w:val="24"/>
        </w:rPr>
        <w:t xml:space="preserve"> рішен</w:t>
      </w:r>
      <w:r w:rsidRPr="00F43628">
        <w:rPr>
          <w:rFonts w:ascii="Times New Roman" w:hAnsi="Times New Roman" w:cs="Times New Roman"/>
          <w:kern w:val="0"/>
          <w:sz w:val="24"/>
          <w:szCs w:val="24"/>
        </w:rPr>
        <w:t>ь</w:t>
      </w:r>
      <w:r w:rsidR="00FD6693">
        <w:rPr>
          <w:rFonts w:ascii="Times New Roman" w:hAnsi="Times New Roman" w:cs="Times New Roman"/>
          <w:kern w:val="0"/>
          <w:sz w:val="24"/>
          <w:szCs w:val="24"/>
        </w:rPr>
        <w:t>, наприклад</w:t>
      </w:r>
      <w:r w:rsidR="005A1E41" w:rsidRPr="00F43628">
        <w:rPr>
          <w:rFonts w:ascii="Times New Roman" w:hAnsi="Times New Roman" w:cs="Times New Roman"/>
          <w:kern w:val="0"/>
          <w:sz w:val="24"/>
          <w:szCs w:val="24"/>
        </w:rPr>
        <w:t xml:space="preserve"> організ</w:t>
      </w:r>
      <w:r w:rsidR="00FD6693">
        <w:rPr>
          <w:rFonts w:ascii="Times New Roman" w:hAnsi="Times New Roman" w:cs="Times New Roman"/>
          <w:kern w:val="0"/>
          <w:sz w:val="24"/>
          <w:szCs w:val="24"/>
        </w:rPr>
        <w:t>ація</w:t>
      </w:r>
      <w:r w:rsidR="005A1E41" w:rsidRPr="00F43628">
        <w:rPr>
          <w:rFonts w:ascii="Times New Roman" w:hAnsi="Times New Roman" w:cs="Times New Roman"/>
          <w:kern w:val="0"/>
          <w:sz w:val="24"/>
          <w:szCs w:val="24"/>
        </w:rPr>
        <w:t xml:space="preserve"> літні</w:t>
      </w:r>
      <w:r w:rsidR="00FD6693">
        <w:rPr>
          <w:rFonts w:ascii="Times New Roman" w:hAnsi="Times New Roman" w:cs="Times New Roman"/>
          <w:kern w:val="0"/>
          <w:sz w:val="24"/>
          <w:szCs w:val="24"/>
        </w:rPr>
        <w:t>х/зимових</w:t>
      </w:r>
      <w:r w:rsidR="005A1E41" w:rsidRPr="00F43628">
        <w:rPr>
          <w:rFonts w:ascii="Times New Roman" w:hAnsi="Times New Roman" w:cs="Times New Roman"/>
          <w:kern w:val="0"/>
          <w:sz w:val="24"/>
          <w:szCs w:val="24"/>
        </w:rPr>
        <w:t xml:space="preserve"> шк</w:t>
      </w:r>
      <w:r w:rsidR="00FD6693">
        <w:rPr>
          <w:rFonts w:ascii="Times New Roman" w:hAnsi="Times New Roman" w:cs="Times New Roman"/>
          <w:kern w:val="0"/>
          <w:sz w:val="24"/>
          <w:szCs w:val="24"/>
        </w:rPr>
        <w:t xml:space="preserve">іл; навчання за </w:t>
      </w:r>
      <w:r w:rsidR="005A1E41" w:rsidRPr="00F43628">
        <w:rPr>
          <w:rFonts w:ascii="Times New Roman" w:hAnsi="Times New Roman" w:cs="Times New Roman"/>
          <w:kern w:val="0"/>
          <w:sz w:val="24"/>
          <w:szCs w:val="24"/>
        </w:rPr>
        <w:t>дистанцій</w:t>
      </w:r>
      <w:r w:rsidR="00FD6693">
        <w:rPr>
          <w:rFonts w:ascii="Times New Roman" w:hAnsi="Times New Roman" w:cs="Times New Roman"/>
          <w:kern w:val="0"/>
          <w:sz w:val="24"/>
          <w:szCs w:val="24"/>
        </w:rPr>
        <w:t xml:space="preserve">ною формою </w:t>
      </w:r>
      <w:r w:rsidR="00FD6693">
        <w:rPr>
          <w:rFonts w:ascii="Times New Roman" w:hAnsi="Times New Roman" w:cs="Times New Roman"/>
          <w:kern w:val="0"/>
          <w:sz w:val="24"/>
          <w:szCs w:val="24"/>
        </w:rPr>
        <w:lastRenderedPageBreak/>
        <w:t xml:space="preserve">здобуття вищої освіти; </w:t>
      </w:r>
      <w:r w:rsidR="005A1E41" w:rsidRPr="00F43628">
        <w:rPr>
          <w:rFonts w:ascii="Times New Roman" w:hAnsi="Times New Roman" w:cs="Times New Roman"/>
          <w:kern w:val="0"/>
          <w:sz w:val="24"/>
          <w:szCs w:val="24"/>
        </w:rPr>
        <w:t>коригу</w:t>
      </w:r>
      <w:r w:rsidR="00FD6693">
        <w:rPr>
          <w:rFonts w:ascii="Times New Roman" w:hAnsi="Times New Roman" w:cs="Times New Roman"/>
          <w:kern w:val="0"/>
          <w:sz w:val="24"/>
          <w:szCs w:val="24"/>
        </w:rPr>
        <w:t>вання</w:t>
      </w:r>
      <w:r w:rsidR="005A1E41" w:rsidRPr="00F43628">
        <w:rPr>
          <w:rFonts w:ascii="Times New Roman" w:hAnsi="Times New Roman" w:cs="Times New Roman"/>
          <w:kern w:val="0"/>
          <w:sz w:val="24"/>
          <w:szCs w:val="24"/>
        </w:rPr>
        <w:t xml:space="preserve"> тривал</w:t>
      </w:r>
      <w:r w:rsidR="00FD6693">
        <w:rPr>
          <w:rFonts w:ascii="Times New Roman" w:hAnsi="Times New Roman" w:cs="Times New Roman"/>
          <w:kern w:val="0"/>
          <w:sz w:val="24"/>
          <w:szCs w:val="24"/>
        </w:rPr>
        <w:t>ості курсу через</w:t>
      </w:r>
      <w:r w:rsidR="005A1E41" w:rsidRPr="00F43628">
        <w:rPr>
          <w:rFonts w:ascii="Times New Roman" w:hAnsi="Times New Roman" w:cs="Times New Roman"/>
          <w:kern w:val="0"/>
          <w:sz w:val="24"/>
          <w:szCs w:val="24"/>
        </w:rPr>
        <w:t xml:space="preserve"> подовж</w:t>
      </w:r>
      <w:r w:rsidR="00FD6693">
        <w:rPr>
          <w:rFonts w:ascii="Times New Roman" w:hAnsi="Times New Roman" w:cs="Times New Roman"/>
          <w:kern w:val="0"/>
          <w:sz w:val="24"/>
          <w:szCs w:val="24"/>
        </w:rPr>
        <w:t>ення</w:t>
      </w:r>
      <w:r w:rsidR="005A1E41" w:rsidRPr="00F43628">
        <w:rPr>
          <w:rFonts w:ascii="Times New Roman" w:hAnsi="Times New Roman" w:cs="Times New Roman"/>
          <w:kern w:val="0"/>
          <w:sz w:val="24"/>
          <w:szCs w:val="24"/>
        </w:rPr>
        <w:t xml:space="preserve"> або скороч</w:t>
      </w:r>
      <w:r w:rsidR="00FD6693">
        <w:rPr>
          <w:rFonts w:ascii="Times New Roman" w:hAnsi="Times New Roman" w:cs="Times New Roman"/>
          <w:kern w:val="0"/>
          <w:sz w:val="24"/>
          <w:szCs w:val="24"/>
        </w:rPr>
        <w:t>ення</w:t>
      </w:r>
      <w:r w:rsidR="005A1E41" w:rsidRPr="00F43628">
        <w:rPr>
          <w:rFonts w:ascii="Times New Roman" w:hAnsi="Times New Roman" w:cs="Times New Roman"/>
          <w:kern w:val="0"/>
          <w:sz w:val="24"/>
          <w:szCs w:val="24"/>
        </w:rPr>
        <w:t xml:space="preserve"> семестр</w:t>
      </w:r>
      <w:r w:rsidR="00FD6693">
        <w:rPr>
          <w:rFonts w:ascii="Times New Roman" w:hAnsi="Times New Roman" w:cs="Times New Roman"/>
          <w:kern w:val="0"/>
          <w:sz w:val="24"/>
          <w:szCs w:val="24"/>
        </w:rPr>
        <w:t>у</w:t>
      </w:r>
      <w:r w:rsidR="005A1E41" w:rsidRPr="00F43628">
        <w:rPr>
          <w:rFonts w:ascii="Times New Roman" w:hAnsi="Times New Roman" w:cs="Times New Roman"/>
          <w:kern w:val="0"/>
          <w:sz w:val="24"/>
          <w:szCs w:val="24"/>
        </w:rPr>
        <w:t xml:space="preserve">. </w:t>
      </w:r>
    </w:p>
    <w:p w14:paraId="0EA8027F" w14:textId="610594C8" w:rsidR="007D4583" w:rsidRPr="00FF7A6F" w:rsidRDefault="00FF7A6F" w:rsidP="00156460">
      <w:pPr>
        <w:pStyle w:val="2"/>
        <w:spacing w:before="100" w:beforeAutospacing="1" w:after="100" w:afterAutospacing="1" w:line="240" w:lineRule="auto"/>
        <w:rPr>
          <w:rFonts w:ascii="Times New Roman" w:hAnsi="Times New Roman" w:cs="Times New Roman"/>
          <w:b/>
          <w:bCs/>
          <w:sz w:val="24"/>
          <w:szCs w:val="24"/>
        </w:rPr>
      </w:pPr>
      <w:bookmarkStart w:id="14" w:name="_Toc188337419"/>
      <w:r w:rsidRPr="00FF7A6F">
        <w:rPr>
          <w:rFonts w:ascii="Times New Roman" w:hAnsi="Times New Roman" w:cs="Times New Roman"/>
          <w:b/>
          <w:bCs/>
          <w:sz w:val="24"/>
          <w:szCs w:val="24"/>
        </w:rPr>
        <w:t>5</w:t>
      </w:r>
      <w:r w:rsidR="005A1E41" w:rsidRPr="00FF7A6F">
        <w:rPr>
          <w:rFonts w:ascii="Times New Roman" w:hAnsi="Times New Roman" w:cs="Times New Roman"/>
          <w:b/>
          <w:bCs/>
          <w:sz w:val="24"/>
          <w:szCs w:val="24"/>
        </w:rPr>
        <w:t>.</w:t>
      </w:r>
      <w:r w:rsidRPr="00FF7A6F">
        <w:rPr>
          <w:rFonts w:ascii="Times New Roman" w:hAnsi="Times New Roman" w:cs="Times New Roman"/>
          <w:b/>
          <w:bCs/>
          <w:sz w:val="24"/>
          <w:szCs w:val="24"/>
        </w:rPr>
        <w:t>3</w:t>
      </w:r>
      <w:r w:rsidR="005A1E41" w:rsidRPr="00FF7A6F">
        <w:rPr>
          <w:rFonts w:ascii="Times New Roman" w:hAnsi="Times New Roman" w:cs="Times New Roman"/>
          <w:b/>
          <w:bCs/>
          <w:sz w:val="24"/>
          <w:szCs w:val="24"/>
        </w:rPr>
        <w:t>.</w:t>
      </w:r>
      <w:r w:rsidR="00FC4D59" w:rsidRPr="00FF7A6F">
        <w:rPr>
          <w:rFonts w:ascii="Times New Roman" w:hAnsi="Times New Roman" w:cs="Times New Roman"/>
          <w:b/>
          <w:bCs/>
          <w:sz w:val="24"/>
          <w:szCs w:val="24"/>
        </w:rPr>
        <w:t xml:space="preserve"> </w:t>
      </w:r>
      <w:r w:rsidR="005A1E41" w:rsidRPr="00FF7A6F">
        <w:rPr>
          <w:rFonts w:ascii="Times New Roman" w:hAnsi="Times New Roman" w:cs="Times New Roman"/>
          <w:b/>
          <w:bCs/>
          <w:sz w:val="24"/>
          <w:szCs w:val="24"/>
        </w:rPr>
        <w:t>Актуальність</w:t>
      </w:r>
      <w:r>
        <w:rPr>
          <w:rFonts w:ascii="Times New Roman" w:hAnsi="Times New Roman" w:cs="Times New Roman"/>
          <w:b/>
          <w:bCs/>
          <w:sz w:val="24"/>
          <w:szCs w:val="24"/>
        </w:rPr>
        <w:t xml:space="preserve"> / релевантність спільної програми </w:t>
      </w:r>
      <w:r w:rsidR="005A1E41" w:rsidRPr="00FF7A6F">
        <w:rPr>
          <w:rFonts w:ascii="Times New Roman" w:hAnsi="Times New Roman" w:cs="Times New Roman"/>
          <w:b/>
          <w:bCs/>
          <w:sz w:val="24"/>
          <w:szCs w:val="24"/>
        </w:rPr>
        <w:t xml:space="preserve"> </w:t>
      </w:r>
      <w:bookmarkEnd w:id="14"/>
    </w:p>
    <w:p w14:paraId="7D55D012" w14:textId="7F817F0B" w:rsidR="007D4583" w:rsidRPr="00F43628" w:rsidRDefault="005A1E41" w:rsidP="00156460">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Актуальність </w:t>
      </w:r>
      <w:r w:rsidR="00395800" w:rsidRPr="00395800">
        <w:rPr>
          <w:rFonts w:ascii="Times New Roman" w:hAnsi="Times New Roman" w:cs="Times New Roman"/>
          <w:kern w:val="0"/>
          <w:sz w:val="24"/>
          <w:szCs w:val="24"/>
        </w:rPr>
        <w:t xml:space="preserve">релевантність спільної програми  для </w:t>
      </w:r>
      <w:r w:rsidRPr="00F43628">
        <w:rPr>
          <w:rFonts w:ascii="Times New Roman" w:hAnsi="Times New Roman" w:cs="Times New Roman"/>
          <w:kern w:val="0"/>
          <w:sz w:val="24"/>
          <w:szCs w:val="24"/>
        </w:rPr>
        <w:t xml:space="preserve">ринку праці є важливим аспектом у схемах фінансування ЄС. </w:t>
      </w:r>
      <w:r w:rsidR="00D6657B" w:rsidRPr="00F43628">
        <w:rPr>
          <w:rFonts w:ascii="Times New Roman" w:hAnsi="Times New Roman" w:cs="Times New Roman"/>
          <w:kern w:val="0"/>
          <w:sz w:val="24"/>
          <w:szCs w:val="24"/>
        </w:rPr>
        <w:t>Критерії релевантності оцінюються н</w:t>
      </w:r>
      <w:r w:rsidRPr="00F43628">
        <w:rPr>
          <w:rFonts w:ascii="Times New Roman" w:hAnsi="Times New Roman" w:cs="Times New Roman"/>
          <w:kern w:val="0"/>
          <w:sz w:val="24"/>
          <w:szCs w:val="24"/>
        </w:rPr>
        <w:t xml:space="preserve">а першому етапі відбору спільних магістерських програм </w:t>
      </w:r>
      <w:r w:rsidR="00407F7D" w:rsidRPr="00F43628">
        <w:rPr>
          <w:rFonts w:ascii="Times New Roman" w:hAnsi="Times New Roman" w:cs="Times New Roman"/>
          <w:kern w:val="0"/>
          <w:sz w:val="24"/>
          <w:szCs w:val="24"/>
        </w:rPr>
        <w:t>Erasmus</w:t>
      </w:r>
      <w:r w:rsidRPr="00F43628">
        <w:rPr>
          <w:rFonts w:ascii="Times New Roman" w:hAnsi="Times New Roman" w:cs="Times New Roman"/>
          <w:kern w:val="0"/>
          <w:sz w:val="24"/>
          <w:szCs w:val="24"/>
        </w:rPr>
        <w:t xml:space="preserve"> </w:t>
      </w:r>
      <w:r w:rsidR="00E408FC" w:rsidRPr="00F43628">
        <w:rPr>
          <w:rFonts w:ascii="Times New Roman" w:hAnsi="Times New Roman" w:cs="Times New Roman"/>
          <w:kern w:val="0"/>
          <w:sz w:val="24"/>
          <w:szCs w:val="24"/>
        </w:rPr>
        <w:t>Mundus</w:t>
      </w:r>
      <w:r w:rsidRPr="00F43628">
        <w:rPr>
          <w:rFonts w:ascii="Times New Roman" w:hAnsi="Times New Roman" w:cs="Times New Roman"/>
          <w:kern w:val="0"/>
          <w:sz w:val="24"/>
          <w:szCs w:val="24"/>
        </w:rPr>
        <w:t xml:space="preserve">. Партнерства, які подають заявки на фінансування, просять обґрунтувати запропоновану співпрацю з </w:t>
      </w:r>
      <w:r w:rsidR="00D6657B" w:rsidRPr="00F43628">
        <w:rPr>
          <w:rFonts w:ascii="Times New Roman" w:hAnsi="Times New Roman" w:cs="Times New Roman"/>
          <w:kern w:val="0"/>
          <w:sz w:val="24"/>
          <w:szCs w:val="24"/>
        </w:rPr>
        <w:t>огляду на</w:t>
      </w:r>
      <w:r w:rsidRPr="00F43628">
        <w:rPr>
          <w:rFonts w:ascii="Times New Roman" w:hAnsi="Times New Roman" w:cs="Times New Roman"/>
          <w:kern w:val="0"/>
          <w:sz w:val="24"/>
          <w:szCs w:val="24"/>
        </w:rPr>
        <w:t xml:space="preserve"> академічн</w:t>
      </w:r>
      <w:r w:rsidR="00D6657B" w:rsidRPr="00F43628">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актуальн</w:t>
      </w:r>
      <w:r w:rsidR="00D6657B" w:rsidRPr="00F43628">
        <w:rPr>
          <w:rFonts w:ascii="Times New Roman" w:hAnsi="Times New Roman" w:cs="Times New Roman"/>
          <w:kern w:val="0"/>
          <w:sz w:val="24"/>
          <w:szCs w:val="24"/>
        </w:rPr>
        <w:t>ість</w:t>
      </w:r>
      <w:r w:rsidRPr="00F43628">
        <w:rPr>
          <w:rFonts w:ascii="Times New Roman" w:hAnsi="Times New Roman" w:cs="Times New Roman"/>
          <w:kern w:val="0"/>
          <w:sz w:val="24"/>
          <w:szCs w:val="24"/>
        </w:rPr>
        <w:t>, можливості працевлаштування, між</w:t>
      </w:r>
      <w:r w:rsidR="00D6657B"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або мультидисциплінарн</w:t>
      </w:r>
      <w:r w:rsidR="00D6657B" w:rsidRPr="00F43628">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галуз</w:t>
      </w:r>
      <w:r w:rsidR="00D6657B" w:rsidRPr="00F43628">
        <w:rPr>
          <w:rFonts w:ascii="Times New Roman" w:hAnsi="Times New Roman" w:cs="Times New Roman"/>
          <w:kern w:val="0"/>
          <w:sz w:val="24"/>
          <w:szCs w:val="24"/>
        </w:rPr>
        <w:t>і</w:t>
      </w:r>
      <w:r w:rsidR="00395800">
        <w:rPr>
          <w:rFonts w:ascii="Times New Roman" w:hAnsi="Times New Roman" w:cs="Times New Roman"/>
          <w:kern w:val="0"/>
          <w:sz w:val="24"/>
          <w:szCs w:val="24"/>
        </w:rPr>
        <w:t>/спеціальності та</w:t>
      </w:r>
      <w:r w:rsidRPr="00F43628">
        <w:rPr>
          <w:rFonts w:ascii="Times New Roman" w:hAnsi="Times New Roman" w:cs="Times New Roman"/>
          <w:kern w:val="0"/>
          <w:sz w:val="24"/>
          <w:szCs w:val="24"/>
        </w:rPr>
        <w:t xml:space="preserve"> додан</w:t>
      </w:r>
      <w:r w:rsidR="00D6657B" w:rsidRPr="00F43628">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варт</w:t>
      </w:r>
      <w:r w:rsidR="00D6657B" w:rsidRPr="00F43628">
        <w:rPr>
          <w:rFonts w:ascii="Times New Roman" w:hAnsi="Times New Roman" w:cs="Times New Roman"/>
          <w:kern w:val="0"/>
          <w:sz w:val="24"/>
          <w:szCs w:val="24"/>
        </w:rPr>
        <w:t>ість у</w:t>
      </w:r>
      <w:r w:rsidRPr="00F43628">
        <w:rPr>
          <w:rFonts w:ascii="Times New Roman" w:hAnsi="Times New Roman" w:cs="Times New Roman"/>
          <w:kern w:val="0"/>
          <w:sz w:val="24"/>
          <w:szCs w:val="24"/>
        </w:rPr>
        <w:t xml:space="preserve"> порівнянні з існуючими </w:t>
      </w:r>
      <w:r w:rsidR="00395800">
        <w:rPr>
          <w:rFonts w:ascii="Times New Roman" w:hAnsi="Times New Roman" w:cs="Times New Roman"/>
          <w:kern w:val="0"/>
          <w:sz w:val="24"/>
          <w:szCs w:val="24"/>
        </w:rPr>
        <w:t xml:space="preserve">освітніми </w:t>
      </w:r>
      <w:r w:rsidRPr="00F43628">
        <w:rPr>
          <w:rFonts w:ascii="Times New Roman" w:hAnsi="Times New Roman" w:cs="Times New Roman"/>
          <w:kern w:val="0"/>
          <w:sz w:val="24"/>
          <w:szCs w:val="24"/>
        </w:rPr>
        <w:t>програмами.</w:t>
      </w:r>
    </w:p>
    <w:p w14:paraId="317F74C2" w14:textId="151741DB" w:rsidR="007D4583" w:rsidRPr="00F43628" w:rsidRDefault="00DB12AC" w:rsidP="0094404A">
      <w:pPr>
        <w:autoSpaceDE w:val="0"/>
        <w:autoSpaceDN w:val="0"/>
        <w:adjustRightInd w:val="0"/>
        <w:spacing w:after="12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w:t>
      </w:r>
      <w:r w:rsidR="005A1E41" w:rsidRPr="00F43628">
        <w:rPr>
          <w:rFonts w:ascii="Times New Roman" w:hAnsi="Times New Roman" w:cs="Times New Roman"/>
          <w:kern w:val="0"/>
          <w:sz w:val="24"/>
          <w:szCs w:val="24"/>
        </w:rPr>
        <w:t>ішення про акредитацію</w:t>
      </w:r>
      <w:r w:rsidR="00D6657B"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також значною мірою ґрунтується на актуальності та доданій вартості запропонованих нових спільних програм. Тому на етапі розроб</w:t>
      </w:r>
      <w:r>
        <w:rPr>
          <w:rFonts w:ascii="Times New Roman" w:hAnsi="Times New Roman" w:cs="Times New Roman"/>
          <w:kern w:val="0"/>
          <w:sz w:val="24"/>
          <w:szCs w:val="24"/>
        </w:rPr>
        <w:t>лення спільної програми</w:t>
      </w:r>
      <w:r w:rsidR="005A1E41" w:rsidRPr="00F43628">
        <w:rPr>
          <w:rFonts w:ascii="Times New Roman" w:hAnsi="Times New Roman" w:cs="Times New Roman"/>
          <w:kern w:val="0"/>
          <w:sz w:val="24"/>
          <w:szCs w:val="24"/>
        </w:rPr>
        <w:t xml:space="preserve"> бажано залучати неакадемічн</w:t>
      </w:r>
      <w:r w:rsidR="00A634B6" w:rsidRPr="00F43628">
        <w:rPr>
          <w:rFonts w:ascii="Times New Roman" w:hAnsi="Times New Roman" w:cs="Times New Roman"/>
          <w:kern w:val="0"/>
          <w:sz w:val="24"/>
          <w:szCs w:val="24"/>
        </w:rPr>
        <w:t>их стейк</w:t>
      </w:r>
      <w:r>
        <w:rPr>
          <w:rFonts w:ascii="Times New Roman" w:hAnsi="Times New Roman" w:cs="Times New Roman"/>
          <w:kern w:val="0"/>
          <w:sz w:val="24"/>
          <w:szCs w:val="24"/>
        </w:rPr>
        <w:t>гол</w:t>
      </w:r>
      <w:r w:rsidR="00A634B6" w:rsidRPr="00F43628">
        <w:rPr>
          <w:rFonts w:ascii="Times New Roman" w:hAnsi="Times New Roman" w:cs="Times New Roman"/>
          <w:kern w:val="0"/>
          <w:sz w:val="24"/>
          <w:szCs w:val="24"/>
        </w:rPr>
        <w:t>дерів</w:t>
      </w:r>
      <w:r w:rsidR="005A1E41" w:rsidRPr="00F43628">
        <w:rPr>
          <w:rFonts w:ascii="Times New Roman" w:hAnsi="Times New Roman" w:cs="Times New Roman"/>
          <w:kern w:val="0"/>
          <w:sz w:val="24"/>
          <w:szCs w:val="24"/>
        </w:rPr>
        <w:t xml:space="preserve"> у </w:t>
      </w:r>
      <w:r w:rsidR="00E73E7C">
        <w:rPr>
          <w:rFonts w:ascii="Times New Roman" w:hAnsi="Times New Roman" w:cs="Times New Roman"/>
          <w:kern w:val="0"/>
          <w:sz w:val="24"/>
          <w:szCs w:val="24"/>
        </w:rPr>
        <w:t>відповідній</w:t>
      </w:r>
      <w:r w:rsidR="005A1E41" w:rsidRPr="00F43628">
        <w:rPr>
          <w:rFonts w:ascii="Times New Roman" w:hAnsi="Times New Roman" w:cs="Times New Roman"/>
          <w:kern w:val="0"/>
          <w:sz w:val="24"/>
          <w:szCs w:val="24"/>
        </w:rPr>
        <w:t xml:space="preserve"> предметній </w:t>
      </w:r>
      <w:r w:rsidR="004615F4">
        <w:rPr>
          <w:rFonts w:ascii="Times New Roman" w:hAnsi="Times New Roman" w:cs="Times New Roman"/>
          <w:kern w:val="0"/>
          <w:sz w:val="24"/>
          <w:szCs w:val="24"/>
        </w:rPr>
        <w:t>області</w:t>
      </w:r>
      <w:r w:rsidR="005A1E41" w:rsidRPr="00F43628">
        <w:rPr>
          <w:rFonts w:ascii="Times New Roman" w:hAnsi="Times New Roman" w:cs="Times New Roman"/>
          <w:kern w:val="0"/>
          <w:sz w:val="24"/>
          <w:szCs w:val="24"/>
        </w:rPr>
        <w:t xml:space="preserve"> та консультуватися з ними, щоб переконатися, що </w:t>
      </w:r>
      <w:r w:rsidR="00E73E7C">
        <w:rPr>
          <w:rFonts w:ascii="Times New Roman" w:hAnsi="Times New Roman" w:cs="Times New Roman"/>
          <w:kern w:val="0"/>
          <w:sz w:val="24"/>
          <w:szCs w:val="24"/>
        </w:rPr>
        <w:t>за</w:t>
      </w:r>
      <w:r w:rsidR="00E73E7C" w:rsidRPr="00F43628">
        <w:rPr>
          <w:rFonts w:ascii="Times New Roman" w:hAnsi="Times New Roman" w:cs="Times New Roman"/>
          <w:kern w:val="0"/>
          <w:sz w:val="24"/>
          <w:szCs w:val="24"/>
        </w:rPr>
        <w:t>план</w:t>
      </w:r>
      <w:r w:rsidR="00E73E7C">
        <w:rPr>
          <w:rFonts w:ascii="Times New Roman" w:hAnsi="Times New Roman" w:cs="Times New Roman"/>
          <w:kern w:val="0"/>
          <w:sz w:val="24"/>
          <w:szCs w:val="24"/>
        </w:rPr>
        <w:t>ована</w:t>
      </w:r>
      <w:r w:rsidR="00E73E7C"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спільна</w:t>
      </w:r>
      <w:r w:rsidR="00FC4D59"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програма</w:t>
      </w:r>
      <w:r w:rsidR="00FC4D59"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є актуальною для</w:t>
      </w:r>
      <w:r w:rsidR="00FC4D59"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ринку</w:t>
      </w:r>
      <w:r w:rsidR="00FC4D59" w:rsidRPr="00F43628">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праці, суспільства або досліджень.</w:t>
      </w:r>
      <w:r w:rsidR="00FC4D59" w:rsidRPr="00F43628">
        <w:rPr>
          <w:rFonts w:ascii="Times New Roman" w:hAnsi="Times New Roman" w:cs="Times New Roman"/>
          <w:kern w:val="0"/>
          <w:sz w:val="24"/>
          <w:szCs w:val="24"/>
        </w:rPr>
        <w:t xml:space="preserve"> </w:t>
      </w:r>
    </w:p>
    <w:p w14:paraId="3A95BFCC" w14:textId="4DDD7455" w:rsidR="007D4583" w:rsidRPr="00F43628" w:rsidRDefault="005A1E41" w:rsidP="008913A2">
      <w:p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Сприяння працевлаштуванню має важливе значення</w:t>
      </w:r>
      <w:r w:rsidR="00E73E7C">
        <w:rPr>
          <w:rFonts w:ascii="Times New Roman" w:hAnsi="Times New Roman" w:cs="Times New Roman"/>
          <w:kern w:val="0"/>
          <w:sz w:val="24"/>
          <w:szCs w:val="24"/>
        </w:rPr>
        <w:t>, адже</w:t>
      </w:r>
      <w:r w:rsidRPr="00F43628">
        <w:rPr>
          <w:rFonts w:ascii="Times New Roman" w:hAnsi="Times New Roman" w:cs="Times New Roman"/>
          <w:kern w:val="0"/>
          <w:sz w:val="24"/>
          <w:szCs w:val="24"/>
        </w:rPr>
        <w:t xml:space="preserve"> випускники спільних програм потребують відповідної роботи, а високий рівень працевлаштування випускників дозволяє програмі підвищити свій престиж і розраховувати на </w:t>
      </w:r>
      <w:r w:rsidR="00E73E7C">
        <w:rPr>
          <w:rFonts w:ascii="Times New Roman" w:hAnsi="Times New Roman" w:cs="Times New Roman"/>
          <w:kern w:val="0"/>
          <w:sz w:val="24"/>
          <w:szCs w:val="24"/>
        </w:rPr>
        <w:t xml:space="preserve">збільшення вступників, а  також на підтримку </w:t>
      </w:r>
      <w:r w:rsidR="0072174B" w:rsidRPr="00F43628">
        <w:rPr>
          <w:rFonts w:ascii="Times New Roman" w:hAnsi="Times New Roman" w:cs="Times New Roman"/>
          <w:kern w:val="0"/>
          <w:sz w:val="24"/>
          <w:szCs w:val="24"/>
        </w:rPr>
        <w:t xml:space="preserve">випускників у </w:t>
      </w:r>
      <w:r w:rsidRPr="00F43628">
        <w:rPr>
          <w:rFonts w:ascii="Times New Roman" w:hAnsi="Times New Roman" w:cs="Times New Roman"/>
          <w:kern w:val="0"/>
          <w:sz w:val="24"/>
          <w:szCs w:val="24"/>
        </w:rPr>
        <w:t>просуванн</w:t>
      </w:r>
      <w:r w:rsidR="0072174B" w:rsidRPr="00F43628">
        <w:rPr>
          <w:rFonts w:ascii="Times New Roman" w:hAnsi="Times New Roman" w:cs="Times New Roman"/>
          <w:kern w:val="0"/>
          <w:sz w:val="24"/>
          <w:szCs w:val="24"/>
        </w:rPr>
        <w:t>і</w:t>
      </w:r>
      <w:r w:rsidR="00E73E7C">
        <w:rPr>
          <w:rFonts w:ascii="Times New Roman" w:hAnsi="Times New Roman" w:cs="Times New Roman"/>
          <w:kern w:val="0"/>
          <w:sz w:val="24"/>
          <w:szCs w:val="24"/>
        </w:rPr>
        <w:t xml:space="preserve"> програми</w:t>
      </w:r>
      <w:r w:rsidRPr="00F43628">
        <w:rPr>
          <w:rFonts w:ascii="Times New Roman" w:hAnsi="Times New Roman" w:cs="Times New Roman"/>
          <w:kern w:val="0"/>
          <w:sz w:val="24"/>
          <w:szCs w:val="24"/>
        </w:rPr>
        <w:t>, участ</w:t>
      </w:r>
      <w:r w:rsidR="0072174B" w:rsidRPr="00F43628">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у виклада</w:t>
      </w:r>
      <w:r w:rsidR="0072174B" w:rsidRPr="00F43628">
        <w:rPr>
          <w:rFonts w:ascii="Times New Roman" w:hAnsi="Times New Roman" w:cs="Times New Roman"/>
          <w:kern w:val="0"/>
          <w:sz w:val="24"/>
          <w:szCs w:val="24"/>
        </w:rPr>
        <w:t>нні</w:t>
      </w:r>
      <w:r w:rsidRPr="00F43628">
        <w:rPr>
          <w:rFonts w:ascii="Times New Roman" w:hAnsi="Times New Roman" w:cs="Times New Roman"/>
          <w:kern w:val="0"/>
          <w:sz w:val="24"/>
          <w:szCs w:val="24"/>
        </w:rPr>
        <w:t xml:space="preserve"> чи</w:t>
      </w:r>
      <w:r w:rsidR="0072174B" w:rsidRPr="00F43628">
        <w:rPr>
          <w:rFonts w:ascii="Times New Roman" w:hAnsi="Times New Roman" w:cs="Times New Roman"/>
          <w:kern w:val="0"/>
          <w:sz w:val="24"/>
          <w:szCs w:val="24"/>
        </w:rPr>
        <w:t xml:space="preserve"> забезпеченні можливостей</w:t>
      </w:r>
      <w:r w:rsidRPr="00F43628">
        <w:rPr>
          <w:rFonts w:ascii="Times New Roman" w:hAnsi="Times New Roman" w:cs="Times New Roman"/>
          <w:kern w:val="0"/>
          <w:sz w:val="24"/>
          <w:szCs w:val="24"/>
        </w:rPr>
        <w:t xml:space="preserve"> </w:t>
      </w:r>
      <w:r w:rsidR="00E73E7C">
        <w:rPr>
          <w:rFonts w:ascii="Times New Roman" w:hAnsi="Times New Roman" w:cs="Times New Roman"/>
          <w:kern w:val="0"/>
          <w:sz w:val="24"/>
          <w:szCs w:val="24"/>
        </w:rPr>
        <w:t xml:space="preserve">для практики, </w:t>
      </w:r>
      <w:r w:rsidRPr="00F43628">
        <w:rPr>
          <w:rFonts w:ascii="Times New Roman" w:hAnsi="Times New Roman" w:cs="Times New Roman"/>
          <w:kern w:val="0"/>
          <w:sz w:val="24"/>
          <w:szCs w:val="24"/>
        </w:rPr>
        <w:t>стажуванн</w:t>
      </w:r>
      <w:r w:rsidR="0072174B" w:rsidRPr="00F43628">
        <w:rPr>
          <w:rFonts w:ascii="Times New Roman" w:hAnsi="Times New Roman" w:cs="Times New Roman"/>
          <w:kern w:val="0"/>
          <w:sz w:val="24"/>
          <w:szCs w:val="24"/>
        </w:rPr>
        <w:t>я</w:t>
      </w:r>
      <w:r w:rsidRPr="00F43628">
        <w:rPr>
          <w:rFonts w:ascii="Times New Roman" w:hAnsi="Times New Roman" w:cs="Times New Roman"/>
          <w:kern w:val="0"/>
          <w:sz w:val="24"/>
          <w:szCs w:val="24"/>
        </w:rPr>
        <w:t>.</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Однак, </w:t>
      </w:r>
      <w:r w:rsidR="008913A2">
        <w:rPr>
          <w:rFonts w:ascii="Times New Roman" w:hAnsi="Times New Roman" w:cs="Times New Roman"/>
          <w:kern w:val="0"/>
          <w:sz w:val="24"/>
          <w:szCs w:val="24"/>
        </w:rPr>
        <w:t>у</w:t>
      </w:r>
      <w:r w:rsidRPr="00F43628">
        <w:rPr>
          <w:rFonts w:ascii="Times New Roman" w:hAnsi="Times New Roman" w:cs="Times New Roman"/>
          <w:kern w:val="0"/>
          <w:sz w:val="24"/>
          <w:szCs w:val="24"/>
        </w:rPr>
        <w:t>раховуючи інтегровану мобільність і</w:t>
      </w:r>
      <w:r w:rsidR="008913A2">
        <w:rPr>
          <w:rFonts w:ascii="Times New Roman" w:hAnsi="Times New Roman" w:cs="Times New Roman"/>
          <w:kern w:val="0"/>
          <w:sz w:val="24"/>
          <w:szCs w:val="24"/>
        </w:rPr>
        <w:t>, за наявності,</w:t>
      </w:r>
      <w:r w:rsidRPr="00F43628">
        <w:rPr>
          <w:rFonts w:ascii="Times New Roman" w:hAnsi="Times New Roman" w:cs="Times New Roman"/>
          <w:kern w:val="0"/>
          <w:sz w:val="24"/>
          <w:szCs w:val="24"/>
        </w:rPr>
        <w:t xml:space="preserve"> міжнародний характер спільних програм, студенти мають </w:t>
      </w:r>
      <w:r w:rsidR="005B6484">
        <w:rPr>
          <w:rFonts w:ascii="Times New Roman" w:hAnsi="Times New Roman" w:cs="Times New Roman"/>
          <w:kern w:val="0"/>
          <w:sz w:val="24"/>
          <w:szCs w:val="24"/>
        </w:rPr>
        <w:t xml:space="preserve">обмежений </w:t>
      </w:r>
      <w:r w:rsidRPr="00F43628">
        <w:rPr>
          <w:rFonts w:ascii="Times New Roman" w:hAnsi="Times New Roman" w:cs="Times New Roman"/>
          <w:kern w:val="0"/>
          <w:sz w:val="24"/>
          <w:szCs w:val="24"/>
        </w:rPr>
        <w:t xml:space="preserve">час на формування </w:t>
      </w:r>
      <w:r w:rsidR="008913A2">
        <w:rPr>
          <w:rFonts w:ascii="Times New Roman" w:hAnsi="Times New Roman" w:cs="Times New Roman"/>
          <w:kern w:val="0"/>
          <w:sz w:val="24"/>
          <w:szCs w:val="24"/>
        </w:rPr>
        <w:t>стійких</w:t>
      </w:r>
      <w:r w:rsidRPr="00F43628">
        <w:rPr>
          <w:rFonts w:ascii="Times New Roman" w:hAnsi="Times New Roman" w:cs="Times New Roman"/>
          <w:kern w:val="0"/>
          <w:sz w:val="24"/>
          <w:szCs w:val="24"/>
        </w:rPr>
        <w:t xml:space="preserve"> відносин з місцевим ринком праці та роботодавцями.</w:t>
      </w:r>
      <w:r w:rsidR="008913A2">
        <w:rPr>
          <w:rFonts w:ascii="Times New Roman" w:hAnsi="Times New Roman" w:cs="Times New Roman"/>
          <w:kern w:val="0"/>
          <w:sz w:val="24"/>
          <w:szCs w:val="24"/>
        </w:rPr>
        <w:t xml:space="preserve"> Отже, </w:t>
      </w:r>
      <w:r w:rsidR="00BE15BF" w:rsidRPr="00F43628">
        <w:rPr>
          <w:rFonts w:ascii="Times New Roman" w:hAnsi="Times New Roman" w:cs="Times New Roman"/>
          <w:color w:val="000000"/>
          <w:kern w:val="0"/>
          <w:sz w:val="24"/>
          <w:szCs w:val="24"/>
        </w:rPr>
        <w:t xml:space="preserve">елементи </w:t>
      </w:r>
      <w:r w:rsidR="008913A2">
        <w:rPr>
          <w:rFonts w:ascii="Times New Roman" w:hAnsi="Times New Roman" w:cs="Times New Roman"/>
          <w:color w:val="000000"/>
          <w:kern w:val="0"/>
          <w:sz w:val="24"/>
          <w:szCs w:val="24"/>
        </w:rPr>
        <w:t xml:space="preserve">практичної підготовки </w:t>
      </w:r>
      <w:r w:rsidR="000C57EC">
        <w:rPr>
          <w:rFonts w:ascii="Times New Roman" w:hAnsi="Times New Roman" w:cs="Times New Roman"/>
          <w:color w:val="000000"/>
          <w:kern w:val="0"/>
          <w:sz w:val="24"/>
          <w:szCs w:val="24"/>
        </w:rPr>
        <w:t xml:space="preserve">та зв’язки з ринком праці </w:t>
      </w:r>
      <w:r w:rsidR="007D4583" w:rsidRPr="00F43628">
        <w:rPr>
          <w:rFonts w:ascii="Times New Roman" w:hAnsi="Times New Roman" w:cs="Times New Roman"/>
          <w:color w:val="000000"/>
          <w:kern w:val="0"/>
          <w:sz w:val="24"/>
          <w:szCs w:val="24"/>
        </w:rPr>
        <w:t>можна інтегрувати</w:t>
      </w:r>
      <w:r w:rsidR="00BE15BF" w:rsidRPr="00F43628">
        <w:rPr>
          <w:rFonts w:ascii="Times New Roman" w:hAnsi="Times New Roman" w:cs="Times New Roman"/>
          <w:color w:val="000000"/>
          <w:kern w:val="0"/>
          <w:sz w:val="24"/>
          <w:szCs w:val="24"/>
        </w:rPr>
        <w:t xml:space="preserve"> через</w:t>
      </w:r>
      <w:r w:rsidR="007D4583" w:rsidRPr="00F43628">
        <w:rPr>
          <w:rFonts w:ascii="Times New Roman" w:hAnsi="Times New Roman" w:cs="Times New Roman"/>
          <w:color w:val="000000"/>
          <w:kern w:val="0"/>
          <w:sz w:val="24"/>
          <w:szCs w:val="24"/>
        </w:rPr>
        <w:t>:</w:t>
      </w:r>
    </w:p>
    <w:p w14:paraId="7BE7A101" w14:textId="3AD60AA3" w:rsidR="007D4583" w:rsidRPr="00F43628" w:rsidRDefault="008913A2"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залучення </w:t>
      </w:r>
      <w:r w:rsidR="005A1E41" w:rsidRPr="00F43628">
        <w:rPr>
          <w:rFonts w:ascii="Times New Roman" w:hAnsi="Times New Roman" w:cs="Times New Roman"/>
          <w:kern w:val="0"/>
          <w:sz w:val="24"/>
          <w:szCs w:val="24"/>
        </w:rPr>
        <w:t>представників промисловості</w:t>
      </w:r>
      <w:r>
        <w:rPr>
          <w:rFonts w:ascii="Times New Roman" w:hAnsi="Times New Roman" w:cs="Times New Roman"/>
          <w:kern w:val="0"/>
          <w:sz w:val="24"/>
          <w:szCs w:val="24"/>
        </w:rPr>
        <w:t xml:space="preserve">, бізнесу у наглядовій </w:t>
      </w:r>
      <w:r w:rsidRPr="00F43628">
        <w:rPr>
          <w:rFonts w:ascii="Times New Roman" w:hAnsi="Times New Roman" w:cs="Times New Roman"/>
          <w:kern w:val="0"/>
          <w:sz w:val="24"/>
          <w:szCs w:val="24"/>
        </w:rPr>
        <w:t>рад</w:t>
      </w:r>
      <w:r>
        <w:rPr>
          <w:rFonts w:ascii="Times New Roman" w:hAnsi="Times New Roman" w:cs="Times New Roman"/>
          <w:kern w:val="0"/>
          <w:sz w:val="24"/>
          <w:szCs w:val="24"/>
        </w:rPr>
        <w:t>і закладу;</w:t>
      </w:r>
    </w:p>
    <w:p w14:paraId="25234A5A" w14:textId="4FE7D099" w:rsidR="007D4583" w:rsidRPr="00F43628" w:rsidRDefault="000C57EC"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спільні заходи</w:t>
      </w:r>
      <w:r w:rsidR="005A1E41" w:rsidRPr="00F43628">
        <w:rPr>
          <w:rFonts w:ascii="Times New Roman" w:hAnsi="Times New Roman" w:cs="Times New Roman"/>
          <w:kern w:val="0"/>
          <w:sz w:val="24"/>
          <w:szCs w:val="24"/>
        </w:rPr>
        <w:t xml:space="preserve"> з бізнесом, науков</w:t>
      </w:r>
      <w:r w:rsidR="008913A2">
        <w:rPr>
          <w:rFonts w:ascii="Times New Roman" w:hAnsi="Times New Roman" w:cs="Times New Roman"/>
          <w:kern w:val="0"/>
          <w:sz w:val="24"/>
          <w:szCs w:val="24"/>
        </w:rPr>
        <w:t>ими установами</w:t>
      </w:r>
      <w:r w:rsidR="005A1E41" w:rsidRPr="00F43628">
        <w:rPr>
          <w:rFonts w:ascii="Times New Roman" w:hAnsi="Times New Roman" w:cs="Times New Roman"/>
          <w:kern w:val="0"/>
          <w:sz w:val="24"/>
          <w:szCs w:val="24"/>
        </w:rPr>
        <w:t>, професійними та науковими асоціаціями</w:t>
      </w:r>
      <w:r w:rsidR="008913A2">
        <w:rPr>
          <w:rFonts w:ascii="Times New Roman" w:hAnsi="Times New Roman" w:cs="Times New Roman"/>
          <w:kern w:val="0"/>
          <w:sz w:val="24"/>
          <w:szCs w:val="24"/>
        </w:rPr>
        <w:t>;</w:t>
      </w:r>
    </w:p>
    <w:p w14:paraId="5380F98F" w14:textId="62DF8FE9" w:rsidR="007D4583" w:rsidRPr="00F43628" w:rsidRDefault="008913A2"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спільне з представниками професійної сфери керівництво підготовкою </w:t>
      </w:r>
      <w:r w:rsidR="005A1E41" w:rsidRPr="00F43628">
        <w:rPr>
          <w:rFonts w:ascii="Times New Roman" w:hAnsi="Times New Roman" w:cs="Times New Roman"/>
          <w:kern w:val="0"/>
          <w:sz w:val="24"/>
          <w:szCs w:val="24"/>
        </w:rPr>
        <w:t>дисертаці</w:t>
      </w:r>
      <w:r>
        <w:rPr>
          <w:rFonts w:ascii="Times New Roman" w:hAnsi="Times New Roman" w:cs="Times New Roman"/>
          <w:kern w:val="0"/>
          <w:sz w:val="24"/>
          <w:szCs w:val="24"/>
        </w:rPr>
        <w:t>ї</w:t>
      </w:r>
      <w:r w:rsidR="005A1E41" w:rsidRPr="00F43628">
        <w:rPr>
          <w:rFonts w:ascii="Times New Roman" w:hAnsi="Times New Roman" w:cs="Times New Roman"/>
          <w:kern w:val="0"/>
          <w:sz w:val="24"/>
          <w:szCs w:val="24"/>
        </w:rPr>
        <w:t>/</w:t>
      </w:r>
      <w:r>
        <w:rPr>
          <w:rFonts w:ascii="Times New Roman" w:hAnsi="Times New Roman" w:cs="Times New Roman"/>
          <w:kern w:val="0"/>
          <w:sz w:val="24"/>
          <w:szCs w:val="24"/>
        </w:rPr>
        <w:t>дипломної</w:t>
      </w:r>
      <w:r w:rsidR="005A1E41" w:rsidRPr="00F43628">
        <w:rPr>
          <w:rFonts w:ascii="Times New Roman" w:hAnsi="Times New Roman" w:cs="Times New Roman"/>
          <w:kern w:val="0"/>
          <w:sz w:val="24"/>
          <w:szCs w:val="24"/>
        </w:rPr>
        <w:t xml:space="preserve"> робот</w:t>
      </w:r>
      <w:r>
        <w:rPr>
          <w:rFonts w:ascii="Times New Roman" w:hAnsi="Times New Roman" w:cs="Times New Roman"/>
          <w:kern w:val="0"/>
          <w:sz w:val="24"/>
          <w:szCs w:val="24"/>
        </w:rPr>
        <w:t>и;</w:t>
      </w:r>
    </w:p>
    <w:p w14:paraId="1BAEC9A7" w14:textId="511EE1B9" w:rsidR="007D4583" w:rsidRPr="00F43628" w:rsidRDefault="008913A2"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залучення академічних і </w:t>
      </w:r>
      <w:r w:rsidR="005A1E41" w:rsidRPr="00F43628">
        <w:rPr>
          <w:rFonts w:ascii="Times New Roman" w:hAnsi="Times New Roman" w:cs="Times New Roman"/>
          <w:kern w:val="0"/>
          <w:sz w:val="24"/>
          <w:szCs w:val="24"/>
        </w:rPr>
        <w:t>неакадемічн</w:t>
      </w:r>
      <w:r w:rsidR="00BE15BF" w:rsidRPr="00F43628">
        <w:rPr>
          <w:rFonts w:ascii="Times New Roman" w:hAnsi="Times New Roman" w:cs="Times New Roman"/>
          <w:kern w:val="0"/>
          <w:sz w:val="24"/>
          <w:szCs w:val="24"/>
        </w:rPr>
        <w:t>их</w:t>
      </w:r>
      <w:r w:rsidR="005A1E41" w:rsidRPr="00F43628">
        <w:rPr>
          <w:rFonts w:ascii="Times New Roman" w:hAnsi="Times New Roman" w:cs="Times New Roman"/>
          <w:kern w:val="0"/>
          <w:sz w:val="24"/>
          <w:szCs w:val="24"/>
        </w:rPr>
        <w:t xml:space="preserve"> партнер</w:t>
      </w:r>
      <w:r w:rsidR="00BE15BF" w:rsidRPr="00F43628">
        <w:rPr>
          <w:rFonts w:ascii="Times New Roman" w:hAnsi="Times New Roman" w:cs="Times New Roman"/>
          <w:kern w:val="0"/>
          <w:sz w:val="24"/>
          <w:szCs w:val="24"/>
        </w:rPr>
        <w:t>ів</w:t>
      </w:r>
      <w:r w:rsidR="000C57EC">
        <w:rPr>
          <w:rFonts w:ascii="Times New Roman" w:hAnsi="Times New Roman" w:cs="Times New Roman"/>
          <w:kern w:val="0"/>
          <w:sz w:val="24"/>
          <w:szCs w:val="24"/>
        </w:rPr>
        <w:t xml:space="preserve"> </w:t>
      </w:r>
      <w:r w:rsidR="005A1E41" w:rsidRPr="00F43628">
        <w:rPr>
          <w:rFonts w:ascii="Times New Roman" w:hAnsi="Times New Roman" w:cs="Times New Roman"/>
          <w:kern w:val="0"/>
          <w:sz w:val="24"/>
          <w:szCs w:val="24"/>
        </w:rPr>
        <w:t>до</w:t>
      </w:r>
      <w:r>
        <w:rPr>
          <w:rFonts w:ascii="Times New Roman" w:hAnsi="Times New Roman" w:cs="Times New Roman"/>
          <w:kern w:val="0"/>
          <w:sz w:val="24"/>
          <w:szCs w:val="24"/>
        </w:rPr>
        <w:t xml:space="preserve"> проведення майстер-класів, </w:t>
      </w:r>
      <w:r w:rsidR="005A1E41" w:rsidRPr="00F43628">
        <w:rPr>
          <w:rFonts w:ascii="Times New Roman" w:hAnsi="Times New Roman" w:cs="Times New Roman"/>
          <w:kern w:val="0"/>
          <w:sz w:val="24"/>
          <w:szCs w:val="24"/>
        </w:rPr>
        <w:t>інтенсивних курсів/літніх</w:t>
      </w:r>
      <w:r>
        <w:rPr>
          <w:rFonts w:ascii="Times New Roman" w:hAnsi="Times New Roman" w:cs="Times New Roman"/>
          <w:kern w:val="0"/>
          <w:sz w:val="24"/>
          <w:szCs w:val="24"/>
        </w:rPr>
        <w:t>/зимових</w:t>
      </w:r>
      <w:r w:rsidR="005A1E41" w:rsidRPr="00F43628">
        <w:rPr>
          <w:rFonts w:ascii="Times New Roman" w:hAnsi="Times New Roman" w:cs="Times New Roman"/>
          <w:kern w:val="0"/>
          <w:sz w:val="24"/>
          <w:szCs w:val="24"/>
        </w:rPr>
        <w:t xml:space="preserve"> шкіл</w:t>
      </w:r>
      <w:r>
        <w:rPr>
          <w:rFonts w:ascii="Times New Roman" w:hAnsi="Times New Roman" w:cs="Times New Roman"/>
          <w:kern w:val="0"/>
          <w:sz w:val="24"/>
          <w:szCs w:val="24"/>
        </w:rPr>
        <w:t>;</w:t>
      </w:r>
    </w:p>
    <w:p w14:paraId="51B2C134" w14:textId="23B0A1BD"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візити</w:t>
      </w:r>
      <w:r w:rsidR="008913A2">
        <w:rPr>
          <w:rFonts w:ascii="Times New Roman" w:hAnsi="Times New Roman" w:cs="Times New Roman"/>
          <w:kern w:val="0"/>
          <w:sz w:val="24"/>
          <w:szCs w:val="24"/>
        </w:rPr>
        <w:t>-зустрічі</w:t>
      </w:r>
      <w:r w:rsidRPr="00F43628">
        <w:rPr>
          <w:rFonts w:ascii="Times New Roman" w:hAnsi="Times New Roman" w:cs="Times New Roman"/>
          <w:kern w:val="0"/>
          <w:sz w:val="24"/>
          <w:szCs w:val="24"/>
        </w:rPr>
        <w:t xml:space="preserve"> роботодавців</w:t>
      </w:r>
      <w:r w:rsidR="008E0A33">
        <w:rPr>
          <w:rFonts w:ascii="Times New Roman" w:hAnsi="Times New Roman" w:cs="Times New Roman"/>
          <w:kern w:val="0"/>
          <w:sz w:val="24"/>
          <w:szCs w:val="24"/>
        </w:rPr>
        <w:t>, дослідників</w:t>
      </w:r>
      <w:r w:rsidR="008913A2">
        <w:rPr>
          <w:rFonts w:ascii="Times New Roman" w:hAnsi="Times New Roman" w:cs="Times New Roman"/>
          <w:kern w:val="0"/>
          <w:sz w:val="24"/>
          <w:szCs w:val="24"/>
        </w:rPr>
        <w:t xml:space="preserve"> із студентами;</w:t>
      </w:r>
    </w:p>
    <w:p w14:paraId="20A5BFC9" w14:textId="2B46529D"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практичні </w:t>
      </w:r>
      <w:r w:rsidR="00554715" w:rsidRPr="00F43628">
        <w:rPr>
          <w:rFonts w:ascii="Times New Roman" w:hAnsi="Times New Roman" w:cs="Times New Roman"/>
          <w:kern w:val="0"/>
          <w:sz w:val="24"/>
          <w:szCs w:val="24"/>
        </w:rPr>
        <w:t xml:space="preserve">навчальні та дослідницькі проєкти </w:t>
      </w:r>
      <w:r w:rsidR="008913A2">
        <w:rPr>
          <w:rFonts w:ascii="Times New Roman" w:hAnsi="Times New Roman" w:cs="Times New Roman"/>
          <w:kern w:val="0"/>
          <w:sz w:val="24"/>
          <w:szCs w:val="24"/>
        </w:rPr>
        <w:t>і</w:t>
      </w:r>
      <w:r w:rsidR="00554715" w:rsidRPr="00F43628">
        <w:rPr>
          <w:rFonts w:ascii="Times New Roman" w:hAnsi="Times New Roman" w:cs="Times New Roman"/>
          <w:kern w:val="0"/>
          <w:sz w:val="24"/>
          <w:szCs w:val="24"/>
        </w:rPr>
        <w:t xml:space="preserve">з </w:t>
      </w:r>
      <w:r w:rsidR="008913A2">
        <w:rPr>
          <w:rFonts w:ascii="Times New Roman" w:hAnsi="Times New Roman" w:cs="Times New Roman"/>
          <w:kern w:val="0"/>
          <w:sz w:val="24"/>
          <w:szCs w:val="24"/>
        </w:rPr>
        <w:t>сфери професійної діяльності;</w:t>
      </w:r>
    </w:p>
    <w:p w14:paraId="0F20B711" w14:textId="34648344"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контакти </w:t>
      </w:r>
      <w:r w:rsidR="008E0A33">
        <w:rPr>
          <w:rFonts w:ascii="Times New Roman" w:hAnsi="Times New Roman" w:cs="Times New Roman"/>
          <w:kern w:val="0"/>
          <w:sz w:val="24"/>
          <w:szCs w:val="24"/>
        </w:rPr>
        <w:t xml:space="preserve">з </w:t>
      </w:r>
      <w:r w:rsidRPr="00F43628">
        <w:rPr>
          <w:rFonts w:ascii="Times New Roman" w:hAnsi="Times New Roman" w:cs="Times New Roman"/>
          <w:kern w:val="0"/>
          <w:sz w:val="24"/>
          <w:szCs w:val="24"/>
        </w:rPr>
        <w:t>випускник</w:t>
      </w:r>
      <w:r w:rsidR="008E0A33">
        <w:rPr>
          <w:rFonts w:ascii="Times New Roman" w:hAnsi="Times New Roman" w:cs="Times New Roman"/>
          <w:kern w:val="0"/>
          <w:sz w:val="24"/>
          <w:szCs w:val="24"/>
        </w:rPr>
        <w:t>ами</w:t>
      </w:r>
      <w:r w:rsidRPr="00F43628">
        <w:rPr>
          <w:rFonts w:ascii="Times New Roman" w:hAnsi="Times New Roman" w:cs="Times New Roman"/>
          <w:kern w:val="0"/>
          <w:sz w:val="24"/>
          <w:szCs w:val="24"/>
        </w:rPr>
        <w:t>, опитування, актуальн</w:t>
      </w:r>
      <w:r w:rsidR="00554715" w:rsidRPr="00F43628">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статистик</w:t>
      </w:r>
      <w:r w:rsidR="00554715" w:rsidRPr="00F43628">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працевлаштування</w:t>
      </w:r>
      <w:r w:rsidR="008E0A33">
        <w:rPr>
          <w:rFonts w:ascii="Times New Roman" w:hAnsi="Times New Roman" w:cs="Times New Roman"/>
          <w:kern w:val="0"/>
          <w:sz w:val="24"/>
          <w:szCs w:val="24"/>
        </w:rPr>
        <w:t>;</w:t>
      </w:r>
    </w:p>
    <w:p w14:paraId="410D6D65" w14:textId="65E4B851"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ярмарки роботодавців у кампусі</w:t>
      </w:r>
      <w:r w:rsidR="00554715" w:rsidRPr="00F43628">
        <w:rPr>
          <w:rFonts w:ascii="Times New Roman" w:hAnsi="Times New Roman" w:cs="Times New Roman"/>
          <w:kern w:val="0"/>
          <w:sz w:val="24"/>
          <w:szCs w:val="24"/>
        </w:rPr>
        <w:t xml:space="preserve">, </w:t>
      </w:r>
      <w:r w:rsidR="008E0A33" w:rsidRPr="00F43628">
        <w:rPr>
          <w:rFonts w:ascii="Times New Roman" w:hAnsi="Times New Roman" w:cs="Times New Roman"/>
          <w:kern w:val="0"/>
          <w:sz w:val="24"/>
          <w:szCs w:val="24"/>
        </w:rPr>
        <w:t>сесії з розвитку кар’єри</w:t>
      </w:r>
      <w:r w:rsidR="008E0A33">
        <w:rPr>
          <w:rFonts w:ascii="Times New Roman" w:hAnsi="Times New Roman" w:cs="Times New Roman"/>
          <w:kern w:val="0"/>
          <w:sz w:val="24"/>
          <w:szCs w:val="24"/>
        </w:rPr>
        <w:t>;</w:t>
      </w:r>
    </w:p>
    <w:p w14:paraId="6E18B8A9" w14:textId="76596E99"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інтегровані </w:t>
      </w:r>
      <w:r w:rsidR="00554715" w:rsidRPr="00F43628">
        <w:rPr>
          <w:rFonts w:ascii="Times New Roman" w:hAnsi="Times New Roman" w:cs="Times New Roman"/>
          <w:kern w:val="0"/>
          <w:sz w:val="24"/>
          <w:szCs w:val="24"/>
        </w:rPr>
        <w:t>програми стажування,</w:t>
      </w:r>
      <w:r w:rsidR="008E0A33">
        <w:rPr>
          <w:rFonts w:ascii="Times New Roman" w:hAnsi="Times New Roman" w:cs="Times New Roman"/>
          <w:kern w:val="0"/>
          <w:sz w:val="24"/>
          <w:szCs w:val="24"/>
        </w:rPr>
        <w:t xml:space="preserve"> практики;</w:t>
      </w:r>
    </w:p>
    <w:p w14:paraId="1D1ED252" w14:textId="59EE4F2F" w:rsidR="007D4583" w:rsidRPr="00F43628" w:rsidRDefault="005A1E41" w:rsidP="008913A2">
      <w:pPr>
        <w:numPr>
          <w:ilvl w:val="0"/>
          <w:numId w:val="3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менторство під час стажування</w:t>
      </w:r>
      <w:r w:rsidR="009D4E20">
        <w:rPr>
          <w:rFonts w:ascii="Times New Roman" w:hAnsi="Times New Roman" w:cs="Times New Roman"/>
          <w:kern w:val="0"/>
          <w:sz w:val="24"/>
          <w:szCs w:val="24"/>
        </w:rPr>
        <w:t>, практики</w:t>
      </w:r>
      <w:r w:rsidRPr="00F43628">
        <w:rPr>
          <w:rFonts w:ascii="Times New Roman" w:hAnsi="Times New Roman" w:cs="Times New Roman"/>
          <w:kern w:val="0"/>
          <w:sz w:val="24"/>
          <w:szCs w:val="24"/>
        </w:rPr>
        <w:t>, що пов</w:t>
      </w:r>
      <w:r w:rsidR="00554715"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яз</w:t>
      </w:r>
      <w:r w:rsidR="00554715" w:rsidRPr="00F43628">
        <w:rPr>
          <w:rFonts w:ascii="Times New Roman" w:hAnsi="Times New Roman" w:cs="Times New Roman"/>
          <w:kern w:val="0"/>
          <w:sz w:val="24"/>
          <w:szCs w:val="24"/>
        </w:rPr>
        <w:t>ує</w:t>
      </w:r>
      <w:r w:rsidRPr="00F43628">
        <w:rPr>
          <w:rFonts w:ascii="Times New Roman" w:hAnsi="Times New Roman" w:cs="Times New Roman"/>
          <w:kern w:val="0"/>
          <w:sz w:val="24"/>
          <w:szCs w:val="24"/>
        </w:rPr>
        <w:t xml:space="preserve"> практичні результати з освітньою </w:t>
      </w:r>
      <w:r w:rsidR="000E0C1A">
        <w:rPr>
          <w:rFonts w:ascii="Times New Roman" w:hAnsi="Times New Roman" w:cs="Times New Roman"/>
          <w:kern w:val="0"/>
          <w:sz w:val="24"/>
          <w:szCs w:val="24"/>
        </w:rPr>
        <w:t>програмою</w:t>
      </w:r>
      <w:r w:rsidRPr="00F43628">
        <w:rPr>
          <w:rFonts w:ascii="Times New Roman" w:hAnsi="Times New Roman" w:cs="Times New Roman"/>
          <w:kern w:val="0"/>
          <w:sz w:val="24"/>
          <w:szCs w:val="24"/>
        </w:rPr>
        <w:t>, зворотній зв'язок від менторів стажування</w:t>
      </w:r>
      <w:r w:rsidR="009D4E20">
        <w:rPr>
          <w:rFonts w:ascii="Times New Roman" w:hAnsi="Times New Roman" w:cs="Times New Roman"/>
          <w:kern w:val="0"/>
          <w:sz w:val="24"/>
          <w:szCs w:val="24"/>
        </w:rPr>
        <w:t>, практики</w:t>
      </w:r>
      <w:r w:rsidRPr="00F43628">
        <w:rPr>
          <w:rFonts w:ascii="Times New Roman" w:hAnsi="Times New Roman" w:cs="Times New Roman"/>
          <w:kern w:val="0"/>
          <w:sz w:val="24"/>
          <w:szCs w:val="24"/>
        </w:rPr>
        <w:t>.</w:t>
      </w:r>
    </w:p>
    <w:p w14:paraId="3F3100CE" w14:textId="4B000D0F" w:rsidR="007D4583" w:rsidRDefault="005A1E41" w:rsidP="00983E8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Плануючи структуру </w:t>
      </w:r>
      <w:r w:rsidR="00983E85">
        <w:rPr>
          <w:rFonts w:ascii="Times New Roman" w:hAnsi="Times New Roman" w:cs="Times New Roman"/>
          <w:kern w:val="0"/>
          <w:sz w:val="24"/>
          <w:szCs w:val="24"/>
        </w:rPr>
        <w:t>спільної програми</w:t>
      </w:r>
      <w:r w:rsidRPr="00F43628">
        <w:rPr>
          <w:rFonts w:ascii="Times New Roman" w:hAnsi="Times New Roman" w:cs="Times New Roman"/>
          <w:kern w:val="0"/>
          <w:sz w:val="24"/>
          <w:szCs w:val="24"/>
        </w:rPr>
        <w:t xml:space="preserve">, </w:t>
      </w:r>
      <w:r w:rsidR="00983E85">
        <w:rPr>
          <w:rFonts w:ascii="Times New Roman" w:hAnsi="Times New Roman" w:cs="Times New Roman"/>
          <w:kern w:val="0"/>
          <w:sz w:val="24"/>
          <w:szCs w:val="24"/>
        </w:rPr>
        <w:t>необхідно враховувати</w:t>
      </w:r>
      <w:r w:rsidRPr="00F43628">
        <w:rPr>
          <w:rFonts w:ascii="Times New Roman" w:hAnsi="Times New Roman" w:cs="Times New Roman"/>
          <w:kern w:val="0"/>
          <w:sz w:val="24"/>
          <w:szCs w:val="24"/>
        </w:rPr>
        <w:t>, що надмірна мобільність може за</w:t>
      </w:r>
      <w:r w:rsidR="0007720F" w:rsidRPr="00F43628">
        <w:rPr>
          <w:rFonts w:ascii="Times New Roman" w:hAnsi="Times New Roman" w:cs="Times New Roman"/>
          <w:kern w:val="0"/>
          <w:sz w:val="24"/>
          <w:szCs w:val="24"/>
        </w:rPr>
        <w:t xml:space="preserve">шкодити </w:t>
      </w:r>
      <w:r w:rsidRPr="00F43628">
        <w:rPr>
          <w:rFonts w:ascii="Times New Roman" w:hAnsi="Times New Roman" w:cs="Times New Roman"/>
          <w:kern w:val="0"/>
          <w:sz w:val="24"/>
          <w:szCs w:val="24"/>
        </w:rPr>
        <w:t>кар</w:t>
      </w:r>
      <w:r w:rsidR="0007720F"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єрній орієнтації</w:t>
      </w:r>
      <w:r w:rsidR="0007720F" w:rsidRPr="00F43628">
        <w:rPr>
          <w:rFonts w:ascii="Times New Roman" w:hAnsi="Times New Roman" w:cs="Times New Roman"/>
          <w:kern w:val="0"/>
          <w:sz w:val="24"/>
          <w:szCs w:val="24"/>
        </w:rPr>
        <w:t xml:space="preserve"> студентів</w:t>
      </w:r>
      <w:r w:rsidRPr="00F43628">
        <w:rPr>
          <w:rFonts w:ascii="Times New Roman" w:hAnsi="Times New Roman" w:cs="Times New Roman"/>
          <w:kern w:val="0"/>
          <w:sz w:val="24"/>
          <w:szCs w:val="24"/>
        </w:rPr>
        <w:t xml:space="preserve"> </w:t>
      </w:r>
      <w:r w:rsidR="00983E85">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налагодженн</w:t>
      </w:r>
      <w:r w:rsidR="0007720F" w:rsidRPr="00F43628">
        <w:rPr>
          <w:rFonts w:ascii="Times New Roman" w:hAnsi="Times New Roman" w:cs="Times New Roman"/>
          <w:kern w:val="0"/>
          <w:sz w:val="24"/>
          <w:szCs w:val="24"/>
        </w:rPr>
        <w:t>ю</w:t>
      </w:r>
      <w:r w:rsidRPr="00F43628">
        <w:rPr>
          <w:rFonts w:ascii="Times New Roman" w:hAnsi="Times New Roman" w:cs="Times New Roman"/>
          <w:kern w:val="0"/>
          <w:sz w:val="24"/>
          <w:szCs w:val="24"/>
        </w:rPr>
        <w:t xml:space="preserve"> </w:t>
      </w:r>
      <w:r w:rsidR="0007720F" w:rsidRPr="00F43628">
        <w:rPr>
          <w:rFonts w:ascii="Times New Roman" w:hAnsi="Times New Roman" w:cs="Times New Roman"/>
          <w:kern w:val="0"/>
          <w:sz w:val="24"/>
          <w:szCs w:val="24"/>
        </w:rPr>
        <w:t xml:space="preserve">їх </w:t>
      </w:r>
      <w:r w:rsidRPr="00F43628">
        <w:rPr>
          <w:rFonts w:ascii="Times New Roman" w:hAnsi="Times New Roman" w:cs="Times New Roman"/>
          <w:kern w:val="0"/>
          <w:sz w:val="24"/>
          <w:szCs w:val="24"/>
        </w:rPr>
        <w:t>зв</w:t>
      </w:r>
      <w:r w:rsidR="0007720F"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язків з місцевими ринками праці. Крім того, результати навчання за </w:t>
      </w:r>
      <w:r w:rsidR="00983E85">
        <w:rPr>
          <w:rFonts w:ascii="Times New Roman" w:hAnsi="Times New Roman" w:cs="Times New Roman"/>
          <w:kern w:val="0"/>
          <w:sz w:val="24"/>
          <w:szCs w:val="24"/>
        </w:rPr>
        <w:t xml:space="preserve">міжнародною спільною </w:t>
      </w:r>
      <w:r w:rsidRPr="00F43628">
        <w:rPr>
          <w:rFonts w:ascii="Times New Roman" w:hAnsi="Times New Roman" w:cs="Times New Roman"/>
          <w:kern w:val="0"/>
          <w:sz w:val="24"/>
          <w:szCs w:val="24"/>
        </w:rPr>
        <w:t>програмою часто спрямовані на задоволення глобальних соціально-економічних потреб</w:t>
      </w:r>
      <w:r w:rsidR="00983E85">
        <w:rPr>
          <w:rFonts w:ascii="Times New Roman" w:hAnsi="Times New Roman" w:cs="Times New Roman"/>
          <w:kern w:val="0"/>
          <w:sz w:val="24"/>
          <w:szCs w:val="24"/>
        </w:rPr>
        <w:t xml:space="preserve"> професійної діяльності</w:t>
      </w:r>
      <w:r w:rsidRPr="00F43628">
        <w:rPr>
          <w:rFonts w:ascii="Times New Roman" w:hAnsi="Times New Roman" w:cs="Times New Roman"/>
          <w:kern w:val="0"/>
          <w:sz w:val="24"/>
          <w:szCs w:val="24"/>
        </w:rPr>
        <w:t>. Отже,</w:t>
      </w:r>
      <w:r w:rsidR="00FC4D59" w:rsidRPr="00F43628">
        <w:rPr>
          <w:rFonts w:ascii="Times New Roman" w:hAnsi="Times New Roman" w:cs="Times New Roman"/>
          <w:kern w:val="0"/>
          <w:sz w:val="24"/>
          <w:szCs w:val="24"/>
        </w:rPr>
        <w:t xml:space="preserve"> </w:t>
      </w:r>
      <w:r w:rsidR="0007720F" w:rsidRPr="00F43628">
        <w:rPr>
          <w:rFonts w:ascii="Times New Roman" w:hAnsi="Times New Roman" w:cs="Times New Roman"/>
          <w:kern w:val="0"/>
          <w:sz w:val="24"/>
          <w:szCs w:val="24"/>
        </w:rPr>
        <w:t xml:space="preserve">для забезпечення хороших перспектив працевлаштування, для створення потенціалу для майбутньої </w:t>
      </w:r>
      <w:r w:rsidR="00983E85">
        <w:rPr>
          <w:rFonts w:ascii="Times New Roman" w:hAnsi="Times New Roman" w:cs="Times New Roman"/>
          <w:kern w:val="0"/>
          <w:sz w:val="24"/>
          <w:szCs w:val="24"/>
        </w:rPr>
        <w:t>професійної/</w:t>
      </w:r>
      <w:r w:rsidR="0007720F" w:rsidRPr="00F43628">
        <w:rPr>
          <w:rFonts w:ascii="Times New Roman" w:hAnsi="Times New Roman" w:cs="Times New Roman"/>
          <w:kern w:val="0"/>
          <w:sz w:val="24"/>
          <w:szCs w:val="24"/>
        </w:rPr>
        <w:t>наукової співпраці важливе значення</w:t>
      </w:r>
      <w:r w:rsidR="0007720F" w:rsidRPr="00F43628">
        <w:rPr>
          <w:rFonts w:ascii="Times New Roman" w:hAnsi="Times New Roman" w:cs="Times New Roman"/>
          <w:i/>
          <w:iCs/>
          <w:kern w:val="0"/>
          <w:sz w:val="24"/>
          <w:szCs w:val="24"/>
        </w:rPr>
        <w:t xml:space="preserve"> </w:t>
      </w:r>
      <w:r w:rsidR="0007720F" w:rsidRPr="00F43628">
        <w:rPr>
          <w:rFonts w:ascii="Times New Roman" w:hAnsi="Times New Roman" w:cs="Times New Roman"/>
          <w:kern w:val="0"/>
          <w:sz w:val="24"/>
          <w:szCs w:val="24"/>
        </w:rPr>
        <w:t>має</w:t>
      </w:r>
      <w:r w:rsidR="00983E85">
        <w:rPr>
          <w:rFonts w:ascii="Times New Roman" w:hAnsi="Times New Roman" w:cs="Times New Roman"/>
          <w:kern w:val="0"/>
          <w:sz w:val="24"/>
          <w:szCs w:val="24"/>
        </w:rPr>
        <w:t xml:space="preserve"> н</w:t>
      </w:r>
      <w:r w:rsidRPr="00F43628">
        <w:rPr>
          <w:rFonts w:ascii="Times New Roman" w:hAnsi="Times New Roman" w:cs="Times New Roman"/>
          <w:kern w:val="0"/>
          <w:sz w:val="24"/>
          <w:szCs w:val="24"/>
        </w:rPr>
        <w:t xml:space="preserve">алагодження зв'язків </w:t>
      </w:r>
      <w:r w:rsidR="00983E85" w:rsidRPr="00F43628">
        <w:rPr>
          <w:rFonts w:ascii="Times New Roman" w:hAnsi="Times New Roman" w:cs="Times New Roman"/>
          <w:kern w:val="0"/>
          <w:sz w:val="24"/>
          <w:szCs w:val="24"/>
        </w:rPr>
        <w:t>під час навчання</w:t>
      </w:r>
      <w:r w:rsidR="00983E85">
        <w:rPr>
          <w:rFonts w:ascii="Times New Roman" w:hAnsi="Times New Roman" w:cs="Times New Roman"/>
          <w:kern w:val="0"/>
          <w:sz w:val="24"/>
          <w:szCs w:val="24"/>
        </w:rPr>
        <w:t>, зокрема</w:t>
      </w:r>
      <w:r w:rsidRPr="00F43628">
        <w:rPr>
          <w:rFonts w:ascii="Times New Roman" w:hAnsi="Times New Roman" w:cs="Times New Roman"/>
          <w:kern w:val="0"/>
          <w:sz w:val="24"/>
          <w:szCs w:val="24"/>
        </w:rPr>
        <w:t xml:space="preserve"> через соціальні мережі, наставництво старшокурсників, мережі випускників та залучення міжнародних </w:t>
      </w:r>
      <w:r w:rsidR="00983E85">
        <w:rPr>
          <w:rFonts w:ascii="Times New Roman" w:hAnsi="Times New Roman" w:cs="Times New Roman"/>
          <w:kern w:val="0"/>
          <w:sz w:val="24"/>
          <w:szCs w:val="24"/>
        </w:rPr>
        <w:t>дослідників</w:t>
      </w:r>
      <w:r w:rsidRPr="00F43628">
        <w:rPr>
          <w:rFonts w:ascii="Times New Roman" w:hAnsi="Times New Roman" w:cs="Times New Roman"/>
          <w:kern w:val="0"/>
          <w:sz w:val="24"/>
          <w:szCs w:val="24"/>
        </w:rPr>
        <w:t>, які в подальшому можуть сприяти професійному просуванню випускників.</w:t>
      </w:r>
    </w:p>
    <w:p w14:paraId="3FF0836A" w14:textId="77777777" w:rsidR="00B6403F" w:rsidRPr="00F43628" w:rsidRDefault="00B6403F" w:rsidP="00983E8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3775BE1A" w14:textId="40AFE912" w:rsidR="007D4583" w:rsidRDefault="00752998" w:rsidP="007F6A27">
      <w:pPr>
        <w:pStyle w:val="1"/>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bookmarkStart w:id="15" w:name="_Toc188337421"/>
      <w:r w:rsidR="008D18B7" w:rsidRPr="008D18B7">
        <w:rPr>
          <w:rFonts w:ascii="Times New Roman" w:hAnsi="Times New Roman" w:cs="Times New Roman"/>
          <w:b/>
          <w:bCs/>
          <w:sz w:val="24"/>
          <w:szCs w:val="24"/>
        </w:rPr>
        <w:t>МАРКЕТИНГ</w:t>
      </w:r>
      <w:bookmarkEnd w:id="15"/>
    </w:p>
    <w:p w14:paraId="44DB08C2" w14:textId="4690E75D" w:rsidR="004C2C39" w:rsidRPr="00AF3E35" w:rsidRDefault="00AF3E35" w:rsidP="007F6A27">
      <w:pPr>
        <w:pStyle w:val="2"/>
        <w:spacing w:before="100" w:beforeAutospacing="1" w:after="100" w:afterAutospacing="1" w:line="240" w:lineRule="auto"/>
        <w:rPr>
          <w:rFonts w:ascii="Times New Roman" w:hAnsi="Times New Roman" w:cs="Times New Roman"/>
          <w:b/>
          <w:bCs/>
          <w:sz w:val="24"/>
          <w:szCs w:val="24"/>
        </w:rPr>
      </w:pPr>
      <w:bookmarkStart w:id="16" w:name="_Toc188337407"/>
      <w:r w:rsidRPr="00AF3E35">
        <w:rPr>
          <w:rFonts w:ascii="Times New Roman" w:hAnsi="Times New Roman" w:cs="Times New Roman"/>
          <w:b/>
          <w:bCs/>
          <w:sz w:val="24"/>
          <w:szCs w:val="24"/>
        </w:rPr>
        <w:t xml:space="preserve">6.1. </w:t>
      </w:r>
      <w:r w:rsidR="004C2C39" w:rsidRPr="00AF3E35">
        <w:rPr>
          <w:rFonts w:ascii="Times New Roman" w:hAnsi="Times New Roman" w:cs="Times New Roman"/>
          <w:b/>
          <w:bCs/>
          <w:sz w:val="24"/>
          <w:szCs w:val="24"/>
        </w:rPr>
        <w:t xml:space="preserve">Переваги </w:t>
      </w:r>
      <w:r w:rsidR="00666C17">
        <w:rPr>
          <w:rFonts w:ascii="Times New Roman" w:hAnsi="Times New Roman" w:cs="Times New Roman"/>
          <w:b/>
          <w:bCs/>
          <w:sz w:val="24"/>
          <w:szCs w:val="24"/>
        </w:rPr>
        <w:t xml:space="preserve">міжнародної </w:t>
      </w:r>
      <w:r w:rsidRPr="00AF3E35">
        <w:rPr>
          <w:rFonts w:ascii="Times New Roman" w:hAnsi="Times New Roman" w:cs="Times New Roman"/>
          <w:b/>
          <w:bCs/>
          <w:sz w:val="24"/>
          <w:szCs w:val="24"/>
        </w:rPr>
        <w:t xml:space="preserve">спільної програми </w:t>
      </w:r>
      <w:r w:rsidR="004C2C39" w:rsidRPr="00AF3E35">
        <w:rPr>
          <w:rFonts w:ascii="Times New Roman" w:hAnsi="Times New Roman" w:cs="Times New Roman"/>
          <w:b/>
          <w:bCs/>
          <w:sz w:val="24"/>
          <w:szCs w:val="24"/>
        </w:rPr>
        <w:t>для закладів вищої освіти, персоналу та студентів</w:t>
      </w:r>
      <w:bookmarkEnd w:id="16"/>
    </w:p>
    <w:p w14:paraId="0F63785B" w14:textId="2DAC6A17" w:rsidR="002C2C98" w:rsidRPr="008E1D21" w:rsidRDefault="002C2C98" w:rsidP="002C2C98">
      <w:pPr>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8E1D21">
        <w:rPr>
          <w:rFonts w:ascii="Times New Roman" w:hAnsi="Times New Roman" w:cs="Times New Roman"/>
          <w:color w:val="365F91" w:themeColor="accent1" w:themeShade="BF"/>
          <w:kern w:val="0"/>
          <w:sz w:val="24"/>
          <w:szCs w:val="24"/>
        </w:rPr>
        <w:t xml:space="preserve">Переваги для </w:t>
      </w:r>
      <w:r w:rsidRPr="002C2C98">
        <w:rPr>
          <w:rFonts w:ascii="Times New Roman" w:hAnsi="Times New Roman" w:cs="Times New Roman"/>
          <w:color w:val="365F91" w:themeColor="accent1" w:themeShade="BF"/>
          <w:sz w:val="24"/>
          <w:szCs w:val="24"/>
        </w:rPr>
        <w:t>закладів вищої освіти</w:t>
      </w:r>
    </w:p>
    <w:p w14:paraId="21EBC781" w14:textId="77777777" w:rsidR="004C2C39" w:rsidRPr="00F43628" w:rsidRDefault="004C2C39" w:rsidP="007F6A2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На інституційному рівні:</w:t>
      </w:r>
    </w:p>
    <w:p w14:paraId="6D516F36" w14:textId="77777777" w:rsidR="004C2C39" w:rsidRPr="00F43628" w:rsidRDefault="004C2C39" w:rsidP="00B03448">
      <w:pPr>
        <w:numPr>
          <w:ilvl w:val="0"/>
          <w:numId w:val="1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підвищити міжнародну впізнаваність </w:t>
      </w:r>
      <w:r>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репутацію закладу;</w:t>
      </w:r>
    </w:p>
    <w:p w14:paraId="6824522A" w14:textId="77777777" w:rsidR="004C2C39" w:rsidRPr="00F43628" w:rsidRDefault="004C2C39" w:rsidP="00B03448">
      <w:pPr>
        <w:numPr>
          <w:ilvl w:val="0"/>
          <w:numId w:val="1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збільшити набір міжнародних студентів </w:t>
      </w:r>
      <w:r>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рівень інтернаціоналізації;</w:t>
      </w:r>
    </w:p>
    <w:p w14:paraId="547116A8" w14:textId="77777777" w:rsidR="004C2C39" w:rsidRPr="00F43628" w:rsidRDefault="004C2C39" w:rsidP="00B03448">
      <w:pPr>
        <w:numPr>
          <w:ilvl w:val="0"/>
          <w:numId w:val="1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поглибити та інституціоналізувати співпрацю з партнерами по консорціуму та встановити більш стійкі стратегічні відносини;</w:t>
      </w:r>
    </w:p>
    <w:p w14:paraId="117F1F79" w14:textId="55574104" w:rsidR="004C2C39" w:rsidRPr="00F43628" w:rsidRDefault="004C2C39" w:rsidP="00B03448">
      <w:pPr>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розбудовувати мережі </w:t>
      </w:r>
      <w:r w:rsidR="00B03448">
        <w:rPr>
          <w:rFonts w:ascii="Times New Roman" w:hAnsi="Times New Roman" w:cs="Times New Roman"/>
          <w:kern w:val="0"/>
          <w:sz w:val="24"/>
          <w:szCs w:val="24"/>
        </w:rPr>
        <w:t>провідного</w:t>
      </w:r>
      <w:r w:rsidRPr="00F43628">
        <w:rPr>
          <w:rFonts w:ascii="Times New Roman" w:hAnsi="Times New Roman" w:cs="Times New Roman"/>
          <w:kern w:val="0"/>
          <w:sz w:val="24"/>
          <w:szCs w:val="24"/>
        </w:rPr>
        <w:t xml:space="preserve"> досвіду для зміцнення міжнародної дослідницької співпраці;</w:t>
      </w:r>
    </w:p>
    <w:p w14:paraId="54E722C6" w14:textId="00ED71A0" w:rsidR="004C2C39" w:rsidRPr="00F43628" w:rsidRDefault="004C2C39" w:rsidP="00B03448">
      <w:pPr>
        <w:numPr>
          <w:ilvl w:val="0"/>
          <w:numId w:val="1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залуч</w:t>
      </w:r>
      <w:r w:rsidR="00B03448">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ти </w:t>
      </w:r>
      <w:r w:rsidR="00B03448">
        <w:rPr>
          <w:rFonts w:ascii="Times New Roman" w:hAnsi="Times New Roman" w:cs="Times New Roman"/>
          <w:kern w:val="0"/>
          <w:sz w:val="24"/>
          <w:szCs w:val="24"/>
        </w:rPr>
        <w:t>кращих</w:t>
      </w:r>
      <w:r w:rsidRPr="00F43628">
        <w:rPr>
          <w:rFonts w:ascii="Times New Roman" w:hAnsi="Times New Roman" w:cs="Times New Roman"/>
          <w:kern w:val="0"/>
          <w:sz w:val="24"/>
          <w:szCs w:val="24"/>
        </w:rPr>
        <w:t xml:space="preserve"> аспірантів </w:t>
      </w:r>
      <w:r w:rsidR="00B03448">
        <w:rPr>
          <w:rFonts w:ascii="Times New Roman" w:hAnsi="Times New Roman" w:cs="Times New Roman"/>
          <w:kern w:val="0"/>
          <w:sz w:val="24"/>
          <w:szCs w:val="24"/>
        </w:rPr>
        <w:t>серед випускників</w:t>
      </w:r>
      <w:r w:rsidRPr="00F43628">
        <w:rPr>
          <w:rFonts w:ascii="Times New Roman" w:hAnsi="Times New Roman" w:cs="Times New Roman"/>
          <w:kern w:val="0"/>
          <w:sz w:val="24"/>
          <w:szCs w:val="24"/>
        </w:rPr>
        <w:t xml:space="preserve"> спільних магістерських програм;</w:t>
      </w:r>
    </w:p>
    <w:p w14:paraId="422DDA26" w14:textId="4B0799D2" w:rsidR="004C2C39" w:rsidRPr="00F43628" w:rsidRDefault="004C2C39" w:rsidP="00666C17">
      <w:pPr>
        <w:numPr>
          <w:ilvl w:val="0"/>
          <w:numId w:val="1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отримати доступ до бенчмаркінгу якості з аналогічними закладами з усіх аспектів реалізації </w:t>
      </w:r>
      <w:r w:rsidR="00B03448">
        <w:rPr>
          <w:rFonts w:ascii="Times New Roman" w:hAnsi="Times New Roman" w:cs="Times New Roman"/>
          <w:kern w:val="0"/>
          <w:sz w:val="24"/>
          <w:szCs w:val="24"/>
        </w:rPr>
        <w:t>освітньої</w:t>
      </w:r>
      <w:r w:rsidRPr="00F43628">
        <w:rPr>
          <w:rFonts w:ascii="Times New Roman" w:hAnsi="Times New Roman" w:cs="Times New Roman"/>
          <w:kern w:val="0"/>
          <w:sz w:val="24"/>
          <w:szCs w:val="24"/>
        </w:rPr>
        <w:t xml:space="preserve"> програми.</w:t>
      </w:r>
    </w:p>
    <w:p w14:paraId="7416C3EF" w14:textId="77777777" w:rsidR="004C2C39" w:rsidRPr="00F43628" w:rsidRDefault="004C2C39" w:rsidP="00666C1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На програмному рівні:</w:t>
      </w:r>
    </w:p>
    <w:p w14:paraId="2867A9C0" w14:textId="77777777"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розширити або поглибити освітню пропозицію;</w:t>
      </w:r>
    </w:p>
    <w:p w14:paraId="2BE80364" w14:textId="7DD940F4"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розробити більш інтернаціоналізовану </w:t>
      </w:r>
      <w:r w:rsidR="00666C17">
        <w:rPr>
          <w:rFonts w:ascii="Times New Roman" w:hAnsi="Times New Roman" w:cs="Times New Roman"/>
          <w:kern w:val="0"/>
          <w:sz w:val="24"/>
          <w:szCs w:val="24"/>
        </w:rPr>
        <w:t>освітню</w:t>
      </w:r>
      <w:r w:rsidRPr="00F43628">
        <w:rPr>
          <w:rFonts w:ascii="Times New Roman" w:hAnsi="Times New Roman" w:cs="Times New Roman"/>
          <w:kern w:val="0"/>
          <w:sz w:val="24"/>
          <w:szCs w:val="24"/>
        </w:rPr>
        <w:t xml:space="preserve"> програму, усвідомлюючи, що </w:t>
      </w:r>
      <w:r w:rsidR="007278FF">
        <w:rPr>
          <w:rFonts w:ascii="Times New Roman" w:hAnsi="Times New Roman" w:cs="Times New Roman"/>
          <w:kern w:val="0"/>
          <w:sz w:val="24"/>
          <w:szCs w:val="24"/>
        </w:rPr>
        <w:t xml:space="preserve">сучасний </w:t>
      </w:r>
      <w:r w:rsidRPr="00F43628">
        <w:rPr>
          <w:rFonts w:ascii="Times New Roman" w:hAnsi="Times New Roman" w:cs="Times New Roman"/>
          <w:kern w:val="0"/>
          <w:sz w:val="24"/>
          <w:szCs w:val="24"/>
        </w:rPr>
        <w:t>міжнародний/європейський курс не може викладатис</w:t>
      </w:r>
      <w:r w:rsidR="007278FF">
        <w:rPr>
          <w:rFonts w:ascii="Times New Roman" w:hAnsi="Times New Roman" w:cs="Times New Roman"/>
          <w:kern w:val="0"/>
          <w:sz w:val="24"/>
          <w:szCs w:val="24"/>
        </w:rPr>
        <w:t>я</w:t>
      </w:r>
      <w:r w:rsidRPr="00F43628">
        <w:rPr>
          <w:rFonts w:ascii="Times New Roman" w:hAnsi="Times New Roman" w:cs="Times New Roman"/>
          <w:kern w:val="0"/>
          <w:sz w:val="24"/>
          <w:szCs w:val="24"/>
        </w:rPr>
        <w:t xml:space="preserve"> одним закладом або закладами з однієї країни;</w:t>
      </w:r>
    </w:p>
    <w:p w14:paraId="15A6042F" w14:textId="241D7C6F"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підвищити якість </w:t>
      </w:r>
      <w:r w:rsidR="007278FF">
        <w:rPr>
          <w:rFonts w:ascii="Times New Roman" w:hAnsi="Times New Roman" w:cs="Times New Roman"/>
          <w:kern w:val="0"/>
          <w:sz w:val="24"/>
          <w:szCs w:val="24"/>
        </w:rPr>
        <w:t>освітньої</w:t>
      </w:r>
      <w:r w:rsidRPr="00F43628">
        <w:rPr>
          <w:rFonts w:ascii="Times New Roman" w:hAnsi="Times New Roman" w:cs="Times New Roman"/>
          <w:kern w:val="0"/>
          <w:sz w:val="24"/>
          <w:szCs w:val="24"/>
        </w:rPr>
        <w:t xml:space="preserve"> програми (і дослідницьких елементів </w:t>
      </w:r>
      <w:r w:rsidR="00E1678E">
        <w:rPr>
          <w:rFonts w:ascii="Times New Roman" w:hAnsi="Times New Roman" w:cs="Times New Roman"/>
          <w:kern w:val="0"/>
          <w:sz w:val="24"/>
          <w:szCs w:val="24"/>
        </w:rPr>
        <w:t>для освітньо-наукових програм)</w:t>
      </w:r>
      <w:r w:rsidR="00E1678E" w:rsidRPr="00E1678E">
        <w:rPr>
          <w:rFonts w:ascii="Times New Roman" w:hAnsi="Times New Roman" w:cs="Times New Roman"/>
          <w:kern w:val="0"/>
          <w:sz w:val="24"/>
          <w:szCs w:val="24"/>
        </w:rPr>
        <w:t xml:space="preserve"> </w:t>
      </w:r>
      <w:r w:rsidR="00E1678E" w:rsidRPr="00F43628">
        <w:rPr>
          <w:rFonts w:ascii="Times New Roman" w:hAnsi="Times New Roman" w:cs="Times New Roman"/>
          <w:kern w:val="0"/>
          <w:sz w:val="24"/>
          <w:szCs w:val="24"/>
        </w:rPr>
        <w:t xml:space="preserve">для </w:t>
      </w:r>
      <w:r w:rsidR="00E1678E">
        <w:rPr>
          <w:rFonts w:ascii="Times New Roman" w:hAnsi="Times New Roman" w:cs="Times New Roman"/>
          <w:kern w:val="0"/>
          <w:sz w:val="24"/>
          <w:szCs w:val="24"/>
        </w:rPr>
        <w:t xml:space="preserve">залучення вступників та </w:t>
      </w:r>
      <w:r w:rsidR="00E1678E" w:rsidRPr="00F43628">
        <w:rPr>
          <w:rFonts w:ascii="Times New Roman" w:hAnsi="Times New Roman" w:cs="Times New Roman"/>
          <w:kern w:val="0"/>
          <w:sz w:val="24"/>
          <w:szCs w:val="24"/>
        </w:rPr>
        <w:t>отримання фінансування з інших джерел</w:t>
      </w:r>
      <w:r w:rsidRPr="00F43628">
        <w:rPr>
          <w:rFonts w:ascii="Times New Roman" w:hAnsi="Times New Roman" w:cs="Times New Roman"/>
          <w:kern w:val="0"/>
          <w:sz w:val="24"/>
          <w:szCs w:val="24"/>
        </w:rPr>
        <w:t>;</w:t>
      </w:r>
    </w:p>
    <w:p w14:paraId="1CFB4762" w14:textId="555F4DC4" w:rsidR="004C2C39" w:rsidRPr="00F43628" w:rsidRDefault="00E1678E"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реалізувати </w:t>
      </w:r>
      <w:r w:rsidRPr="00F43628">
        <w:rPr>
          <w:rFonts w:ascii="Times New Roman" w:hAnsi="Times New Roman" w:cs="Times New Roman"/>
          <w:kern w:val="0"/>
          <w:sz w:val="24"/>
          <w:szCs w:val="24"/>
        </w:rPr>
        <w:t xml:space="preserve">інноваційні </w:t>
      </w:r>
      <w:r>
        <w:rPr>
          <w:rFonts w:ascii="Times New Roman" w:hAnsi="Times New Roman" w:cs="Times New Roman"/>
          <w:kern w:val="0"/>
          <w:sz w:val="24"/>
          <w:szCs w:val="24"/>
        </w:rPr>
        <w:t xml:space="preserve">спільні </w:t>
      </w:r>
      <w:r w:rsidR="004C2C39" w:rsidRPr="00F43628">
        <w:rPr>
          <w:rFonts w:ascii="Times New Roman" w:hAnsi="Times New Roman" w:cs="Times New Roman"/>
          <w:kern w:val="0"/>
          <w:sz w:val="24"/>
          <w:szCs w:val="24"/>
        </w:rPr>
        <w:t>програми, що поєднують освітні</w:t>
      </w:r>
      <w:r>
        <w:rPr>
          <w:rFonts w:ascii="Times New Roman" w:hAnsi="Times New Roman" w:cs="Times New Roman"/>
          <w:kern w:val="0"/>
          <w:sz w:val="24"/>
          <w:szCs w:val="24"/>
        </w:rPr>
        <w:t xml:space="preserve">, </w:t>
      </w:r>
      <w:r w:rsidR="004C2C39" w:rsidRPr="00F43628">
        <w:rPr>
          <w:rFonts w:ascii="Times New Roman" w:hAnsi="Times New Roman" w:cs="Times New Roman"/>
          <w:kern w:val="0"/>
          <w:sz w:val="24"/>
          <w:szCs w:val="24"/>
        </w:rPr>
        <w:t xml:space="preserve">дослідницькі </w:t>
      </w:r>
      <w:r w:rsidRPr="00F43628">
        <w:rPr>
          <w:rFonts w:ascii="Times New Roman" w:hAnsi="Times New Roman" w:cs="Times New Roman"/>
          <w:kern w:val="0"/>
          <w:sz w:val="24"/>
          <w:szCs w:val="24"/>
        </w:rPr>
        <w:t xml:space="preserve">та </w:t>
      </w:r>
      <w:r>
        <w:rPr>
          <w:rFonts w:ascii="Times New Roman" w:hAnsi="Times New Roman" w:cs="Times New Roman"/>
          <w:kern w:val="0"/>
          <w:sz w:val="24"/>
          <w:szCs w:val="24"/>
        </w:rPr>
        <w:t xml:space="preserve">інші </w:t>
      </w:r>
      <w:r w:rsidR="004C2C39" w:rsidRPr="00F43628">
        <w:rPr>
          <w:rFonts w:ascii="Times New Roman" w:hAnsi="Times New Roman" w:cs="Times New Roman"/>
          <w:kern w:val="0"/>
          <w:sz w:val="24"/>
          <w:szCs w:val="24"/>
        </w:rPr>
        <w:t>переваги окремих закладів;</w:t>
      </w:r>
    </w:p>
    <w:p w14:paraId="6EEE38F0" w14:textId="459F76DB"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підвищити міжкультурну компетентність студентів і </w:t>
      </w:r>
      <w:r w:rsidR="00E1678E">
        <w:rPr>
          <w:rFonts w:ascii="Times New Roman" w:hAnsi="Times New Roman" w:cs="Times New Roman"/>
          <w:kern w:val="0"/>
          <w:sz w:val="24"/>
          <w:szCs w:val="24"/>
        </w:rPr>
        <w:t>працівників закладу</w:t>
      </w:r>
      <w:r w:rsidRPr="00F43628">
        <w:rPr>
          <w:rFonts w:ascii="Times New Roman" w:hAnsi="Times New Roman" w:cs="Times New Roman"/>
          <w:kern w:val="0"/>
          <w:sz w:val="24"/>
          <w:szCs w:val="24"/>
        </w:rPr>
        <w:t xml:space="preserve"> не лише через мобільність, а й через посилення інтернаціоналізації вдома;</w:t>
      </w:r>
    </w:p>
    <w:p w14:paraId="440B542F" w14:textId="4F8D92A7"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покращити працевлаштування випускників через </w:t>
      </w:r>
      <w:r w:rsidR="00E1678E">
        <w:rPr>
          <w:rFonts w:ascii="Times New Roman" w:hAnsi="Times New Roman" w:cs="Times New Roman"/>
          <w:kern w:val="0"/>
          <w:sz w:val="24"/>
          <w:szCs w:val="24"/>
        </w:rPr>
        <w:t>спільні</w:t>
      </w:r>
      <w:r w:rsidRPr="00F43628">
        <w:rPr>
          <w:rFonts w:ascii="Times New Roman" w:hAnsi="Times New Roman" w:cs="Times New Roman"/>
          <w:kern w:val="0"/>
          <w:sz w:val="24"/>
          <w:szCs w:val="24"/>
        </w:rPr>
        <w:t xml:space="preserve"> програми, які відповідають попиту на ринку праці (підготовка до все більш глобального ринку праці, наприклад, через крос-культурні компетен</w:t>
      </w:r>
      <w:r w:rsidR="00E1678E">
        <w:rPr>
          <w:rFonts w:ascii="Times New Roman" w:hAnsi="Times New Roman" w:cs="Times New Roman"/>
          <w:kern w:val="0"/>
          <w:sz w:val="24"/>
          <w:szCs w:val="24"/>
        </w:rPr>
        <w:t>тності</w:t>
      </w:r>
      <w:r w:rsidRPr="00F43628">
        <w:rPr>
          <w:rFonts w:ascii="Times New Roman" w:hAnsi="Times New Roman" w:cs="Times New Roman"/>
          <w:kern w:val="0"/>
          <w:sz w:val="24"/>
          <w:szCs w:val="24"/>
        </w:rPr>
        <w:t>);</w:t>
      </w:r>
    </w:p>
    <w:p w14:paraId="01A978CD" w14:textId="053FE2D5"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підвищити міжнародну впізнаваність і престижність програми;</w:t>
      </w:r>
    </w:p>
    <w:p w14:paraId="61325F6C" w14:textId="3E53F074"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залучити студентів з нових </w:t>
      </w:r>
      <w:r w:rsidR="00E1678E">
        <w:rPr>
          <w:rFonts w:ascii="Times New Roman" w:hAnsi="Times New Roman" w:cs="Times New Roman"/>
          <w:kern w:val="0"/>
          <w:sz w:val="24"/>
          <w:szCs w:val="24"/>
        </w:rPr>
        <w:t xml:space="preserve">цільових </w:t>
      </w:r>
      <w:r w:rsidRPr="00F43628">
        <w:rPr>
          <w:rFonts w:ascii="Times New Roman" w:hAnsi="Times New Roman" w:cs="Times New Roman"/>
          <w:kern w:val="0"/>
          <w:sz w:val="24"/>
          <w:szCs w:val="24"/>
        </w:rPr>
        <w:t>груп або країн;</w:t>
      </w:r>
    </w:p>
    <w:p w14:paraId="64838E9E" w14:textId="7B77EE06" w:rsidR="004C2C39" w:rsidRPr="00F43628" w:rsidRDefault="004C2C39" w:rsidP="00666C17">
      <w:pPr>
        <w:numPr>
          <w:ilvl w:val="0"/>
          <w:numId w:val="11"/>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отримати доступ до експертизи та дослідницьких мереж заклад</w:t>
      </w:r>
      <w:r w:rsidR="00E1678E">
        <w:rPr>
          <w:rFonts w:ascii="Times New Roman" w:hAnsi="Times New Roman" w:cs="Times New Roman"/>
          <w:kern w:val="0"/>
          <w:sz w:val="24"/>
          <w:szCs w:val="24"/>
        </w:rPr>
        <w:t>ів-партнерів</w:t>
      </w:r>
      <w:r w:rsidRPr="00F43628">
        <w:rPr>
          <w:rFonts w:ascii="Times New Roman" w:hAnsi="Times New Roman" w:cs="Times New Roman"/>
          <w:kern w:val="0"/>
          <w:sz w:val="24"/>
          <w:szCs w:val="24"/>
        </w:rPr>
        <w:t xml:space="preserve">, що забезпечить критичну масу та основу для зміцнення </w:t>
      </w:r>
      <w:r w:rsidR="00E1678E">
        <w:rPr>
          <w:rFonts w:ascii="Times New Roman" w:hAnsi="Times New Roman" w:cs="Times New Roman"/>
          <w:kern w:val="0"/>
          <w:sz w:val="24"/>
          <w:szCs w:val="24"/>
        </w:rPr>
        <w:t xml:space="preserve">освітньої та </w:t>
      </w:r>
      <w:r w:rsidRPr="00F43628">
        <w:rPr>
          <w:rFonts w:ascii="Times New Roman" w:hAnsi="Times New Roman" w:cs="Times New Roman"/>
          <w:kern w:val="0"/>
          <w:sz w:val="24"/>
          <w:szCs w:val="24"/>
        </w:rPr>
        <w:t>дослідницької співпраці.</w:t>
      </w:r>
    </w:p>
    <w:p w14:paraId="2603422E" w14:textId="77777777" w:rsidR="004C2C39" w:rsidRPr="008E1D21" w:rsidRDefault="004C2C39" w:rsidP="007F6A27">
      <w:pPr>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8E1D21">
        <w:rPr>
          <w:rFonts w:ascii="Times New Roman" w:hAnsi="Times New Roman" w:cs="Times New Roman"/>
          <w:color w:val="365F91" w:themeColor="accent1" w:themeShade="BF"/>
          <w:kern w:val="0"/>
          <w:sz w:val="24"/>
          <w:szCs w:val="24"/>
        </w:rPr>
        <w:t xml:space="preserve">Переваги для </w:t>
      </w:r>
      <w:r>
        <w:rPr>
          <w:rFonts w:ascii="Times New Roman" w:hAnsi="Times New Roman" w:cs="Times New Roman"/>
          <w:color w:val="365F91" w:themeColor="accent1" w:themeShade="BF"/>
          <w:kern w:val="0"/>
          <w:sz w:val="24"/>
          <w:szCs w:val="24"/>
        </w:rPr>
        <w:t>викладачів</w:t>
      </w:r>
    </w:p>
    <w:p w14:paraId="660E9F13" w14:textId="5474BDC4" w:rsidR="004C2C39" w:rsidRPr="00F43628" w:rsidRDefault="004C2C39" w:rsidP="007F6A2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Причини участі викладачів у спільних програмах полягають у тому, що ці програми – через мобільність, спільн</w:t>
      </w:r>
      <w:r w:rsidR="006133B7">
        <w:rPr>
          <w:rFonts w:ascii="Times New Roman" w:hAnsi="Times New Roman" w:cs="Times New Roman"/>
          <w:kern w:val="0"/>
          <w:sz w:val="24"/>
          <w:szCs w:val="24"/>
        </w:rPr>
        <w:t>е</w:t>
      </w:r>
      <w:r w:rsidRPr="00F43628">
        <w:rPr>
          <w:rFonts w:ascii="Times New Roman" w:hAnsi="Times New Roman" w:cs="Times New Roman"/>
          <w:kern w:val="0"/>
          <w:sz w:val="24"/>
          <w:szCs w:val="24"/>
        </w:rPr>
        <w:t xml:space="preserve"> розроб</w:t>
      </w:r>
      <w:r w:rsidR="006133B7">
        <w:rPr>
          <w:rFonts w:ascii="Times New Roman" w:hAnsi="Times New Roman" w:cs="Times New Roman"/>
          <w:kern w:val="0"/>
          <w:sz w:val="24"/>
          <w:szCs w:val="24"/>
        </w:rPr>
        <w:t>лення та реалізацію</w:t>
      </w:r>
      <w:r w:rsidRPr="00F43628">
        <w:rPr>
          <w:rFonts w:ascii="Times New Roman" w:hAnsi="Times New Roman" w:cs="Times New Roman"/>
          <w:kern w:val="0"/>
          <w:sz w:val="24"/>
          <w:szCs w:val="24"/>
        </w:rPr>
        <w:t xml:space="preserve"> </w:t>
      </w:r>
      <w:r>
        <w:rPr>
          <w:rFonts w:ascii="Times New Roman" w:hAnsi="Times New Roman" w:cs="Times New Roman"/>
          <w:kern w:val="0"/>
          <w:sz w:val="24"/>
          <w:szCs w:val="24"/>
        </w:rPr>
        <w:t>освітніх</w:t>
      </w:r>
      <w:r w:rsidRPr="00F43628">
        <w:rPr>
          <w:rFonts w:ascii="Times New Roman" w:hAnsi="Times New Roman" w:cs="Times New Roman"/>
          <w:kern w:val="0"/>
          <w:sz w:val="24"/>
          <w:szCs w:val="24"/>
        </w:rPr>
        <w:t xml:space="preserve"> програм – пропонують їм:</w:t>
      </w:r>
    </w:p>
    <w:p w14:paraId="59F976DD" w14:textId="77777777" w:rsidR="004C2C39" w:rsidRPr="00F43628"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можливості дізнатися про інші контексти та методи викладання і навчання;</w:t>
      </w:r>
    </w:p>
    <w:p w14:paraId="5251E9C1" w14:textId="6E0B3CD9" w:rsidR="004C2C39" w:rsidRPr="00F43628"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різноманітність студентів </w:t>
      </w:r>
      <w:r w:rsidR="0011254C">
        <w:rPr>
          <w:rFonts w:ascii="Times New Roman" w:hAnsi="Times New Roman" w:cs="Times New Roman"/>
          <w:kern w:val="0"/>
          <w:sz w:val="24"/>
          <w:szCs w:val="24"/>
        </w:rPr>
        <w:t>в</w:t>
      </w:r>
      <w:r w:rsidRPr="00F43628">
        <w:rPr>
          <w:rFonts w:ascii="Times New Roman" w:hAnsi="Times New Roman" w:cs="Times New Roman"/>
          <w:kern w:val="0"/>
          <w:sz w:val="24"/>
          <w:szCs w:val="24"/>
        </w:rPr>
        <w:t xml:space="preserve"> аудиторії;</w:t>
      </w:r>
    </w:p>
    <w:p w14:paraId="2B81796A" w14:textId="161E86FD" w:rsidR="004C2C39" w:rsidRPr="00F43628"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мережі для майбутньої співпраці </w:t>
      </w:r>
      <w:r w:rsidR="0011254C">
        <w:rPr>
          <w:rFonts w:ascii="Times New Roman" w:hAnsi="Times New Roman" w:cs="Times New Roman"/>
          <w:kern w:val="0"/>
          <w:sz w:val="24"/>
          <w:szCs w:val="24"/>
        </w:rPr>
        <w:t>у викладанні</w:t>
      </w:r>
      <w:r w:rsidRPr="00F43628">
        <w:rPr>
          <w:rFonts w:ascii="Times New Roman" w:hAnsi="Times New Roman" w:cs="Times New Roman"/>
          <w:kern w:val="0"/>
          <w:sz w:val="24"/>
          <w:szCs w:val="24"/>
        </w:rPr>
        <w:t>;</w:t>
      </w:r>
    </w:p>
    <w:p w14:paraId="211BAB5B" w14:textId="77777777" w:rsidR="004C2C39" w:rsidRPr="00F43628"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дослідницькі контакти;</w:t>
      </w:r>
    </w:p>
    <w:p w14:paraId="3D897F5A" w14:textId="77777777" w:rsidR="004C2C39" w:rsidRPr="00F43628"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можливості для професійного розвитку;</w:t>
      </w:r>
    </w:p>
    <w:p w14:paraId="6AD02D0A" w14:textId="77777777" w:rsidR="0011254C" w:rsidRDefault="004C2C39"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міжкультурні компетен</w:t>
      </w:r>
      <w:r>
        <w:rPr>
          <w:rFonts w:ascii="Times New Roman" w:hAnsi="Times New Roman" w:cs="Times New Roman"/>
          <w:kern w:val="0"/>
          <w:sz w:val="24"/>
          <w:szCs w:val="24"/>
        </w:rPr>
        <w:t>тності</w:t>
      </w:r>
      <w:r w:rsidR="0011254C">
        <w:rPr>
          <w:rFonts w:ascii="Times New Roman" w:hAnsi="Times New Roman" w:cs="Times New Roman"/>
          <w:kern w:val="0"/>
          <w:sz w:val="24"/>
          <w:szCs w:val="24"/>
        </w:rPr>
        <w:t>;</w:t>
      </w:r>
    </w:p>
    <w:p w14:paraId="5EE76980" w14:textId="16D0675D" w:rsidR="004C2C39" w:rsidRPr="00F43628" w:rsidRDefault="0011254C" w:rsidP="00807C90">
      <w:pPr>
        <w:numPr>
          <w:ilvl w:val="0"/>
          <w:numId w:val="12"/>
        </w:numPr>
        <w:autoSpaceDE w:val="0"/>
        <w:autoSpaceDN w:val="0"/>
        <w:adjustRightInd w:val="0"/>
        <w:spacing w:after="0" w:line="240" w:lineRule="auto"/>
        <w:ind w:left="714" w:hanging="357"/>
        <w:rPr>
          <w:rFonts w:ascii="Times New Roman" w:hAnsi="Times New Roman" w:cs="Times New Roman"/>
          <w:kern w:val="0"/>
          <w:sz w:val="24"/>
          <w:szCs w:val="24"/>
        </w:rPr>
      </w:pPr>
      <w:r>
        <w:rPr>
          <w:rFonts w:ascii="Times New Roman" w:hAnsi="Times New Roman" w:cs="Times New Roman"/>
          <w:kern w:val="0"/>
          <w:sz w:val="24"/>
          <w:szCs w:val="24"/>
        </w:rPr>
        <w:t>додаткові фінансові джерела</w:t>
      </w:r>
      <w:r w:rsidR="004C2C39" w:rsidRPr="00F43628">
        <w:rPr>
          <w:rFonts w:ascii="Times New Roman" w:hAnsi="Times New Roman" w:cs="Times New Roman"/>
          <w:kern w:val="0"/>
          <w:sz w:val="24"/>
          <w:szCs w:val="24"/>
        </w:rPr>
        <w:t>.</w:t>
      </w:r>
    </w:p>
    <w:p w14:paraId="6EC72A1D" w14:textId="77777777" w:rsidR="004C2C39" w:rsidRPr="00EE0016" w:rsidRDefault="004C2C39" w:rsidP="007F6A27">
      <w:pPr>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EE0016">
        <w:rPr>
          <w:rFonts w:ascii="Times New Roman" w:hAnsi="Times New Roman" w:cs="Times New Roman"/>
          <w:color w:val="365F91" w:themeColor="accent1" w:themeShade="BF"/>
          <w:kern w:val="0"/>
          <w:sz w:val="24"/>
          <w:szCs w:val="24"/>
        </w:rPr>
        <w:t>Переваги для студентів</w:t>
      </w:r>
    </w:p>
    <w:p w14:paraId="69A799D6" w14:textId="5DB962C4" w:rsidR="004C2C39" w:rsidRPr="00F43628" w:rsidRDefault="004C2C39" w:rsidP="00A339B6">
      <w:pPr>
        <w:autoSpaceDE w:val="0"/>
        <w:autoSpaceDN w:val="0"/>
        <w:adjustRightInd w:val="0"/>
        <w:spacing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Основною перевагою для студентів є можливість скористатися міжнародною спільно розробленою </w:t>
      </w:r>
      <w:r>
        <w:rPr>
          <w:rFonts w:ascii="Times New Roman" w:hAnsi="Times New Roman" w:cs="Times New Roman"/>
          <w:kern w:val="0"/>
          <w:sz w:val="24"/>
          <w:szCs w:val="24"/>
        </w:rPr>
        <w:t>освітньою</w:t>
      </w:r>
      <w:r w:rsidRPr="00F43628">
        <w:rPr>
          <w:rFonts w:ascii="Times New Roman" w:hAnsi="Times New Roman" w:cs="Times New Roman"/>
          <w:kern w:val="0"/>
          <w:sz w:val="24"/>
          <w:szCs w:val="24"/>
        </w:rPr>
        <w:t xml:space="preserve"> програмою, що поєднує академічний досвід, доступний у різних країнах, гарантує автоматичне визнання періоду</w:t>
      </w:r>
      <w:r w:rsidR="00A339B6">
        <w:rPr>
          <w:rFonts w:ascii="Times New Roman" w:hAnsi="Times New Roman" w:cs="Times New Roman"/>
          <w:kern w:val="0"/>
          <w:sz w:val="24"/>
          <w:szCs w:val="24"/>
        </w:rPr>
        <w:t xml:space="preserve"> мобільності та</w:t>
      </w:r>
      <w:r w:rsidRPr="00F43628">
        <w:rPr>
          <w:rFonts w:ascii="Times New Roman" w:hAnsi="Times New Roman" w:cs="Times New Roman"/>
          <w:kern w:val="0"/>
          <w:sz w:val="24"/>
          <w:szCs w:val="24"/>
        </w:rPr>
        <w:t xml:space="preserve"> призводить до отримання </w:t>
      </w:r>
      <w:r w:rsidR="00A339B6">
        <w:rPr>
          <w:rFonts w:ascii="Times New Roman" w:hAnsi="Times New Roman" w:cs="Times New Roman"/>
          <w:kern w:val="0"/>
          <w:sz w:val="24"/>
          <w:szCs w:val="24"/>
        </w:rPr>
        <w:t xml:space="preserve">визнаного </w:t>
      </w:r>
      <w:r w:rsidRPr="00F43628">
        <w:rPr>
          <w:rFonts w:ascii="Times New Roman" w:hAnsi="Times New Roman" w:cs="Times New Roman"/>
          <w:kern w:val="0"/>
          <w:sz w:val="24"/>
          <w:szCs w:val="24"/>
        </w:rPr>
        <w:t>спільного/подвійного/багатостороннього диплому.</w:t>
      </w:r>
    </w:p>
    <w:p w14:paraId="00637D75" w14:textId="1F1CD9B0" w:rsidR="004C2C39" w:rsidRPr="00F43628" w:rsidRDefault="004C2C39" w:rsidP="00A339B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lastRenderedPageBreak/>
        <w:t>Для аспірантів і магістрів спільні програми пропонують хороші можливості для співпраці з висококваліфікованими дослідниками, з к</w:t>
      </w:r>
      <w:r>
        <w:rPr>
          <w:rFonts w:ascii="Times New Roman" w:hAnsi="Times New Roman" w:cs="Times New Roman"/>
          <w:kern w:val="0"/>
          <w:sz w:val="24"/>
          <w:szCs w:val="24"/>
        </w:rPr>
        <w:t>о</w:t>
      </w:r>
      <w:r w:rsidRPr="00F43628">
        <w:rPr>
          <w:rFonts w:ascii="Times New Roman" w:hAnsi="Times New Roman" w:cs="Times New Roman"/>
          <w:kern w:val="0"/>
          <w:sz w:val="24"/>
          <w:szCs w:val="24"/>
        </w:rPr>
        <w:t xml:space="preserve">мпліментарними знаннями та навичками, увійти в нові академічні мережі та працювати в частині світу, яка відповідає їхнім інтересам. </w:t>
      </w:r>
    </w:p>
    <w:p w14:paraId="03D090C1" w14:textId="25B14FA0" w:rsidR="004C2C39" w:rsidRDefault="004C2C39" w:rsidP="00A339B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w:t>
      </w:r>
      <w:r w:rsidRPr="00F43628">
        <w:rPr>
          <w:rFonts w:ascii="Times New Roman" w:hAnsi="Times New Roman" w:cs="Times New Roman"/>
          <w:kern w:val="0"/>
          <w:sz w:val="24"/>
          <w:szCs w:val="24"/>
        </w:rPr>
        <w:t>сновні причини для студентів вступити на спільну програму базуються на різних аспектах мобільності: (i) проживання в іншій країні під час навчання, (ii) взаємодія з новою культурою</w:t>
      </w:r>
      <w:r w:rsidR="00A252A7">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(iii) перебування в іншому освітньому/академічному середовищі</w:t>
      </w:r>
      <w:r>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(iv) отримання доступу до більшої кількості можливостей працевлаштування,</w:t>
      </w:r>
      <w:r w:rsidR="00A252A7">
        <w:rPr>
          <w:rFonts w:ascii="Times New Roman" w:hAnsi="Times New Roman" w:cs="Times New Roman"/>
          <w:kern w:val="0"/>
          <w:sz w:val="24"/>
          <w:szCs w:val="24"/>
        </w:rPr>
        <w:t xml:space="preserve"> зокрема</w:t>
      </w:r>
      <w:r w:rsidRPr="00F43628">
        <w:rPr>
          <w:rFonts w:ascii="Times New Roman" w:hAnsi="Times New Roman" w:cs="Times New Roman"/>
          <w:kern w:val="0"/>
          <w:sz w:val="24"/>
          <w:szCs w:val="24"/>
        </w:rPr>
        <w:t xml:space="preserve"> </w:t>
      </w:r>
      <w:r w:rsidR="00A252A7" w:rsidRPr="00F43628">
        <w:rPr>
          <w:rFonts w:ascii="Times New Roman" w:hAnsi="Times New Roman" w:cs="Times New Roman"/>
          <w:kern w:val="0"/>
          <w:sz w:val="24"/>
          <w:szCs w:val="24"/>
        </w:rPr>
        <w:t>в іншій країні</w:t>
      </w:r>
      <w:r w:rsidR="00A252A7">
        <w:rPr>
          <w:rFonts w:ascii="Times New Roman" w:hAnsi="Times New Roman" w:cs="Times New Roman"/>
          <w:kern w:val="0"/>
          <w:sz w:val="24"/>
          <w:szCs w:val="24"/>
        </w:rPr>
        <w:t>,</w:t>
      </w:r>
      <w:r w:rsidR="00A252A7"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(v) кращі перспективи отримати</w:t>
      </w:r>
      <w:r w:rsidR="00A252A7">
        <w:rPr>
          <w:rFonts w:ascii="Times New Roman" w:hAnsi="Times New Roman" w:cs="Times New Roman"/>
          <w:kern w:val="0"/>
          <w:sz w:val="24"/>
          <w:szCs w:val="24"/>
        </w:rPr>
        <w:t xml:space="preserve"> бажану</w:t>
      </w:r>
      <w:r w:rsidRPr="00F43628">
        <w:rPr>
          <w:rFonts w:ascii="Times New Roman" w:hAnsi="Times New Roman" w:cs="Times New Roman"/>
          <w:kern w:val="0"/>
          <w:sz w:val="24"/>
          <w:szCs w:val="24"/>
        </w:rPr>
        <w:t xml:space="preserve"> роботу.</w:t>
      </w:r>
    </w:p>
    <w:p w14:paraId="7318D9E4" w14:textId="2DD684B8" w:rsidR="00046EF8" w:rsidRDefault="00046EF8" w:rsidP="00046EF8">
      <w:pPr>
        <w:pStyle w:val="2"/>
        <w:spacing w:before="100" w:beforeAutospacing="1" w:after="100" w:afterAutospacing="1" w:line="240" w:lineRule="auto"/>
        <w:rPr>
          <w:rFonts w:ascii="Times New Roman" w:hAnsi="Times New Roman" w:cs="Times New Roman"/>
          <w:b/>
          <w:bCs/>
          <w:sz w:val="24"/>
          <w:szCs w:val="24"/>
        </w:rPr>
      </w:pPr>
      <w:bookmarkStart w:id="17" w:name="_Toc188337423"/>
      <w:r>
        <w:rPr>
          <w:rFonts w:ascii="Times New Roman" w:hAnsi="Times New Roman" w:cs="Times New Roman"/>
          <w:b/>
          <w:bCs/>
          <w:sz w:val="24"/>
          <w:szCs w:val="24"/>
        </w:rPr>
        <w:t>6</w:t>
      </w:r>
      <w:r w:rsidRPr="00046EF8">
        <w:rPr>
          <w:rFonts w:ascii="Times New Roman" w:hAnsi="Times New Roman" w:cs="Times New Roman"/>
          <w:b/>
          <w:bCs/>
          <w:sz w:val="24"/>
          <w:szCs w:val="24"/>
        </w:rPr>
        <w:t>.</w:t>
      </w:r>
      <w:r>
        <w:rPr>
          <w:rFonts w:ascii="Times New Roman" w:hAnsi="Times New Roman" w:cs="Times New Roman"/>
          <w:b/>
          <w:bCs/>
          <w:sz w:val="24"/>
          <w:szCs w:val="24"/>
        </w:rPr>
        <w:t>2</w:t>
      </w:r>
      <w:r w:rsidRPr="00046EF8">
        <w:rPr>
          <w:rFonts w:ascii="Times New Roman" w:hAnsi="Times New Roman" w:cs="Times New Roman"/>
          <w:b/>
          <w:bCs/>
          <w:sz w:val="24"/>
          <w:szCs w:val="24"/>
        </w:rPr>
        <w:t>. Маркетинг</w:t>
      </w:r>
      <w:bookmarkEnd w:id="17"/>
    </w:p>
    <w:p w14:paraId="32710449" w14:textId="3553D040" w:rsidR="007A6AB0" w:rsidRPr="00F43628" w:rsidRDefault="00223C2B" w:rsidP="007A6AB0">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Завдання м</w:t>
      </w:r>
      <w:r w:rsidR="007A6AB0" w:rsidRPr="00F43628">
        <w:rPr>
          <w:rFonts w:ascii="Times New Roman" w:hAnsi="Times New Roman" w:cs="Times New Roman"/>
          <w:kern w:val="0"/>
          <w:sz w:val="24"/>
          <w:szCs w:val="24"/>
        </w:rPr>
        <w:t>аркетинг</w:t>
      </w:r>
      <w:r>
        <w:rPr>
          <w:rFonts w:ascii="Times New Roman" w:hAnsi="Times New Roman" w:cs="Times New Roman"/>
          <w:kern w:val="0"/>
          <w:sz w:val="24"/>
          <w:szCs w:val="24"/>
        </w:rPr>
        <w:t>ової діяльності</w:t>
      </w:r>
      <w:r w:rsidR="007A6AB0" w:rsidRPr="00F43628">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задля просування </w:t>
      </w:r>
      <w:r w:rsidR="007A6AB0" w:rsidRPr="00F43628">
        <w:rPr>
          <w:rFonts w:ascii="Times New Roman" w:hAnsi="Times New Roman" w:cs="Times New Roman"/>
          <w:kern w:val="0"/>
          <w:sz w:val="24"/>
          <w:szCs w:val="24"/>
        </w:rPr>
        <w:t xml:space="preserve">спільних програм </w:t>
      </w:r>
      <w:r>
        <w:rPr>
          <w:rFonts w:ascii="Times New Roman" w:hAnsi="Times New Roman" w:cs="Times New Roman"/>
          <w:kern w:val="0"/>
          <w:sz w:val="24"/>
          <w:szCs w:val="24"/>
        </w:rPr>
        <w:t xml:space="preserve">полягає у </w:t>
      </w:r>
      <w:r w:rsidR="007A6AB0" w:rsidRPr="00F43628">
        <w:rPr>
          <w:rFonts w:ascii="Times New Roman" w:hAnsi="Times New Roman" w:cs="Times New Roman"/>
          <w:kern w:val="0"/>
          <w:sz w:val="24"/>
          <w:szCs w:val="24"/>
        </w:rPr>
        <w:t>роз’ясн</w:t>
      </w:r>
      <w:r>
        <w:rPr>
          <w:rFonts w:ascii="Times New Roman" w:hAnsi="Times New Roman" w:cs="Times New Roman"/>
          <w:kern w:val="0"/>
          <w:sz w:val="24"/>
          <w:szCs w:val="24"/>
        </w:rPr>
        <w:t>енні</w:t>
      </w:r>
      <w:r w:rsidR="007A6AB0" w:rsidRPr="00F43628">
        <w:rPr>
          <w:rFonts w:ascii="Times New Roman" w:hAnsi="Times New Roman" w:cs="Times New Roman"/>
          <w:kern w:val="0"/>
          <w:sz w:val="24"/>
          <w:szCs w:val="24"/>
        </w:rPr>
        <w:t xml:space="preserve"> потенційним </w:t>
      </w:r>
      <w:r>
        <w:rPr>
          <w:rFonts w:ascii="Times New Roman" w:hAnsi="Times New Roman" w:cs="Times New Roman"/>
          <w:kern w:val="0"/>
          <w:sz w:val="24"/>
          <w:szCs w:val="24"/>
        </w:rPr>
        <w:t>вступникам</w:t>
      </w:r>
      <w:r w:rsidR="007A6AB0" w:rsidRPr="00F43628">
        <w:rPr>
          <w:rFonts w:ascii="Times New Roman" w:hAnsi="Times New Roman" w:cs="Times New Roman"/>
          <w:kern w:val="0"/>
          <w:sz w:val="24"/>
          <w:szCs w:val="24"/>
        </w:rPr>
        <w:t xml:space="preserve"> додаткову цінність спільної програми</w:t>
      </w:r>
      <w:r>
        <w:rPr>
          <w:rFonts w:ascii="Times New Roman" w:hAnsi="Times New Roman" w:cs="Times New Roman"/>
          <w:kern w:val="0"/>
          <w:sz w:val="24"/>
          <w:szCs w:val="24"/>
        </w:rPr>
        <w:t xml:space="preserve">, </w:t>
      </w:r>
      <w:r w:rsidR="007A6AB0" w:rsidRPr="00F43628">
        <w:rPr>
          <w:rFonts w:ascii="Times New Roman" w:hAnsi="Times New Roman" w:cs="Times New Roman"/>
          <w:kern w:val="0"/>
          <w:sz w:val="24"/>
          <w:szCs w:val="24"/>
        </w:rPr>
        <w:t>наголо</w:t>
      </w:r>
      <w:r>
        <w:rPr>
          <w:rFonts w:ascii="Times New Roman" w:hAnsi="Times New Roman" w:cs="Times New Roman"/>
          <w:kern w:val="0"/>
          <w:sz w:val="24"/>
          <w:szCs w:val="24"/>
        </w:rPr>
        <w:t>шуючи</w:t>
      </w:r>
      <w:r w:rsidR="007A6AB0" w:rsidRPr="00F43628">
        <w:rPr>
          <w:rFonts w:ascii="Times New Roman" w:hAnsi="Times New Roman" w:cs="Times New Roman"/>
          <w:kern w:val="0"/>
          <w:sz w:val="24"/>
          <w:szCs w:val="24"/>
        </w:rPr>
        <w:t xml:space="preserve"> на інформації про результати навчання за програмою та рівень готовності до працевлаштування, на який можна розраховувати, щоб зміцнити позиції студентів на ринку праці після завершення програми. У маркетингових повідомленнях </w:t>
      </w:r>
      <w:r>
        <w:rPr>
          <w:rFonts w:ascii="Times New Roman" w:hAnsi="Times New Roman" w:cs="Times New Roman"/>
          <w:kern w:val="0"/>
          <w:sz w:val="24"/>
          <w:szCs w:val="24"/>
        </w:rPr>
        <w:t xml:space="preserve">важливо </w:t>
      </w:r>
      <w:r w:rsidR="007A6AB0" w:rsidRPr="00F43628">
        <w:rPr>
          <w:rFonts w:ascii="Times New Roman" w:hAnsi="Times New Roman" w:cs="Times New Roman"/>
          <w:kern w:val="0"/>
          <w:sz w:val="24"/>
          <w:szCs w:val="24"/>
        </w:rPr>
        <w:t>вка</w:t>
      </w:r>
      <w:r>
        <w:rPr>
          <w:rFonts w:ascii="Times New Roman" w:hAnsi="Times New Roman" w:cs="Times New Roman"/>
          <w:kern w:val="0"/>
          <w:sz w:val="24"/>
          <w:szCs w:val="24"/>
        </w:rPr>
        <w:t>зати</w:t>
      </w:r>
      <w:r w:rsidR="007A6AB0" w:rsidRPr="00F43628">
        <w:rPr>
          <w:rFonts w:ascii="Times New Roman" w:hAnsi="Times New Roman" w:cs="Times New Roman"/>
          <w:kern w:val="0"/>
          <w:sz w:val="24"/>
          <w:szCs w:val="24"/>
        </w:rPr>
        <w:t xml:space="preserve">, що випускники </w:t>
      </w:r>
      <w:r>
        <w:rPr>
          <w:rFonts w:ascii="Times New Roman" w:hAnsi="Times New Roman" w:cs="Times New Roman"/>
          <w:kern w:val="0"/>
          <w:sz w:val="24"/>
          <w:szCs w:val="24"/>
        </w:rPr>
        <w:t>закладу відзначають щодо</w:t>
      </w:r>
      <w:r w:rsidR="007A6AB0" w:rsidRPr="00F43628">
        <w:rPr>
          <w:rFonts w:ascii="Times New Roman" w:hAnsi="Times New Roman" w:cs="Times New Roman"/>
          <w:kern w:val="0"/>
          <w:sz w:val="24"/>
          <w:szCs w:val="24"/>
        </w:rPr>
        <w:t xml:space="preserve"> цінн</w:t>
      </w:r>
      <w:r>
        <w:rPr>
          <w:rFonts w:ascii="Times New Roman" w:hAnsi="Times New Roman" w:cs="Times New Roman"/>
          <w:kern w:val="0"/>
          <w:sz w:val="24"/>
          <w:szCs w:val="24"/>
        </w:rPr>
        <w:t>ості</w:t>
      </w:r>
      <w:r w:rsidR="007A6AB0" w:rsidRPr="00F43628">
        <w:rPr>
          <w:rFonts w:ascii="Times New Roman" w:hAnsi="Times New Roman" w:cs="Times New Roman"/>
          <w:kern w:val="0"/>
          <w:sz w:val="24"/>
          <w:szCs w:val="24"/>
        </w:rPr>
        <w:t xml:space="preserve"> спільної програми, а також</w:t>
      </w:r>
      <w:r w:rsidR="001739B2">
        <w:rPr>
          <w:rFonts w:ascii="Times New Roman" w:hAnsi="Times New Roman" w:cs="Times New Roman"/>
          <w:kern w:val="0"/>
          <w:sz w:val="24"/>
          <w:szCs w:val="24"/>
        </w:rPr>
        <w:t>,</w:t>
      </w:r>
      <w:r w:rsidR="007A6AB0" w:rsidRPr="00F43628">
        <w:rPr>
          <w:rFonts w:ascii="Times New Roman" w:hAnsi="Times New Roman" w:cs="Times New Roman"/>
          <w:kern w:val="0"/>
          <w:sz w:val="24"/>
          <w:szCs w:val="24"/>
        </w:rPr>
        <w:t xml:space="preserve"> </w:t>
      </w:r>
      <w:r w:rsidR="001739B2">
        <w:rPr>
          <w:rFonts w:ascii="Times New Roman" w:hAnsi="Times New Roman" w:cs="Times New Roman"/>
          <w:kern w:val="0"/>
          <w:sz w:val="24"/>
          <w:szCs w:val="24"/>
        </w:rPr>
        <w:t>як</w:t>
      </w:r>
      <w:r w:rsidR="007A6AB0" w:rsidRPr="00F43628">
        <w:rPr>
          <w:rFonts w:ascii="Times New Roman" w:hAnsi="Times New Roman" w:cs="Times New Roman"/>
          <w:kern w:val="0"/>
          <w:sz w:val="24"/>
          <w:szCs w:val="24"/>
        </w:rPr>
        <w:t xml:space="preserve"> </w:t>
      </w:r>
      <w:r w:rsidR="001739B2" w:rsidRPr="00F43628">
        <w:rPr>
          <w:rFonts w:ascii="Times New Roman" w:hAnsi="Times New Roman" w:cs="Times New Roman"/>
          <w:kern w:val="0"/>
          <w:sz w:val="24"/>
          <w:szCs w:val="24"/>
        </w:rPr>
        <w:t xml:space="preserve">вони </w:t>
      </w:r>
      <w:r w:rsidR="007A6AB0" w:rsidRPr="00F43628">
        <w:rPr>
          <w:rFonts w:ascii="Times New Roman" w:hAnsi="Times New Roman" w:cs="Times New Roman"/>
          <w:kern w:val="0"/>
          <w:sz w:val="24"/>
          <w:szCs w:val="24"/>
        </w:rPr>
        <w:t xml:space="preserve">знайшли роботу і де працюють зараз. Акцент на можливостях студентів на ринку праці також буде перевагою у висвітленні співпраці з бізнес-спільнотою та державними органами </w:t>
      </w:r>
      <w:r w:rsidR="001739B2">
        <w:rPr>
          <w:rFonts w:ascii="Times New Roman" w:hAnsi="Times New Roman" w:cs="Times New Roman"/>
          <w:kern w:val="0"/>
          <w:sz w:val="24"/>
          <w:szCs w:val="24"/>
        </w:rPr>
        <w:t>в контексті</w:t>
      </w:r>
      <w:r w:rsidR="007A6AB0" w:rsidRPr="00F43628">
        <w:rPr>
          <w:rFonts w:ascii="Times New Roman" w:hAnsi="Times New Roman" w:cs="Times New Roman"/>
          <w:kern w:val="0"/>
          <w:sz w:val="24"/>
          <w:szCs w:val="24"/>
        </w:rPr>
        <w:t xml:space="preserve"> вступ</w:t>
      </w:r>
      <w:r w:rsidR="001739B2">
        <w:rPr>
          <w:rFonts w:ascii="Times New Roman" w:hAnsi="Times New Roman" w:cs="Times New Roman"/>
          <w:kern w:val="0"/>
          <w:sz w:val="24"/>
          <w:szCs w:val="24"/>
        </w:rPr>
        <w:t>ної кампанії</w:t>
      </w:r>
      <w:r w:rsidR="007A6AB0" w:rsidRPr="00F43628">
        <w:rPr>
          <w:rFonts w:ascii="Times New Roman" w:hAnsi="Times New Roman" w:cs="Times New Roman"/>
          <w:kern w:val="0"/>
          <w:sz w:val="24"/>
          <w:szCs w:val="24"/>
        </w:rPr>
        <w:t>.</w:t>
      </w:r>
    </w:p>
    <w:p w14:paraId="7191AC4E" w14:textId="1E0B0965" w:rsidR="00693694" w:rsidRPr="00F43628" w:rsidRDefault="00693694" w:rsidP="00F25A93">
      <w:pPr>
        <w:numPr>
          <w:ilvl w:val="0"/>
          <w:numId w:val="32"/>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Розробіть спільну маркетингову стратегію з партнером(ами), залучивши до неї всі </w:t>
      </w:r>
      <w:r w:rsidR="001739B2">
        <w:rPr>
          <w:rFonts w:ascii="Times New Roman" w:hAnsi="Times New Roman" w:cs="Times New Roman"/>
          <w:kern w:val="0"/>
          <w:sz w:val="24"/>
          <w:szCs w:val="24"/>
        </w:rPr>
        <w:t>необхідні структурні підрозділи</w:t>
      </w:r>
      <w:r w:rsidRPr="00F43628">
        <w:rPr>
          <w:rFonts w:ascii="Times New Roman" w:hAnsi="Times New Roman" w:cs="Times New Roman"/>
          <w:kern w:val="0"/>
          <w:sz w:val="24"/>
          <w:szCs w:val="24"/>
        </w:rPr>
        <w:t xml:space="preserve"> </w:t>
      </w:r>
      <w:r w:rsidR="001739B2">
        <w:rPr>
          <w:rFonts w:ascii="Times New Roman" w:hAnsi="Times New Roman" w:cs="Times New Roman"/>
          <w:kern w:val="0"/>
          <w:sz w:val="24"/>
          <w:szCs w:val="24"/>
        </w:rPr>
        <w:t xml:space="preserve">закладів, а в </w:t>
      </w:r>
      <w:r w:rsidRPr="00F43628">
        <w:rPr>
          <w:rFonts w:ascii="Times New Roman" w:hAnsi="Times New Roman" w:cs="Times New Roman"/>
          <w:kern w:val="0"/>
          <w:sz w:val="24"/>
          <w:szCs w:val="24"/>
        </w:rPr>
        <w:t>усіх маркетингових заходах намагайтеся використовувати ресурси, що вже існують у заклад</w:t>
      </w:r>
      <w:r w:rsidR="001739B2">
        <w:rPr>
          <w:rFonts w:ascii="Times New Roman" w:hAnsi="Times New Roman" w:cs="Times New Roman"/>
          <w:kern w:val="0"/>
          <w:sz w:val="24"/>
          <w:szCs w:val="24"/>
        </w:rPr>
        <w:t>ах</w:t>
      </w:r>
      <w:r w:rsidRPr="00F43628">
        <w:rPr>
          <w:rFonts w:ascii="Times New Roman" w:hAnsi="Times New Roman" w:cs="Times New Roman"/>
          <w:kern w:val="0"/>
          <w:sz w:val="24"/>
          <w:szCs w:val="24"/>
        </w:rPr>
        <w:t>.</w:t>
      </w:r>
    </w:p>
    <w:p w14:paraId="7C8C22A5" w14:textId="5168921C" w:rsidR="00693694" w:rsidRPr="00F43628" w:rsidRDefault="00693694" w:rsidP="00F25A93">
      <w:pPr>
        <w:numPr>
          <w:ilvl w:val="0"/>
          <w:numId w:val="32"/>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Використовуйте індивідуальний підхід до різних аудиторій</w:t>
      </w:r>
      <w:r w:rsidR="001739B2">
        <w:rPr>
          <w:rFonts w:ascii="Times New Roman" w:hAnsi="Times New Roman" w:cs="Times New Roman"/>
          <w:kern w:val="0"/>
          <w:sz w:val="24"/>
          <w:szCs w:val="24"/>
        </w:rPr>
        <w:t xml:space="preserve">, а </w:t>
      </w:r>
      <w:r w:rsidRPr="00F43628">
        <w:rPr>
          <w:rFonts w:ascii="Times New Roman" w:hAnsi="Times New Roman" w:cs="Times New Roman"/>
          <w:kern w:val="0"/>
          <w:sz w:val="24"/>
          <w:szCs w:val="24"/>
        </w:rPr>
        <w:t xml:space="preserve">мережі випускників </w:t>
      </w:r>
      <w:r w:rsidR="001739B2">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партнерів як основні канали</w:t>
      </w:r>
      <w:r w:rsidR="001739B2">
        <w:rPr>
          <w:rFonts w:ascii="Times New Roman" w:hAnsi="Times New Roman" w:cs="Times New Roman"/>
          <w:kern w:val="0"/>
          <w:sz w:val="24"/>
          <w:szCs w:val="24"/>
        </w:rPr>
        <w:t xml:space="preserve"> комунікації</w:t>
      </w:r>
      <w:r w:rsidRPr="00F43628">
        <w:rPr>
          <w:rFonts w:ascii="Times New Roman" w:hAnsi="Times New Roman" w:cs="Times New Roman"/>
          <w:kern w:val="0"/>
          <w:sz w:val="24"/>
          <w:szCs w:val="24"/>
        </w:rPr>
        <w:t xml:space="preserve">. Проведіть маркетингові дослідження, складіть перелік відповідних суміжних </w:t>
      </w:r>
      <w:r w:rsidR="001739B2">
        <w:rPr>
          <w:rFonts w:ascii="Times New Roman" w:hAnsi="Times New Roman" w:cs="Times New Roman"/>
          <w:kern w:val="0"/>
          <w:sz w:val="24"/>
          <w:szCs w:val="24"/>
        </w:rPr>
        <w:t xml:space="preserve">освітніх </w:t>
      </w:r>
      <w:r w:rsidRPr="00F43628">
        <w:rPr>
          <w:rFonts w:ascii="Times New Roman" w:hAnsi="Times New Roman" w:cs="Times New Roman"/>
          <w:kern w:val="0"/>
          <w:sz w:val="24"/>
          <w:szCs w:val="24"/>
        </w:rPr>
        <w:t>програм (бакалаврських</w:t>
      </w:r>
      <w:r w:rsidR="001739B2">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магістерськ</w:t>
      </w:r>
      <w:r w:rsidR="001739B2">
        <w:rPr>
          <w:rFonts w:ascii="Times New Roman" w:hAnsi="Times New Roman" w:cs="Times New Roman"/>
          <w:kern w:val="0"/>
          <w:sz w:val="24"/>
          <w:szCs w:val="24"/>
        </w:rPr>
        <w:t>их</w:t>
      </w:r>
      <w:r w:rsidRPr="00F43628">
        <w:rPr>
          <w:rFonts w:ascii="Times New Roman" w:hAnsi="Times New Roman" w:cs="Times New Roman"/>
          <w:kern w:val="0"/>
          <w:sz w:val="24"/>
          <w:szCs w:val="24"/>
        </w:rPr>
        <w:t>).</w:t>
      </w:r>
    </w:p>
    <w:p w14:paraId="271A0CF4" w14:textId="114CBEAF" w:rsidR="00693694" w:rsidRPr="00F43628" w:rsidRDefault="00693694" w:rsidP="00F25A93">
      <w:pPr>
        <w:numPr>
          <w:ilvl w:val="0"/>
          <w:numId w:val="32"/>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Діяльність з </w:t>
      </w:r>
      <w:r w:rsidR="000F6A98" w:rsidRPr="00F43628">
        <w:rPr>
          <w:rFonts w:ascii="Times New Roman" w:hAnsi="Times New Roman" w:cs="Times New Roman"/>
          <w:kern w:val="0"/>
          <w:sz w:val="24"/>
          <w:szCs w:val="24"/>
        </w:rPr>
        <w:t xml:space="preserve">національний </w:t>
      </w:r>
      <w:r w:rsidR="000F6A98">
        <w:rPr>
          <w:rFonts w:ascii="Times New Roman" w:hAnsi="Times New Roman" w:cs="Times New Roman"/>
          <w:kern w:val="0"/>
          <w:sz w:val="24"/>
          <w:szCs w:val="24"/>
        </w:rPr>
        <w:t xml:space="preserve">та </w:t>
      </w:r>
      <w:r w:rsidRPr="00F43628">
        <w:rPr>
          <w:rFonts w:ascii="Times New Roman" w:hAnsi="Times New Roman" w:cs="Times New Roman"/>
          <w:kern w:val="0"/>
          <w:sz w:val="24"/>
          <w:szCs w:val="24"/>
        </w:rPr>
        <w:t>глобально</w:t>
      </w:r>
      <w:r w:rsidR="000F6A98">
        <w:rPr>
          <w:rFonts w:ascii="Times New Roman" w:hAnsi="Times New Roman" w:cs="Times New Roman"/>
          <w:kern w:val="0"/>
          <w:sz w:val="24"/>
          <w:szCs w:val="24"/>
        </w:rPr>
        <w:t xml:space="preserve">ї комунікації </w:t>
      </w:r>
      <w:r w:rsidRPr="00F43628">
        <w:rPr>
          <w:rFonts w:ascii="Times New Roman" w:hAnsi="Times New Roman" w:cs="Times New Roman"/>
          <w:kern w:val="0"/>
          <w:sz w:val="24"/>
          <w:szCs w:val="24"/>
        </w:rPr>
        <w:t xml:space="preserve">має важливе значення для підвищення видимості спільної програми серед роботодавців </w:t>
      </w:r>
      <w:r w:rsidR="000F6A98">
        <w:rPr>
          <w:rFonts w:ascii="Times New Roman" w:hAnsi="Times New Roman" w:cs="Times New Roman"/>
          <w:kern w:val="0"/>
          <w:sz w:val="24"/>
          <w:szCs w:val="24"/>
        </w:rPr>
        <w:t>і для</w:t>
      </w:r>
      <w:r w:rsidRPr="00F43628">
        <w:rPr>
          <w:rFonts w:ascii="Times New Roman" w:hAnsi="Times New Roman" w:cs="Times New Roman"/>
          <w:kern w:val="0"/>
          <w:sz w:val="24"/>
          <w:szCs w:val="24"/>
        </w:rPr>
        <w:t xml:space="preserve"> покращення можливостей працевлаштування</w:t>
      </w:r>
      <w:r w:rsidR="000F6A98">
        <w:rPr>
          <w:rFonts w:ascii="Times New Roman" w:hAnsi="Times New Roman" w:cs="Times New Roman"/>
          <w:kern w:val="0"/>
          <w:sz w:val="24"/>
          <w:szCs w:val="24"/>
        </w:rPr>
        <w:t xml:space="preserve"> випускників</w:t>
      </w:r>
      <w:r w:rsidRPr="00F43628">
        <w:rPr>
          <w:rFonts w:ascii="Times New Roman" w:hAnsi="Times New Roman" w:cs="Times New Roman"/>
          <w:kern w:val="0"/>
          <w:sz w:val="24"/>
          <w:szCs w:val="24"/>
        </w:rPr>
        <w:t>.</w:t>
      </w:r>
    </w:p>
    <w:p w14:paraId="2D6FAD9B" w14:textId="633B23EC" w:rsidR="00693694" w:rsidRPr="00F43628" w:rsidRDefault="00693694" w:rsidP="00F25A93">
      <w:pPr>
        <w:numPr>
          <w:ilvl w:val="0"/>
          <w:numId w:val="32"/>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У всіх повідомленнях будьте прозорими щодо можливостей працевлаштування.</w:t>
      </w:r>
    </w:p>
    <w:p w14:paraId="3063D94B" w14:textId="1DA3DB74" w:rsidR="00693694" w:rsidRPr="00F43628" w:rsidRDefault="00693694" w:rsidP="00F25A93">
      <w:pPr>
        <w:numPr>
          <w:ilvl w:val="0"/>
          <w:numId w:val="32"/>
        </w:numPr>
        <w:autoSpaceDE w:val="0"/>
        <w:autoSpaceDN w:val="0"/>
        <w:adjustRightInd w:val="0"/>
        <w:spacing w:after="0" w:line="240" w:lineRule="auto"/>
        <w:ind w:left="714" w:hanging="357"/>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Наголошуйте </w:t>
      </w:r>
      <w:r w:rsidR="00F02CCE">
        <w:rPr>
          <w:rFonts w:ascii="Times New Roman" w:hAnsi="Times New Roman" w:cs="Times New Roman"/>
          <w:kern w:val="0"/>
          <w:sz w:val="24"/>
          <w:szCs w:val="24"/>
        </w:rPr>
        <w:t xml:space="preserve">на </w:t>
      </w:r>
      <w:r w:rsidRPr="00F43628">
        <w:rPr>
          <w:rFonts w:ascii="Times New Roman" w:hAnsi="Times New Roman" w:cs="Times New Roman"/>
          <w:kern w:val="0"/>
          <w:sz w:val="24"/>
          <w:szCs w:val="24"/>
        </w:rPr>
        <w:t>конкурентоспроможн</w:t>
      </w:r>
      <w:r w:rsidR="00F02CCE">
        <w:rPr>
          <w:rFonts w:ascii="Times New Roman" w:hAnsi="Times New Roman" w:cs="Times New Roman"/>
          <w:kern w:val="0"/>
          <w:sz w:val="24"/>
          <w:szCs w:val="24"/>
        </w:rPr>
        <w:t>ості спільної</w:t>
      </w:r>
      <w:r w:rsidRPr="00F43628">
        <w:rPr>
          <w:rFonts w:ascii="Times New Roman" w:hAnsi="Times New Roman" w:cs="Times New Roman"/>
          <w:kern w:val="0"/>
          <w:sz w:val="24"/>
          <w:szCs w:val="24"/>
        </w:rPr>
        <w:t xml:space="preserve"> програми.</w:t>
      </w:r>
    </w:p>
    <w:p w14:paraId="0193DEC1" w14:textId="4D07C9BA" w:rsidR="00693694" w:rsidRPr="00F43628" w:rsidRDefault="00693694" w:rsidP="00F25A93">
      <w:pPr>
        <w:numPr>
          <w:ilvl w:val="0"/>
          <w:numId w:val="32"/>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Визначте унікальні переваги</w:t>
      </w:r>
      <w:r w:rsidR="00F02CCE">
        <w:rPr>
          <w:rFonts w:ascii="Times New Roman" w:hAnsi="Times New Roman" w:cs="Times New Roman"/>
          <w:kern w:val="0"/>
          <w:sz w:val="24"/>
          <w:szCs w:val="24"/>
        </w:rPr>
        <w:t xml:space="preserve"> спільної програми </w:t>
      </w:r>
      <w:r w:rsidRPr="00F43628">
        <w:rPr>
          <w:rFonts w:ascii="Times New Roman" w:hAnsi="Times New Roman" w:cs="Times New Roman"/>
          <w:kern w:val="0"/>
          <w:sz w:val="24"/>
          <w:szCs w:val="24"/>
        </w:rPr>
        <w:t xml:space="preserve">порівняно з національними </w:t>
      </w:r>
      <w:r w:rsidR="00F02CCE">
        <w:rPr>
          <w:rFonts w:ascii="Times New Roman" w:hAnsi="Times New Roman" w:cs="Times New Roman"/>
          <w:kern w:val="0"/>
          <w:sz w:val="24"/>
          <w:szCs w:val="24"/>
        </w:rPr>
        <w:t>освітніми</w:t>
      </w:r>
      <w:r w:rsidRPr="00F43628">
        <w:rPr>
          <w:rFonts w:ascii="Times New Roman" w:hAnsi="Times New Roman" w:cs="Times New Roman"/>
          <w:kern w:val="0"/>
          <w:sz w:val="24"/>
          <w:szCs w:val="24"/>
        </w:rPr>
        <w:t xml:space="preserve"> програмами</w:t>
      </w:r>
      <w:r w:rsidR="00F02CCE" w:rsidRPr="00F02CCE">
        <w:rPr>
          <w:rFonts w:ascii="Times New Roman" w:hAnsi="Times New Roman" w:cs="Times New Roman"/>
          <w:kern w:val="0"/>
          <w:sz w:val="24"/>
          <w:szCs w:val="24"/>
        </w:rPr>
        <w:t xml:space="preserve"> </w:t>
      </w:r>
      <w:r w:rsidR="00F02CCE">
        <w:rPr>
          <w:rFonts w:ascii="Times New Roman" w:hAnsi="Times New Roman" w:cs="Times New Roman"/>
          <w:kern w:val="0"/>
          <w:sz w:val="24"/>
          <w:szCs w:val="24"/>
        </w:rPr>
        <w:t>та п</w:t>
      </w:r>
      <w:r w:rsidRPr="00F43628">
        <w:rPr>
          <w:rFonts w:ascii="Times New Roman" w:hAnsi="Times New Roman" w:cs="Times New Roman"/>
          <w:kern w:val="0"/>
          <w:sz w:val="24"/>
          <w:szCs w:val="24"/>
        </w:rPr>
        <w:t>ідкресліть взаємодоповнюваність закладів-партнерів, міждисциплінарність, інтегрованість програми</w:t>
      </w:r>
      <w:r w:rsidR="00F02CCE">
        <w:rPr>
          <w:rFonts w:ascii="Times New Roman" w:hAnsi="Times New Roman" w:cs="Times New Roman"/>
          <w:kern w:val="0"/>
          <w:sz w:val="24"/>
          <w:szCs w:val="24"/>
        </w:rPr>
        <w:t>, розвиток загальних компетентностей, актуальних для ринку праці</w:t>
      </w:r>
      <w:r w:rsidRPr="00F43628">
        <w:rPr>
          <w:rFonts w:ascii="Times New Roman" w:hAnsi="Times New Roman" w:cs="Times New Roman"/>
          <w:kern w:val="0"/>
          <w:sz w:val="24"/>
          <w:szCs w:val="24"/>
        </w:rPr>
        <w:t>.</w:t>
      </w:r>
    </w:p>
    <w:p w14:paraId="20D530B0" w14:textId="47C5EAEA" w:rsidR="00693694" w:rsidRDefault="00F02CCE" w:rsidP="00DD2357">
      <w:pPr>
        <w:numPr>
          <w:ilvl w:val="0"/>
          <w:numId w:val="32"/>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У</w:t>
      </w:r>
      <w:r w:rsidR="00693694" w:rsidRPr="00F43628">
        <w:rPr>
          <w:rFonts w:ascii="Times New Roman" w:hAnsi="Times New Roman" w:cs="Times New Roman"/>
          <w:kern w:val="0"/>
          <w:sz w:val="24"/>
          <w:szCs w:val="24"/>
        </w:rPr>
        <w:t>провадьте цикл забезпечення якості для всіх маркетингових заходів (для їх оцін</w:t>
      </w:r>
      <w:r>
        <w:rPr>
          <w:rFonts w:ascii="Times New Roman" w:hAnsi="Times New Roman" w:cs="Times New Roman"/>
          <w:kern w:val="0"/>
          <w:sz w:val="24"/>
          <w:szCs w:val="24"/>
        </w:rPr>
        <w:t>ювання</w:t>
      </w:r>
      <w:r w:rsidR="00693694" w:rsidRPr="00F43628">
        <w:rPr>
          <w:rFonts w:ascii="Times New Roman" w:hAnsi="Times New Roman" w:cs="Times New Roman"/>
          <w:kern w:val="0"/>
          <w:sz w:val="24"/>
          <w:szCs w:val="24"/>
        </w:rPr>
        <w:t xml:space="preserve"> та покращення).</w:t>
      </w:r>
    </w:p>
    <w:p w14:paraId="0B3E8C44" w14:textId="77777777" w:rsidR="00DD2357" w:rsidRPr="00F43628" w:rsidRDefault="00DD2357" w:rsidP="00DD2357">
      <w:pPr>
        <w:autoSpaceDE w:val="0"/>
        <w:autoSpaceDN w:val="0"/>
        <w:adjustRightInd w:val="0"/>
        <w:spacing w:after="100" w:afterAutospacing="1" w:line="240" w:lineRule="auto"/>
        <w:ind w:left="714"/>
        <w:jc w:val="both"/>
        <w:rPr>
          <w:rFonts w:ascii="Times New Roman" w:hAnsi="Times New Roman" w:cs="Times New Roman"/>
          <w:kern w:val="0"/>
          <w:sz w:val="24"/>
          <w:szCs w:val="24"/>
        </w:rPr>
      </w:pPr>
    </w:p>
    <w:p w14:paraId="54967D6C" w14:textId="57F79959" w:rsidR="008D18B7" w:rsidRPr="008D18B7" w:rsidRDefault="00942EE7" w:rsidP="002E1CC2">
      <w:pPr>
        <w:pStyle w:val="1"/>
        <w:spacing w:before="100" w:beforeAutospacing="1" w:after="100" w:afterAutospacing="1" w:line="240" w:lineRule="auto"/>
        <w:rPr>
          <w:rFonts w:ascii="Times New Roman" w:hAnsi="Times New Roman" w:cs="Times New Roman"/>
          <w:b/>
          <w:bCs/>
          <w:sz w:val="24"/>
          <w:szCs w:val="24"/>
        </w:rPr>
      </w:pPr>
      <w:bookmarkStart w:id="18" w:name="_Toc188337424"/>
      <w:r>
        <w:rPr>
          <w:rFonts w:ascii="Times New Roman" w:hAnsi="Times New Roman" w:cs="Times New Roman"/>
          <w:b/>
          <w:bCs/>
          <w:sz w:val="24"/>
          <w:szCs w:val="24"/>
        </w:rPr>
        <w:t>7</w:t>
      </w:r>
      <w:r w:rsidR="008D18B7" w:rsidRPr="008D18B7">
        <w:rPr>
          <w:rFonts w:ascii="Times New Roman" w:hAnsi="Times New Roman" w:cs="Times New Roman"/>
          <w:b/>
          <w:bCs/>
          <w:sz w:val="24"/>
          <w:szCs w:val="24"/>
        </w:rPr>
        <w:t>. ВСТУП І ЗАРАХУВАННЯ</w:t>
      </w:r>
    </w:p>
    <w:p w14:paraId="5E825692" w14:textId="08FDEE27" w:rsidR="007D4583" w:rsidRPr="003E1ACA" w:rsidRDefault="005A1E41" w:rsidP="002E1CC2">
      <w:pPr>
        <w:pStyle w:val="2"/>
        <w:spacing w:before="100" w:beforeAutospacing="1" w:after="100" w:afterAutospacing="1" w:line="240" w:lineRule="auto"/>
        <w:rPr>
          <w:rFonts w:ascii="Times New Roman" w:hAnsi="Times New Roman" w:cs="Times New Roman"/>
          <w:b/>
          <w:bCs/>
          <w:sz w:val="24"/>
          <w:szCs w:val="24"/>
        </w:rPr>
      </w:pPr>
      <w:r w:rsidRPr="003E1ACA">
        <w:rPr>
          <w:rFonts w:ascii="Times New Roman" w:hAnsi="Times New Roman" w:cs="Times New Roman"/>
          <w:b/>
          <w:bCs/>
          <w:sz w:val="24"/>
          <w:szCs w:val="24"/>
        </w:rPr>
        <w:t>7.</w:t>
      </w:r>
      <w:r w:rsidR="003E1ACA" w:rsidRPr="003E1ACA">
        <w:rPr>
          <w:rFonts w:ascii="Times New Roman" w:hAnsi="Times New Roman" w:cs="Times New Roman"/>
          <w:b/>
          <w:bCs/>
          <w:sz w:val="24"/>
          <w:szCs w:val="24"/>
        </w:rPr>
        <w:t>1</w:t>
      </w:r>
      <w:r w:rsidRPr="003E1ACA">
        <w:rPr>
          <w:rFonts w:ascii="Times New Roman" w:hAnsi="Times New Roman" w:cs="Times New Roman"/>
          <w:b/>
          <w:bCs/>
          <w:sz w:val="24"/>
          <w:szCs w:val="24"/>
        </w:rPr>
        <w:t>.</w:t>
      </w:r>
      <w:r w:rsidR="00FC4D59" w:rsidRPr="003E1ACA">
        <w:rPr>
          <w:rFonts w:ascii="Times New Roman" w:hAnsi="Times New Roman" w:cs="Times New Roman"/>
          <w:b/>
          <w:bCs/>
          <w:sz w:val="24"/>
          <w:szCs w:val="24"/>
        </w:rPr>
        <w:t xml:space="preserve"> </w:t>
      </w:r>
      <w:r w:rsidRPr="003E1ACA">
        <w:rPr>
          <w:rFonts w:ascii="Times New Roman" w:hAnsi="Times New Roman" w:cs="Times New Roman"/>
          <w:b/>
          <w:bCs/>
          <w:sz w:val="24"/>
          <w:szCs w:val="24"/>
        </w:rPr>
        <w:t xml:space="preserve">Спільний процес </w:t>
      </w:r>
      <w:r w:rsidR="007D4AB8">
        <w:rPr>
          <w:rFonts w:ascii="Times New Roman" w:hAnsi="Times New Roman" w:cs="Times New Roman"/>
          <w:b/>
          <w:bCs/>
          <w:sz w:val="24"/>
          <w:szCs w:val="24"/>
        </w:rPr>
        <w:t>на</w:t>
      </w:r>
      <w:r w:rsidR="00DE7080" w:rsidRPr="003E1ACA">
        <w:rPr>
          <w:rFonts w:ascii="Times New Roman" w:hAnsi="Times New Roman" w:cs="Times New Roman"/>
          <w:b/>
          <w:bCs/>
          <w:sz w:val="24"/>
          <w:szCs w:val="24"/>
        </w:rPr>
        <w:t xml:space="preserve">бору </w:t>
      </w:r>
      <w:r w:rsidRPr="003E1ACA">
        <w:rPr>
          <w:rFonts w:ascii="Times New Roman" w:hAnsi="Times New Roman" w:cs="Times New Roman"/>
          <w:b/>
          <w:bCs/>
          <w:sz w:val="24"/>
          <w:szCs w:val="24"/>
        </w:rPr>
        <w:t xml:space="preserve">та </w:t>
      </w:r>
      <w:r w:rsidR="00595113" w:rsidRPr="003E1ACA">
        <w:rPr>
          <w:rFonts w:ascii="Times New Roman" w:hAnsi="Times New Roman" w:cs="Times New Roman"/>
          <w:b/>
          <w:bCs/>
          <w:sz w:val="24"/>
          <w:szCs w:val="24"/>
        </w:rPr>
        <w:t>вступу</w:t>
      </w:r>
      <w:bookmarkEnd w:id="18"/>
    </w:p>
    <w:p w14:paraId="3A6051B1" w14:textId="53EEE746" w:rsidR="007D4583" w:rsidRPr="00116FA1" w:rsidRDefault="005A1E41" w:rsidP="00116FA1">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Інструментом набору студентів є </w:t>
      </w:r>
      <w:r w:rsidR="00595113" w:rsidRPr="00F43628">
        <w:rPr>
          <w:rFonts w:ascii="Times New Roman" w:hAnsi="Times New Roman" w:cs="Times New Roman"/>
          <w:kern w:val="0"/>
          <w:sz w:val="24"/>
          <w:szCs w:val="24"/>
        </w:rPr>
        <w:t>єдиний</w:t>
      </w:r>
      <w:r w:rsidRPr="00F43628">
        <w:rPr>
          <w:rFonts w:ascii="Times New Roman" w:hAnsi="Times New Roman" w:cs="Times New Roman"/>
          <w:kern w:val="0"/>
          <w:sz w:val="24"/>
          <w:szCs w:val="24"/>
        </w:rPr>
        <w:t xml:space="preserve"> веб-портал для спільного процесу </w:t>
      </w:r>
      <w:r w:rsidR="00320731">
        <w:rPr>
          <w:rFonts w:ascii="Times New Roman" w:hAnsi="Times New Roman" w:cs="Times New Roman"/>
          <w:kern w:val="0"/>
          <w:sz w:val="24"/>
          <w:szCs w:val="24"/>
        </w:rPr>
        <w:t>залучення</w:t>
      </w:r>
      <w:r w:rsidRPr="00F43628">
        <w:rPr>
          <w:rFonts w:ascii="Times New Roman" w:hAnsi="Times New Roman" w:cs="Times New Roman"/>
          <w:kern w:val="0"/>
          <w:sz w:val="24"/>
          <w:szCs w:val="24"/>
        </w:rPr>
        <w:t xml:space="preserve"> студентів. Такий портал повинен містити всю необхідну інформацію про </w:t>
      </w:r>
      <w:r w:rsidR="007D4AB8">
        <w:rPr>
          <w:rFonts w:ascii="Times New Roman" w:hAnsi="Times New Roman" w:cs="Times New Roman"/>
          <w:kern w:val="0"/>
          <w:sz w:val="24"/>
          <w:szCs w:val="24"/>
        </w:rPr>
        <w:t xml:space="preserve">спільну </w:t>
      </w:r>
      <w:r w:rsidRPr="00F43628">
        <w:rPr>
          <w:rFonts w:ascii="Times New Roman" w:hAnsi="Times New Roman" w:cs="Times New Roman"/>
          <w:kern w:val="0"/>
          <w:sz w:val="24"/>
          <w:szCs w:val="24"/>
        </w:rPr>
        <w:t xml:space="preserve">програму, включаючи результати навчання, перспективи </w:t>
      </w:r>
      <w:r w:rsidRPr="00116FA1">
        <w:rPr>
          <w:rFonts w:ascii="Times New Roman" w:hAnsi="Times New Roman" w:cs="Times New Roman"/>
          <w:kern w:val="0"/>
          <w:sz w:val="24"/>
          <w:szCs w:val="24"/>
        </w:rPr>
        <w:t xml:space="preserve">працевлаштування, досвід партнерів, можливості мобільності, цільову групу, критерії </w:t>
      </w:r>
      <w:r w:rsidR="00595113" w:rsidRPr="00116FA1">
        <w:rPr>
          <w:rFonts w:ascii="Times New Roman" w:hAnsi="Times New Roman" w:cs="Times New Roman"/>
          <w:kern w:val="0"/>
          <w:sz w:val="24"/>
          <w:szCs w:val="24"/>
        </w:rPr>
        <w:t>зарахування</w:t>
      </w:r>
      <w:r w:rsidRPr="00116FA1">
        <w:rPr>
          <w:rFonts w:ascii="Times New Roman" w:hAnsi="Times New Roman" w:cs="Times New Roman"/>
          <w:kern w:val="0"/>
          <w:sz w:val="24"/>
          <w:szCs w:val="24"/>
        </w:rPr>
        <w:t>, процес подання заявок та критерії</w:t>
      </w:r>
      <w:r w:rsidR="00FC4D59" w:rsidRPr="00116FA1">
        <w:rPr>
          <w:rFonts w:ascii="Times New Roman" w:hAnsi="Times New Roman" w:cs="Times New Roman"/>
          <w:kern w:val="0"/>
          <w:sz w:val="24"/>
          <w:szCs w:val="24"/>
        </w:rPr>
        <w:t xml:space="preserve"> </w:t>
      </w:r>
      <w:r w:rsidRPr="00116FA1">
        <w:rPr>
          <w:rFonts w:ascii="Times New Roman" w:hAnsi="Times New Roman" w:cs="Times New Roman"/>
          <w:kern w:val="0"/>
          <w:sz w:val="24"/>
          <w:szCs w:val="24"/>
        </w:rPr>
        <w:t>відбору</w:t>
      </w:r>
      <w:r w:rsidR="00320731">
        <w:rPr>
          <w:rFonts w:ascii="Times New Roman" w:hAnsi="Times New Roman" w:cs="Times New Roman"/>
          <w:kern w:val="0"/>
          <w:sz w:val="24"/>
          <w:szCs w:val="24"/>
        </w:rPr>
        <w:t xml:space="preserve"> з урахуванням національного законодавства</w:t>
      </w:r>
      <w:r w:rsidRPr="00116FA1">
        <w:rPr>
          <w:rFonts w:ascii="Times New Roman" w:hAnsi="Times New Roman" w:cs="Times New Roman"/>
          <w:kern w:val="0"/>
          <w:sz w:val="24"/>
          <w:szCs w:val="24"/>
        </w:rPr>
        <w:t>.</w:t>
      </w:r>
      <w:r w:rsidR="00FC4D59" w:rsidRPr="00116FA1">
        <w:rPr>
          <w:rFonts w:ascii="Times New Roman" w:hAnsi="Times New Roman" w:cs="Times New Roman"/>
          <w:kern w:val="0"/>
          <w:sz w:val="24"/>
          <w:szCs w:val="24"/>
        </w:rPr>
        <w:t xml:space="preserve"> </w:t>
      </w:r>
      <w:r w:rsidRPr="00116FA1">
        <w:rPr>
          <w:rFonts w:ascii="Times New Roman" w:hAnsi="Times New Roman" w:cs="Times New Roman"/>
          <w:kern w:val="0"/>
          <w:sz w:val="24"/>
          <w:szCs w:val="24"/>
        </w:rPr>
        <w:t>Мета полягає в тому, щоб</w:t>
      </w:r>
      <w:r w:rsidR="00FC4D59" w:rsidRPr="00116FA1">
        <w:rPr>
          <w:rFonts w:ascii="Times New Roman" w:hAnsi="Times New Roman" w:cs="Times New Roman"/>
          <w:kern w:val="0"/>
          <w:sz w:val="24"/>
          <w:szCs w:val="24"/>
        </w:rPr>
        <w:t xml:space="preserve"> </w:t>
      </w:r>
      <w:r w:rsidRPr="00116FA1">
        <w:rPr>
          <w:rFonts w:ascii="Times New Roman" w:hAnsi="Times New Roman" w:cs="Times New Roman"/>
          <w:kern w:val="0"/>
          <w:sz w:val="24"/>
          <w:szCs w:val="24"/>
        </w:rPr>
        <w:t>централізувати та уніфікувати інформацію про вступ і заохо</w:t>
      </w:r>
      <w:r w:rsidR="00DE7080" w:rsidRPr="00116FA1">
        <w:rPr>
          <w:rFonts w:ascii="Times New Roman" w:hAnsi="Times New Roman" w:cs="Times New Roman"/>
          <w:kern w:val="0"/>
          <w:sz w:val="24"/>
          <w:szCs w:val="24"/>
        </w:rPr>
        <w:t>ти</w:t>
      </w:r>
      <w:r w:rsidRPr="00116FA1">
        <w:rPr>
          <w:rFonts w:ascii="Times New Roman" w:hAnsi="Times New Roman" w:cs="Times New Roman"/>
          <w:kern w:val="0"/>
          <w:sz w:val="24"/>
          <w:szCs w:val="24"/>
        </w:rPr>
        <w:t xml:space="preserve">ти </w:t>
      </w:r>
      <w:r w:rsidR="007D4AB8" w:rsidRPr="00116FA1">
        <w:rPr>
          <w:rFonts w:ascii="Times New Roman" w:hAnsi="Times New Roman" w:cs="Times New Roman"/>
          <w:kern w:val="0"/>
          <w:sz w:val="24"/>
          <w:szCs w:val="24"/>
        </w:rPr>
        <w:t>вступників</w:t>
      </w:r>
      <w:r w:rsidR="00DE7080" w:rsidRPr="00116FA1">
        <w:rPr>
          <w:rFonts w:ascii="Times New Roman" w:hAnsi="Times New Roman" w:cs="Times New Roman"/>
          <w:kern w:val="0"/>
          <w:sz w:val="24"/>
          <w:szCs w:val="24"/>
        </w:rPr>
        <w:t>, забезпеч</w:t>
      </w:r>
      <w:r w:rsidR="00595113" w:rsidRPr="00116FA1">
        <w:rPr>
          <w:rFonts w:ascii="Times New Roman" w:hAnsi="Times New Roman" w:cs="Times New Roman"/>
          <w:kern w:val="0"/>
          <w:sz w:val="24"/>
          <w:szCs w:val="24"/>
        </w:rPr>
        <w:t>ивши</w:t>
      </w:r>
      <w:r w:rsidRPr="00116FA1">
        <w:rPr>
          <w:rFonts w:ascii="Times New Roman" w:hAnsi="Times New Roman" w:cs="Times New Roman"/>
          <w:kern w:val="0"/>
          <w:sz w:val="24"/>
          <w:szCs w:val="24"/>
        </w:rPr>
        <w:t xml:space="preserve"> прозор</w:t>
      </w:r>
      <w:r w:rsidR="00DE7080" w:rsidRPr="00116FA1">
        <w:rPr>
          <w:rFonts w:ascii="Times New Roman" w:hAnsi="Times New Roman" w:cs="Times New Roman"/>
          <w:kern w:val="0"/>
          <w:sz w:val="24"/>
          <w:szCs w:val="24"/>
        </w:rPr>
        <w:t>ість</w:t>
      </w:r>
      <w:r w:rsidRPr="00116FA1">
        <w:rPr>
          <w:rFonts w:ascii="Times New Roman" w:hAnsi="Times New Roman" w:cs="Times New Roman"/>
          <w:kern w:val="0"/>
          <w:sz w:val="24"/>
          <w:szCs w:val="24"/>
        </w:rPr>
        <w:t xml:space="preserve"> </w:t>
      </w:r>
      <w:r w:rsidR="00320731">
        <w:rPr>
          <w:rFonts w:ascii="Times New Roman" w:hAnsi="Times New Roman" w:cs="Times New Roman"/>
          <w:kern w:val="0"/>
          <w:sz w:val="24"/>
          <w:szCs w:val="24"/>
        </w:rPr>
        <w:t>і</w:t>
      </w:r>
      <w:r w:rsidRPr="00116FA1">
        <w:rPr>
          <w:rFonts w:ascii="Times New Roman" w:hAnsi="Times New Roman" w:cs="Times New Roman"/>
          <w:kern w:val="0"/>
          <w:sz w:val="24"/>
          <w:szCs w:val="24"/>
        </w:rPr>
        <w:t xml:space="preserve"> </w:t>
      </w:r>
      <w:r w:rsidR="00595113" w:rsidRPr="00116FA1">
        <w:rPr>
          <w:rFonts w:ascii="Times New Roman" w:hAnsi="Times New Roman" w:cs="Times New Roman"/>
          <w:kern w:val="0"/>
          <w:sz w:val="24"/>
          <w:szCs w:val="24"/>
        </w:rPr>
        <w:t>послідовні</w:t>
      </w:r>
      <w:r w:rsidR="00DE7080" w:rsidRPr="00116FA1">
        <w:rPr>
          <w:rFonts w:ascii="Times New Roman" w:hAnsi="Times New Roman" w:cs="Times New Roman"/>
          <w:kern w:val="0"/>
          <w:sz w:val="24"/>
          <w:szCs w:val="24"/>
        </w:rPr>
        <w:t>сть</w:t>
      </w:r>
      <w:r w:rsidRPr="00116FA1">
        <w:rPr>
          <w:rFonts w:ascii="Times New Roman" w:hAnsi="Times New Roman" w:cs="Times New Roman"/>
          <w:kern w:val="0"/>
          <w:sz w:val="24"/>
          <w:szCs w:val="24"/>
        </w:rPr>
        <w:t xml:space="preserve"> наданої інформації.</w:t>
      </w:r>
    </w:p>
    <w:p w14:paraId="5C645D53" w14:textId="353911E6" w:rsidR="007D4583" w:rsidRPr="00116FA1" w:rsidRDefault="001C77AC" w:rsidP="00320731">
      <w:pPr>
        <w:autoSpaceDE w:val="0"/>
        <w:autoSpaceDN w:val="0"/>
        <w:adjustRightInd w:val="0"/>
        <w:spacing w:before="100" w:beforeAutospacing="1" w:after="0" w:line="240" w:lineRule="auto"/>
        <w:jc w:val="both"/>
        <w:rPr>
          <w:rFonts w:ascii="Times New Roman" w:hAnsi="Times New Roman" w:cs="Times New Roman"/>
          <w:kern w:val="0"/>
          <w:sz w:val="24"/>
          <w:szCs w:val="24"/>
        </w:rPr>
      </w:pPr>
      <w:r w:rsidRPr="00116FA1">
        <w:rPr>
          <w:rFonts w:ascii="Times New Roman" w:hAnsi="Times New Roman" w:cs="Times New Roman"/>
          <w:sz w:val="24"/>
          <w:szCs w:val="24"/>
        </w:rPr>
        <w:t>П</w:t>
      </w:r>
      <w:r w:rsidR="00890667" w:rsidRPr="00116FA1">
        <w:rPr>
          <w:rFonts w:ascii="Times New Roman" w:hAnsi="Times New Roman" w:cs="Times New Roman"/>
          <w:kern w:val="0"/>
          <w:sz w:val="24"/>
          <w:szCs w:val="24"/>
        </w:rPr>
        <w:t>рактичні аспекти процесу вступу</w:t>
      </w:r>
      <w:r w:rsidR="005A1E41" w:rsidRPr="00116FA1">
        <w:rPr>
          <w:rFonts w:ascii="Times New Roman" w:hAnsi="Times New Roman" w:cs="Times New Roman"/>
          <w:kern w:val="0"/>
          <w:sz w:val="24"/>
          <w:szCs w:val="24"/>
        </w:rPr>
        <w:t>:</w:t>
      </w:r>
    </w:p>
    <w:p w14:paraId="115D2DF8" w14:textId="3890E2AA" w:rsidR="007D4583" w:rsidRPr="00116FA1" w:rsidRDefault="005A1E41" w:rsidP="00320731">
      <w:pPr>
        <w:numPr>
          <w:ilvl w:val="0"/>
          <w:numId w:val="3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116FA1">
        <w:rPr>
          <w:rFonts w:ascii="Times New Roman" w:hAnsi="Times New Roman" w:cs="Times New Roman"/>
          <w:kern w:val="0"/>
          <w:sz w:val="24"/>
          <w:szCs w:val="24"/>
        </w:rPr>
        <w:t xml:space="preserve">онлайн-процедури подачі заявок є </w:t>
      </w:r>
      <w:r w:rsidR="00320731">
        <w:rPr>
          <w:rFonts w:ascii="Times New Roman" w:hAnsi="Times New Roman" w:cs="Times New Roman"/>
          <w:kern w:val="0"/>
          <w:sz w:val="24"/>
          <w:szCs w:val="24"/>
        </w:rPr>
        <w:t xml:space="preserve">актуальними для сучасних вступників, а також </w:t>
      </w:r>
      <w:r w:rsidRPr="00116FA1">
        <w:rPr>
          <w:rFonts w:ascii="Times New Roman" w:hAnsi="Times New Roman" w:cs="Times New Roman"/>
          <w:kern w:val="0"/>
          <w:sz w:val="24"/>
          <w:szCs w:val="24"/>
        </w:rPr>
        <w:t>важливими для залучення іноземних студентів;</w:t>
      </w:r>
    </w:p>
    <w:p w14:paraId="6374E4F1" w14:textId="67CDC17C" w:rsidR="007D4583" w:rsidRPr="00320731" w:rsidRDefault="00320731" w:rsidP="00320731">
      <w:pPr>
        <w:numPr>
          <w:ilvl w:val="0"/>
          <w:numId w:val="37"/>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залежно від національного законодавства </w:t>
      </w:r>
      <w:r w:rsidR="005A1E41" w:rsidRPr="00116FA1">
        <w:rPr>
          <w:rFonts w:ascii="Times New Roman" w:hAnsi="Times New Roman" w:cs="Times New Roman"/>
          <w:kern w:val="0"/>
          <w:sz w:val="24"/>
          <w:szCs w:val="24"/>
        </w:rPr>
        <w:t xml:space="preserve">перевірка документів </w:t>
      </w:r>
      <w:r>
        <w:rPr>
          <w:rFonts w:ascii="Times New Roman" w:hAnsi="Times New Roman" w:cs="Times New Roman"/>
          <w:kern w:val="0"/>
          <w:sz w:val="24"/>
          <w:szCs w:val="24"/>
        </w:rPr>
        <w:t>може</w:t>
      </w:r>
      <w:r w:rsidR="005A1E41" w:rsidRPr="00116FA1">
        <w:rPr>
          <w:rFonts w:ascii="Times New Roman" w:hAnsi="Times New Roman" w:cs="Times New Roman"/>
          <w:kern w:val="0"/>
          <w:sz w:val="24"/>
          <w:szCs w:val="24"/>
        </w:rPr>
        <w:t xml:space="preserve"> здійснюватися лише </w:t>
      </w:r>
      <w:r>
        <w:rPr>
          <w:rFonts w:ascii="Times New Roman" w:hAnsi="Times New Roman" w:cs="Times New Roman"/>
          <w:kern w:val="0"/>
          <w:sz w:val="24"/>
          <w:szCs w:val="24"/>
        </w:rPr>
        <w:t>одним</w:t>
      </w:r>
      <w:r w:rsidR="00890667" w:rsidRPr="00116FA1">
        <w:rPr>
          <w:rFonts w:ascii="Times New Roman" w:hAnsi="Times New Roman" w:cs="Times New Roman"/>
          <w:kern w:val="0"/>
          <w:sz w:val="24"/>
          <w:szCs w:val="24"/>
        </w:rPr>
        <w:t xml:space="preserve"> закладом</w:t>
      </w:r>
      <w:r w:rsidR="005A1E41" w:rsidRPr="00116FA1">
        <w:rPr>
          <w:rFonts w:ascii="Times New Roman" w:hAnsi="Times New Roman" w:cs="Times New Roman"/>
          <w:kern w:val="0"/>
          <w:sz w:val="24"/>
          <w:szCs w:val="24"/>
        </w:rPr>
        <w:t xml:space="preserve">, а інші </w:t>
      </w:r>
      <w:r w:rsidR="00890667" w:rsidRPr="00116FA1">
        <w:rPr>
          <w:rFonts w:ascii="Times New Roman" w:hAnsi="Times New Roman" w:cs="Times New Roman"/>
          <w:kern w:val="0"/>
          <w:sz w:val="24"/>
          <w:szCs w:val="24"/>
        </w:rPr>
        <w:t>заклади</w:t>
      </w:r>
      <w:r w:rsidR="005A1E41" w:rsidRPr="00116FA1">
        <w:rPr>
          <w:rFonts w:ascii="Times New Roman" w:hAnsi="Times New Roman" w:cs="Times New Roman"/>
          <w:kern w:val="0"/>
          <w:sz w:val="24"/>
          <w:szCs w:val="24"/>
        </w:rPr>
        <w:t xml:space="preserve"> поклада</w:t>
      </w:r>
      <w:r>
        <w:rPr>
          <w:rFonts w:ascii="Times New Roman" w:hAnsi="Times New Roman" w:cs="Times New Roman"/>
          <w:kern w:val="0"/>
          <w:sz w:val="24"/>
          <w:szCs w:val="24"/>
        </w:rPr>
        <w:t>тимуться</w:t>
      </w:r>
      <w:r w:rsidR="005A1E41" w:rsidRPr="00116FA1">
        <w:rPr>
          <w:rFonts w:ascii="Times New Roman" w:hAnsi="Times New Roman" w:cs="Times New Roman"/>
          <w:kern w:val="0"/>
          <w:sz w:val="24"/>
          <w:szCs w:val="24"/>
        </w:rPr>
        <w:t xml:space="preserve"> на цю перевірку</w:t>
      </w:r>
      <w:r>
        <w:rPr>
          <w:rFonts w:ascii="Times New Roman" w:hAnsi="Times New Roman" w:cs="Times New Roman"/>
          <w:kern w:val="0"/>
          <w:sz w:val="24"/>
          <w:szCs w:val="24"/>
        </w:rPr>
        <w:t>, або кожен заклад-партнер здійснює таку перевірку</w:t>
      </w:r>
      <w:r w:rsidR="005A1E41" w:rsidRPr="00320731">
        <w:rPr>
          <w:rFonts w:ascii="Times New Roman" w:hAnsi="Times New Roman" w:cs="Times New Roman"/>
          <w:kern w:val="0"/>
          <w:sz w:val="24"/>
          <w:szCs w:val="24"/>
        </w:rPr>
        <w:t>.</w:t>
      </w:r>
    </w:p>
    <w:p w14:paraId="40E3DEE7" w14:textId="739C5A16" w:rsidR="007D4583" w:rsidRDefault="003D72BD" w:rsidP="007573D3">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w:t>
      </w:r>
      <w:r w:rsidR="005A1E41" w:rsidRPr="00116FA1">
        <w:rPr>
          <w:rFonts w:ascii="Times New Roman" w:hAnsi="Times New Roman" w:cs="Times New Roman"/>
          <w:kern w:val="0"/>
          <w:sz w:val="24"/>
          <w:szCs w:val="24"/>
        </w:rPr>
        <w:t xml:space="preserve">езалежно від того, централізований </w:t>
      </w:r>
      <w:r>
        <w:rPr>
          <w:rFonts w:ascii="Times New Roman" w:hAnsi="Times New Roman" w:cs="Times New Roman"/>
          <w:kern w:val="0"/>
          <w:sz w:val="24"/>
          <w:szCs w:val="24"/>
        </w:rPr>
        <w:t xml:space="preserve">(тобто організована загальна процедура для консорціуму) </w:t>
      </w:r>
      <w:r w:rsidR="005A1E41" w:rsidRPr="00116FA1">
        <w:rPr>
          <w:rFonts w:ascii="Times New Roman" w:hAnsi="Times New Roman" w:cs="Times New Roman"/>
          <w:kern w:val="0"/>
          <w:sz w:val="24"/>
          <w:szCs w:val="24"/>
        </w:rPr>
        <w:t xml:space="preserve">чи децентралізований процес </w:t>
      </w:r>
      <w:r w:rsidR="00595113" w:rsidRPr="00116FA1">
        <w:rPr>
          <w:rFonts w:ascii="Times New Roman" w:hAnsi="Times New Roman" w:cs="Times New Roman"/>
          <w:kern w:val="0"/>
          <w:sz w:val="24"/>
          <w:szCs w:val="24"/>
        </w:rPr>
        <w:t>вступу</w:t>
      </w:r>
      <w:r w:rsidR="005A1E41" w:rsidRPr="00116FA1">
        <w:rPr>
          <w:rFonts w:ascii="Times New Roman" w:hAnsi="Times New Roman" w:cs="Times New Roman"/>
          <w:kern w:val="0"/>
          <w:sz w:val="24"/>
          <w:szCs w:val="24"/>
        </w:rPr>
        <w:t xml:space="preserve"> (тобто кожен партнер організовує власну процедуру)</w:t>
      </w:r>
      <w:r>
        <w:rPr>
          <w:rFonts w:ascii="Times New Roman" w:hAnsi="Times New Roman" w:cs="Times New Roman"/>
          <w:kern w:val="0"/>
          <w:sz w:val="24"/>
          <w:szCs w:val="24"/>
        </w:rPr>
        <w:t>,</w:t>
      </w:r>
      <w:r w:rsidR="005A1E41" w:rsidRPr="00116FA1">
        <w:rPr>
          <w:rFonts w:ascii="Times New Roman" w:hAnsi="Times New Roman" w:cs="Times New Roman"/>
          <w:kern w:val="0"/>
          <w:sz w:val="24"/>
          <w:szCs w:val="24"/>
        </w:rPr>
        <w:t xml:space="preserve"> важливо, щоб усі партнери були поінформовані або мали доступ до інформації </w:t>
      </w:r>
      <w:r w:rsidR="00595113" w:rsidRPr="00116FA1">
        <w:rPr>
          <w:rFonts w:ascii="Times New Roman" w:hAnsi="Times New Roman" w:cs="Times New Roman"/>
          <w:kern w:val="0"/>
          <w:sz w:val="24"/>
          <w:szCs w:val="24"/>
        </w:rPr>
        <w:t>про вступ</w:t>
      </w:r>
      <w:r w:rsidR="00821FE3">
        <w:rPr>
          <w:rFonts w:ascii="Times New Roman" w:hAnsi="Times New Roman" w:cs="Times New Roman"/>
          <w:kern w:val="0"/>
          <w:sz w:val="24"/>
          <w:szCs w:val="24"/>
        </w:rPr>
        <w:t>.</w:t>
      </w:r>
    </w:p>
    <w:p w14:paraId="09CA2997" w14:textId="391123EE" w:rsidR="00C216E0" w:rsidRPr="00116FA1" w:rsidRDefault="00C216E0" w:rsidP="007573D3">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lang w:val="ru-RU"/>
        </w:rPr>
      </w:pPr>
      <w:r w:rsidRPr="00654F84">
        <w:rPr>
          <w:rFonts w:ascii="Times New Roman" w:hAnsi="Times New Roman" w:cs="Times New Roman"/>
          <w:kern w:val="0"/>
          <w:sz w:val="24"/>
          <w:szCs w:val="24"/>
        </w:rPr>
        <w:t>В Україні</w:t>
      </w:r>
      <w:r w:rsidR="00654F84" w:rsidRPr="00654F84">
        <w:rPr>
          <w:rFonts w:ascii="Times New Roman" w:hAnsi="Times New Roman" w:cs="Times New Roman"/>
          <w:kern w:val="0"/>
          <w:sz w:val="24"/>
          <w:szCs w:val="24"/>
        </w:rPr>
        <w:t xml:space="preserve"> процедура вступу централізована на рівні держави і відбувається через </w:t>
      </w:r>
      <w:r w:rsidR="00654F84" w:rsidRPr="00654F84">
        <w:rPr>
          <w:rFonts w:ascii="Times New Roman" w:hAnsi="Times New Roman" w:cs="Times New Roman"/>
          <w:kern w:val="0"/>
          <w:sz w:val="24"/>
          <w:szCs w:val="24"/>
        </w:rPr>
        <w:t>реєстраці</w:t>
      </w:r>
      <w:r w:rsidR="00654F84" w:rsidRPr="00654F84">
        <w:rPr>
          <w:rFonts w:ascii="Times New Roman" w:hAnsi="Times New Roman" w:cs="Times New Roman"/>
          <w:kern w:val="0"/>
          <w:sz w:val="24"/>
          <w:szCs w:val="24"/>
        </w:rPr>
        <w:t>ю</w:t>
      </w:r>
      <w:r w:rsidR="00654F84">
        <w:rPr>
          <w:rFonts w:ascii="Times New Roman" w:hAnsi="Times New Roman" w:cs="Times New Roman"/>
          <w:kern w:val="0"/>
          <w:sz w:val="24"/>
          <w:szCs w:val="24"/>
        </w:rPr>
        <w:t xml:space="preserve"> вступників </w:t>
      </w:r>
      <w:r w:rsidR="00654F84">
        <w:rPr>
          <w:rFonts w:ascii="Times New Roman" w:hAnsi="Times New Roman" w:cs="Times New Roman"/>
          <w:kern w:val="0"/>
          <w:sz w:val="24"/>
          <w:szCs w:val="24"/>
        </w:rPr>
        <w:t xml:space="preserve">через портал </w:t>
      </w:r>
      <w:r w:rsidR="00B94946">
        <w:rPr>
          <w:rFonts w:ascii="Times New Roman" w:hAnsi="Times New Roman" w:cs="Times New Roman"/>
          <w:kern w:val="0"/>
          <w:sz w:val="24"/>
          <w:szCs w:val="24"/>
        </w:rPr>
        <w:t>для</w:t>
      </w:r>
      <w:r w:rsidR="00654F84">
        <w:rPr>
          <w:rFonts w:ascii="Times New Roman" w:hAnsi="Times New Roman" w:cs="Times New Roman"/>
          <w:kern w:val="0"/>
          <w:sz w:val="24"/>
          <w:szCs w:val="24"/>
        </w:rPr>
        <w:t xml:space="preserve"> складання вступних екзаменів – тестів</w:t>
      </w:r>
      <w:r w:rsidR="00B94946">
        <w:rPr>
          <w:rFonts w:ascii="Times New Roman" w:hAnsi="Times New Roman" w:cs="Times New Roman"/>
          <w:kern w:val="0"/>
          <w:sz w:val="24"/>
          <w:szCs w:val="24"/>
        </w:rPr>
        <w:t xml:space="preserve"> – цетралізовано</w:t>
      </w:r>
      <w:r w:rsidR="00654F84">
        <w:rPr>
          <w:rFonts w:ascii="Times New Roman" w:hAnsi="Times New Roman" w:cs="Times New Roman"/>
          <w:kern w:val="0"/>
          <w:sz w:val="24"/>
          <w:szCs w:val="24"/>
        </w:rPr>
        <w:t>. Тож така національна особливість має враховуватися при долученні до міжнародних спільних програм.</w:t>
      </w:r>
    </w:p>
    <w:p w14:paraId="35F1A280" w14:textId="200999EF" w:rsidR="007D4583" w:rsidRPr="005F0779" w:rsidRDefault="005A1E41" w:rsidP="007573D3">
      <w:pPr>
        <w:pStyle w:val="2"/>
        <w:spacing w:before="100" w:beforeAutospacing="1" w:after="100" w:afterAutospacing="1" w:line="240" w:lineRule="auto"/>
        <w:rPr>
          <w:rFonts w:ascii="Times New Roman" w:hAnsi="Times New Roman" w:cs="Times New Roman"/>
          <w:b/>
          <w:bCs/>
          <w:sz w:val="24"/>
          <w:szCs w:val="24"/>
        </w:rPr>
      </w:pPr>
      <w:bookmarkStart w:id="19" w:name="_Toc188337425"/>
      <w:r w:rsidRPr="005F0779">
        <w:rPr>
          <w:rFonts w:ascii="Times New Roman" w:hAnsi="Times New Roman" w:cs="Times New Roman"/>
          <w:b/>
          <w:bCs/>
          <w:sz w:val="24"/>
          <w:szCs w:val="24"/>
        </w:rPr>
        <w:t>7.</w:t>
      </w:r>
      <w:r w:rsidR="005F0779">
        <w:rPr>
          <w:rFonts w:ascii="Times New Roman" w:hAnsi="Times New Roman" w:cs="Times New Roman"/>
          <w:b/>
          <w:bCs/>
          <w:sz w:val="24"/>
          <w:szCs w:val="24"/>
        </w:rPr>
        <w:t>2</w:t>
      </w:r>
      <w:r w:rsidRPr="005F0779">
        <w:rPr>
          <w:rFonts w:ascii="Times New Roman" w:hAnsi="Times New Roman" w:cs="Times New Roman"/>
          <w:b/>
          <w:bCs/>
          <w:sz w:val="24"/>
          <w:szCs w:val="24"/>
        </w:rPr>
        <w:t>.</w:t>
      </w:r>
      <w:r w:rsidR="00FC4D59" w:rsidRPr="005F0779">
        <w:rPr>
          <w:rFonts w:ascii="Times New Roman" w:hAnsi="Times New Roman" w:cs="Times New Roman"/>
          <w:b/>
          <w:bCs/>
          <w:sz w:val="24"/>
          <w:szCs w:val="24"/>
        </w:rPr>
        <w:t xml:space="preserve"> </w:t>
      </w:r>
      <w:r w:rsidR="007A3243" w:rsidRPr="005F0779">
        <w:rPr>
          <w:rFonts w:ascii="Times New Roman" w:hAnsi="Times New Roman" w:cs="Times New Roman"/>
          <w:b/>
          <w:bCs/>
          <w:sz w:val="24"/>
          <w:szCs w:val="24"/>
        </w:rPr>
        <w:t>Зарахування</w:t>
      </w:r>
      <w:bookmarkEnd w:id="19"/>
    </w:p>
    <w:p w14:paraId="540577DD" w14:textId="0E3B5AB5" w:rsidR="007D4583" w:rsidRPr="00116FA1" w:rsidRDefault="007A3243" w:rsidP="007573D3">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116FA1">
        <w:rPr>
          <w:rFonts w:ascii="Times New Roman" w:hAnsi="Times New Roman" w:cs="Times New Roman"/>
          <w:kern w:val="0"/>
          <w:sz w:val="24"/>
          <w:szCs w:val="24"/>
        </w:rPr>
        <w:t xml:space="preserve">Відбір студентів </w:t>
      </w:r>
      <w:r w:rsidR="00B64BA4" w:rsidRPr="00116FA1">
        <w:rPr>
          <w:rFonts w:ascii="Times New Roman" w:hAnsi="Times New Roman" w:cs="Times New Roman"/>
          <w:kern w:val="0"/>
          <w:sz w:val="24"/>
          <w:szCs w:val="24"/>
        </w:rPr>
        <w:t xml:space="preserve">– </w:t>
      </w:r>
      <w:r w:rsidR="00595113" w:rsidRPr="00116FA1">
        <w:rPr>
          <w:rFonts w:ascii="Times New Roman" w:hAnsi="Times New Roman" w:cs="Times New Roman"/>
          <w:kern w:val="0"/>
          <w:sz w:val="24"/>
          <w:szCs w:val="24"/>
        </w:rPr>
        <w:t>це</w:t>
      </w:r>
      <w:r w:rsidRPr="00116FA1">
        <w:rPr>
          <w:rFonts w:ascii="Times New Roman" w:hAnsi="Times New Roman" w:cs="Times New Roman"/>
          <w:kern w:val="0"/>
          <w:sz w:val="24"/>
          <w:szCs w:val="24"/>
        </w:rPr>
        <w:t xml:space="preserve"> механізм</w:t>
      </w:r>
      <w:r w:rsidR="00595113" w:rsidRPr="00116FA1">
        <w:rPr>
          <w:rFonts w:ascii="Times New Roman" w:hAnsi="Times New Roman" w:cs="Times New Roman"/>
          <w:kern w:val="0"/>
          <w:sz w:val="24"/>
          <w:szCs w:val="24"/>
        </w:rPr>
        <w:t xml:space="preserve"> </w:t>
      </w:r>
      <w:r w:rsidRPr="00116FA1">
        <w:rPr>
          <w:rFonts w:ascii="Times New Roman" w:hAnsi="Times New Roman" w:cs="Times New Roman"/>
          <w:kern w:val="0"/>
          <w:sz w:val="24"/>
          <w:szCs w:val="24"/>
        </w:rPr>
        <w:t>контролю доступу до спільної програми</w:t>
      </w:r>
      <w:r w:rsidR="00595113" w:rsidRPr="00116FA1">
        <w:rPr>
          <w:rFonts w:ascii="Times New Roman" w:hAnsi="Times New Roman" w:cs="Times New Roman"/>
          <w:kern w:val="0"/>
          <w:sz w:val="24"/>
          <w:szCs w:val="24"/>
        </w:rPr>
        <w:t xml:space="preserve"> і</w:t>
      </w:r>
      <w:r w:rsidRPr="00116FA1">
        <w:rPr>
          <w:rFonts w:ascii="Times New Roman" w:hAnsi="Times New Roman" w:cs="Times New Roman"/>
          <w:kern w:val="0"/>
          <w:sz w:val="24"/>
          <w:szCs w:val="24"/>
        </w:rPr>
        <w:t xml:space="preserve"> потребує участі всіх закладів</w:t>
      </w:r>
      <w:r w:rsidR="00375954">
        <w:rPr>
          <w:rFonts w:ascii="Times New Roman" w:hAnsi="Times New Roman" w:cs="Times New Roman"/>
          <w:kern w:val="0"/>
          <w:sz w:val="24"/>
          <w:szCs w:val="24"/>
        </w:rPr>
        <w:t>-партнерів</w:t>
      </w:r>
      <w:r w:rsidR="005A1E41" w:rsidRPr="00116FA1">
        <w:rPr>
          <w:rFonts w:ascii="Times New Roman" w:hAnsi="Times New Roman" w:cs="Times New Roman"/>
          <w:kern w:val="0"/>
          <w:sz w:val="24"/>
          <w:szCs w:val="24"/>
        </w:rPr>
        <w:t>. Таким чином, важливо, щоб усі обов'язки щодо процедури відбору були чітко розподілені.</w:t>
      </w:r>
    </w:p>
    <w:p w14:paraId="54D5097B" w14:textId="6B06E756" w:rsidR="007D4583" w:rsidRDefault="00375954" w:rsidP="007573D3">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w:t>
      </w:r>
      <w:r w:rsidR="005A1E41" w:rsidRPr="00116FA1">
        <w:rPr>
          <w:rFonts w:ascii="Times New Roman" w:hAnsi="Times New Roman" w:cs="Times New Roman"/>
          <w:kern w:val="0"/>
          <w:sz w:val="24"/>
          <w:szCs w:val="24"/>
        </w:rPr>
        <w:t xml:space="preserve"> процесі відбору студентів для закладів, що пропонують спільні програми, </w:t>
      </w:r>
      <w:r>
        <w:rPr>
          <w:rFonts w:ascii="Times New Roman" w:hAnsi="Times New Roman" w:cs="Times New Roman"/>
          <w:kern w:val="0"/>
          <w:sz w:val="24"/>
          <w:szCs w:val="24"/>
        </w:rPr>
        <w:t xml:space="preserve">рекомендується </w:t>
      </w:r>
      <w:r w:rsidR="005A1E41" w:rsidRPr="00116FA1">
        <w:rPr>
          <w:rFonts w:ascii="Times New Roman" w:hAnsi="Times New Roman" w:cs="Times New Roman"/>
          <w:kern w:val="0"/>
          <w:sz w:val="24"/>
          <w:szCs w:val="24"/>
        </w:rPr>
        <w:t>прийняти єдину процедуру відбору</w:t>
      </w:r>
      <w:r>
        <w:rPr>
          <w:rFonts w:ascii="Times New Roman" w:hAnsi="Times New Roman" w:cs="Times New Roman"/>
          <w:kern w:val="0"/>
          <w:sz w:val="24"/>
          <w:szCs w:val="24"/>
        </w:rPr>
        <w:t xml:space="preserve"> та </w:t>
      </w:r>
      <w:r w:rsidR="005A1E41" w:rsidRPr="00116FA1">
        <w:rPr>
          <w:rFonts w:ascii="Times New Roman" w:hAnsi="Times New Roman" w:cs="Times New Roman"/>
          <w:kern w:val="0"/>
          <w:sz w:val="24"/>
          <w:szCs w:val="24"/>
        </w:rPr>
        <w:t>створити спільний відбірковий комітет</w:t>
      </w:r>
      <w:r w:rsidR="009F44CD" w:rsidRPr="00116FA1">
        <w:rPr>
          <w:rFonts w:ascii="Times New Roman" w:hAnsi="Times New Roman" w:cs="Times New Roman"/>
          <w:kern w:val="0"/>
          <w:sz w:val="24"/>
          <w:szCs w:val="24"/>
        </w:rPr>
        <w:t xml:space="preserve"> (приймальну комісію)</w:t>
      </w:r>
      <w:r w:rsidR="005A1E41" w:rsidRPr="00116FA1">
        <w:rPr>
          <w:rFonts w:ascii="Times New Roman" w:hAnsi="Times New Roman" w:cs="Times New Roman"/>
          <w:kern w:val="0"/>
          <w:sz w:val="24"/>
          <w:szCs w:val="24"/>
        </w:rPr>
        <w:t xml:space="preserve"> з гармонізованими процедурами відбору.</w:t>
      </w:r>
      <w:r>
        <w:rPr>
          <w:rFonts w:ascii="Times New Roman" w:hAnsi="Times New Roman" w:cs="Times New Roman"/>
          <w:kern w:val="0"/>
          <w:sz w:val="24"/>
          <w:szCs w:val="24"/>
        </w:rPr>
        <w:t xml:space="preserve"> </w:t>
      </w:r>
      <w:r w:rsidR="005A1E41" w:rsidRPr="00116FA1">
        <w:rPr>
          <w:rFonts w:ascii="Times New Roman" w:hAnsi="Times New Roman" w:cs="Times New Roman"/>
          <w:kern w:val="0"/>
          <w:sz w:val="24"/>
          <w:szCs w:val="24"/>
        </w:rPr>
        <w:t>Партнери зазвичай проводять попередній відбір, а остаточне рішення приймається спільним відбірковим комітетом.</w:t>
      </w:r>
    </w:p>
    <w:p w14:paraId="73F00E1F" w14:textId="1F7206C9" w:rsidR="00B94946" w:rsidRPr="00116FA1" w:rsidRDefault="00B94946" w:rsidP="00B9494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lang w:val="ru-RU"/>
        </w:rPr>
      </w:pPr>
      <w:r w:rsidRPr="00654F84">
        <w:rPr>
          <w:rFonts w:ascii="Times New Roman" w:hAnsi="Times New Roman" w:cs="Times New Roman"/>
          <w:kern w:val="0"/>
          <w:sz w:val="24"/>
          <w:szCs w:val="24"/>
        </w:rPr>
        <w:t xml:space="preserve">В Україні процедура </w:t>
      </w:r>
      <w:r>
        <w:rPr>
          <w:rFonts w:ascii="Times New Roman" w:hAnsi="Times New Roman" w:cs="Times New Roman"/>
          <w:kern w:val="0"/>
          <w:sz w:val="24"/>
          <w:szCs w:val="24"/>
        </w:rPr>
        <w:t>зарахування</w:t>
      </w:r>
      <w:r w:rsidRPr="00654F84">
        <w:rPr>
          <w:rFonts w:ascii="Times New Roman" w:hAnsi="Times New Roman" w:cs="Times New Roman"/>
          <w:kern w:val="0"/>
          <w:sz w:val="24"/>
          <w:szCs w:val="24"/>
        </w:rPr>
        <w:t xml:space="preserve"> централізована на рівні держави і відбувається</w:t>
      </w:r>
      <w:r w:rsidR="00DD2357">
        <w:rPr>
          <w:rFonts w:ascii="Times New Roman" w:hAnsi="Times New Roman" w:cs="Times New Roman"/>
          <w:kern w:val="0"/>
          <w:sz w:val="24"/>
          <w:szCs w:val="24"/>
        </w:rPr>
        <w:t xml:space="preserve"> за результатами </w:t>
      </w:r>
      <w:r>
        <w:rPr>
          <w:rFonts w:ascii="Times New Roman" w:hAnsi="Times New Roman" w:cs="Times New Roman"/>
          <w:kern w:val="0"/>
          <w:sz w:val="24"/>
          <w:szCs w:val="24"/>
        </w:rPr>
        <w:t>складання вступних екзаменів – тестів</w:t>
      </w:r>
      <w:r w:rsidR="00DD2357">
        <w:rPr>
          <w:rFonts w:ascii="Times New Roman" w:hAnsi="Times New Roman" w:cs="Times New Roman"/>
          <w:kern w:val="0"/>
          <w:sz w:val="24"/>
          <w:szCs w:val="24"/>
        </w:rPr>
        <w:t xml:space="preserve"> –  централізовано</w:t>
      </w:r>
      <w:r>
        <w:rPr>
          <w:rFonts w:ascii="Times New Roman" w:hAnsi="Times New Roman" w:cs="Times New Roman"/>
          <w:kern w:val="0"/>
          <w:sz w:val="24"/>
          <w:szCs w:val="24"/>
        </w:rPr>
        <w:t>. Тож така національна особливість має враховуватися при долученні до міжнародних спільних програм.</w:t>
      </w:r>
    </w:p>
    <w:p w14:paraId="6122BB2B" w14:textId="4E15374D" w:rsidR="007D4583" w:rsidRPr="007E7B3A" w:rsidRDefault="00375954" w:rsidP="007573D3">
      <w:pPr>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Pr>
          <w:rFonts w:ascii="Times New Roman" w:hAnsi="Times New Roman" w:cs="Times New Roman"/>
          <w:b/>
          <w:bCs/>
          <w:color w:val="365F91" w:themeColor="accent1" w:themeShade="BF"/>
          <w:kern w:val="0"/>
          <w:sz w:val="24"/>
          <w:szCs w:val="24"/>
        </w:rPr>
        <w:t xml:space="preserve">7.3. </w:t>
      </w:r>
      <w:r w:rsidR="005A1E41" w:rsidRPr="007E7B3A">
        <w:rPr>
          <w:rFonts w:ascii="Times New Roman" w:hAnsi="Times New Roman" w:cs="Times New Roman"/>
          <w:b/>
          <w:bCs/>
          <w:color w:val="365F91" w:themeColor="accent1" w:themeShade="BF"/>
          <w:kern w:val="0"/>
          <w:sz w:val="24"/>
          <w:szCs w:val="24"/>
        </w:rPr>
        <w:t>Реєстрація студентів</w:t>
      </w:r>
    </w:p>
    <w:p w14:paraId="407EBA06" w14:textId="4BF1D4B3" w:rsidR="007D4583" w:rsidRDefault="005A1E41" w:rsidP="007A3DB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 xml:space="preserve">Щодо реєстрації студентів, то в </w:t>
      </w:r>
      <w:r w:rsidR="009F44CD" w:rsidRPr="00F12B57">
        <w:rPr>
          <w:rFonts w:ascii="Times New Roman" w:hAnsi="Times New Roman" w:cs="Times New Roman"/>
          <w:kern w:val="0"/>
          <w:sz w:val="24"/>
          <w:szCs w:val="24"/>
        </w:rPr>
        <w:t>меж</w:t>
      </w:r>
      <w:r w:rsidRPr="00F12B57">
        <w:rPr>
          <w:rFonts w:ascii="Times New Roman" w:hAnsi="Times New Roman" w:cs="Times New Roman"/>
          <w:kern w:val="0"/>
          <w:sz w:val="24"/>
          <w:szCs w:val="24"/>
        </w:rPr>
        <w:t xml:space="preserve">ах спільної програми всі заклади-партнери несуть спільну відповідальність за студентів і всю </w:t>
      </w:r>
      <w:r w:rsidR="00F12B57">
        <w:rPr>
          <w:rFonts w:ascii="Times New Roman" w:hAnsi="Times New Roman" w:cs="Times New Roman"/>
          <w:kern w:val="0"/>
          <w:sz w:val="24"/>
          <w:szCs w:val="24"/>
        </w:rPr>
        <w:t>спільну</w:t>
      </w:r>
      <w:r w:rsidR="00FC4D59" w:rsidRPr="00F12B57">
        <w:rPr>
          <w:rFonts w:ascii="Times New Roman" w:hAnsi="Times New Roman" w:cs="Times New Roman"/>
          <w:kern w:val="0"/>
          <w:sz w:val="24"/>
          <w:szCs w:val="24"/>
        </w:rPr>
        <w:t xml:space="preserve"> </w:t>
      </w:r>
      <w:r w:rsidRPr="00F12B57">
        <w:rPr>
          <w:rFonts w:ascii="Times New Roman" w:hAnsi="Times New Roman" w:cs="Times New Roman"/>
          <w:kern w:val="0"/>
          <w:sz w:val="24"/>
          <w:szCs w:val="24"/>
        </w:rPr>
        <w:t>програму.</w:t>
      </w:r>
      <w:r w:rsidR="00FC4D59" w:rsidRPr="00F12B57">
        <w:rPr>
          <w:rFonts w:ascii="Times New Roman" w:hAnsi="Times New Roman" w:cs="Times New Roman"/>
          <w:kern w:val="0"/>
          <w:sz w:val="24"/>
          <w:szCs w:val="24"/>
        </w:rPr>
        <w:t xml:space="preserve"> </w:t>
      </w:r>
      <w:r w:rsidR="009F44CD" w:rsidRPr="00F12B57">
        <w:rPr>
          <w:rFonts w:ascii="Times New Roman" w:hAnsi="Times New Roman" w:cs="Times New Roman"/>
          <w:kern w:val="0"/>
          <w:sz w:val="24"/>
          <w:szCs w:val="24"/>
        </w:rPr>
        <w:t>Зазвичай с</w:t>
      </w:r>
      <w:r w:rsidRPr="00F12B57">
        <w:rPr>
          <w:rFonts w:ascii="Times New Roman" w:hAnsi="Times New Roman" w:cs="Times New Roman"/>
          <w:kern w:val="0"/>
          <w:sz w:val="24"/>
          <w:szCs w:val="24"/>
        </w:rPr>
        <w:t>туденти</w:t>
      </w:r>
      <w:r w:rsidR="00F12B57">
        <w:rPr>
          <w:rFonts w:ascii="Times New Roman" w:hAnsi="Times New Roman" w:cs="Times New Roman"/>
          <w:kern w:val="0"/>
          <w:sz w:val="24"/>
          <w:szCs w:val="24"/>
        </w:rPr>
        <w:t xml:space="preserve"> </w:t>
      </w:r>
      <w:r w:rsidR="00F12B57">
        <w:rPr>
          <w:rFonts w:ascii="Times New Roman" w:hAnsi="Times New Roman" w:cs="Times New Roman"/>
          <w:kern w:val="0"/>
          <w:sz w:val="24"/>
          <w:szCs w:val="24"/>
        </w:rPr>
        <w:t>спільн</w:t>
      </w:r>
      <w:r w:rsidR="00F12B57">
        <w:rPr>
          <w:rFonts w:ascii="Times New Roman" w:hAnsi="Times New Roman" w:cs="Times New Roman"/>
          <w:kern w:val="0"/>
          <w:sz w:val="24"/>
          <w:szCs w:val="24"/>
        </w:rPr>
        <w:t>ої</w:t>
      </w:r>
      <w:r w:rsidR="00F12B57" w:rsidRPr="00F12B57">
        <w:rPr>
          <w:rFonts w:ascii="Times New Roman" w:hAnsi="Times New Roman" w:cs="Times New Roman"/>
          <w:kern w:val="0"/>
          <w:sz w:val="24"/>
          <w:szCs w:val="24"/>
        </w:rPr>
        <w:t xml:space="preserve"> програм</w:t>
      </w:r>
      <w:r w:rsidR="00F12B57">
        <w:rPr>
          <w:rFonts w:ascii="Times New Roman" w:hAnsi="Times New Roman" w:cs="Times New Roman"/>
          <w:kern w:val="0"/>
          <w:sz w:val="24"/>
          <w:szCs w:val="24"/>
        </w:rPr>
        <w:t>и</w:t>
      </w:r>
      <w:r w:rsidRPr="00F12B57">
        <w:rPr>
          <w:rFonts w:ascii="Times New Roman" w:hAnsi="Times New Roman" w:cs="Times New Roman"/>
          <w:kern w:val="0"/>
          <w:sz w:val="24"/>
          <w:szCs w:val="24"/>
        </w:rPr>
        <w:t xml:space="preserve"> є студентами </w:t>
      </w:r>
      <w:r w:rsidR="00390839" w:rsidRPr="00F12B57">
        <w:rPr>
          <w:rFonts w:ascii="Times New Roman" w:hAnsi="Times New Roman" w:cs="Times New Roman"/>
          <w:kern w:val="0"/>
          <w:sz w:val="24"/>
          <w:szCs w:val="24"/>
        </w:rPr>
        <w:t xml:space="preserve">ступеневих програм </w:t>
      </w:r>
      <w:r w:rsidRPr="00F12B57">
        <w:rPr>
          <w:rFonts w:ascii="Times New Roman" w:hAnsi="Times New Roman" w:cs="Times New Roman"/>
          <w:kern w:val="0"/>
          <w:sz w:val="24"/>
          <w:szCs w:val="24"/>
        </w:rPr>
        <w:t>тих закладів, які вони відвідують під час</w:t>
      </w:r>
      <w:r w:rsidR="00FC4D59" w:rsidRPr="00F12B57">
        <w:rPr>
          <w:rFonts w:ascii="Times New Roman" w:hAnsi="Times New Roman" w:cs="Times New Roman"/>
          <w:kern w:val="0"/>
          <w:sz w:val="24"/>
          <w:szCs w:val="24"/>
        </w:rPr>
        <w:t xml:space="preserve"> </w:t>
      </w:r>
      <w:r w:rsidRPr="00F12B57">
        <w:rPr>
          <w:rFonts w:ascii="Times New Roman" w:hAnsi="Times New Roman" w:cs="Times New Roman"/>
          <w:kern w:val="0"/>
          <w:sz w:val="24"/>
          <w:szCs w:val="24"/>
        </w:rPr>
        <w:t>програми.</w:t>
      </w:r>
      <w:r w:rsidR="00FC4D59" w:rsidRPr="00F12B57">
        <w:rPr>
          <w:rFonts w:ascii="Times New Roman" w:hAnsi="Times New Roman" w:cs="Times New Roman"/>
          <w:kern w:val="0"/>
          <w:sz w:val="24"/>
          <w:szCs w:val="24"/>
        </w:rPr>
        <w:t xml:space="preserve"> </w:t>
      </w:r>
      <w:r w:rsidRPr="00F12B57">
        <w:rPr>
          <w:rFonts w:ascii="Times New Roman" w:hAnsi="Times New Roman" w:cs="Times New Roman"/>
          <w:kern w:val="0"/>
          <w:sz w:val="24"/>
          <w:szCs w:val="24"/>
        </w:rPr>
        <w:t>Студент</w:t>
      </w:r>
      <w:r w:rsidR="00390839" w:rsidRPr="00F12B57">
        <w:rPr>
          <w:rFonts w:ascii="Times New Roman" w:hAnsi="Times New Roman" w:cs="Times New Roman"/>
          <w:kern w:val="0"/>
          <w:sz w:val="24"/>
          <w:szCs w:val="24"/>
        </w:rPr>
        <w:t>и</w:t>
      </w:r>
      <w:r w:rsidRPr="00F12B57">
        <w:rPr>
          <w:rFonts w:ascii="Times New Roman" w:hAnsi="Times New Roman" w:cs="Times New Roman"/>
          <w:kern w:val="0"/>
          <w:sz w:val="24"/>
          <w:szCs w:val="24"/>
        </w:rPr>
        <w:t xml:space="preserve"> реєстру</w:t>
      </w:r>
      <w:r w:rsidR="00390839" w:rsidRPr="00F12B57">
        <w:rPr>
          <w:rFonts w:ascii="Times New Roman" w:hAnsi="Times New Roman" w:cs="Times New Roman"/>
          <w:kern w:val="0"/>
          <w:sz w:val="24"/>
          <w:szCs w:val="24"/>
        </w:rPr>
        <w:t>ю</w:t>
      </w:r>
      <w:r w:rsidRPr="00F12B57">
        <w:rPr>
          <w:rFonts w:ascii="Times New Roman" w:hAnsi="Times New Roman" w:cs="Times New Roman"/>
          <w:kern w:val="0"/>
          <w:sz w:val="24"/>
          <w:szCs w:val="24"/>
        </w:rPr>
        <w:t>ться в кожному закладі</w:t>
      </w:r>
      <w:r w:rsidR="00F12B57">
        <w:rPr>
          <w:rFonts w:ascii="Times New Roman" w:hAnsi="Times New Roman" w:cs="Times New Roman"/>
          <w:kern w:val="0"/>
          <w:sz w:val="24"/>
          <w:szCs w:val="24"/>
        </w:rPr>
        <w:t>-партнері</w:t>
      </w:r>
      <w:r w:rsidRPr="00F12B57">
        <w:rPr>
          <w:rFonts w:ascii="Times New Roman" w:hAnsi="Times New Roman" w:cs="Times New Roman"/>
          <w:kern w:val="0"/>
          <w:sz w:val="24"/>
          <w:szCs w:val="24"/>
        </w:rPr>
        <w:t>, де в</w:t>
      </w:r>
      <w:r w:rsidR="00390839" w:rsidRPr="00F12B57">
        <w:rPr>
          <w:rFonts w:ascii="Times New Roman" w:hAnsi="Times New Roman" w:cs="Times New Roman"/>
          <w:kern w:val="0"/>
          <w:sz w:val="24"/>
          <w:szCs w:val="24"/>
        </w:rPr>
        <w:t>они</w:t>
      </w:r>
      <w:r w:rsidRPr="00F12B57">
        <w:rPr>
          <w:rFonts w:ascii="Times New Roman" w:hAnsi="Times New Roman" w:cs="Times New Roman"/>
          <w:kern w:val="0"/>
          <w:sz w:val="24"/>
          <w:szCs w:val="24"/>
        </w:rPr>
        <w:t xml:space="preserve"> навча</w:t>
      </w:r>
      <w:r w:rsidR="00390839" w:rsidRPr="00F12B57">
        <w:rPr>
          <w:rFonts w:ascii="Times New Roman" w:hAnsi="Times New Roman" w:cs="Times New Roman"/>
          <w:kern w:val="0"/>
          <w:sz w:val="24"/>
          <w:szCs w:val="24"/>
        </w:rPr>
        <w:t>ю</w:t>
      </w:r>
      <w:r w:rsidRPr="00F12B57">
        <w:rPr>
          <w:rFonts w:ascii="Times New Roman" w:hAnsi="Times New Roman" w:cs="Times New Roman"/>
          <w:kern w:val="0"/>
          <w:sz w:val="24"/>
          <w:szCs w:val="24"/>
        </w:rPr>
        <w:t xml:space="preserve">ться, </w:t>
      </w:r>
      <w:r w:rsidR="00390839" w:rsidRPr="00F12B57">
        <w:rPr>
          <w:rFonts w:ascii="Times New Roman" w:hAnsi="Times New Roman" w:cs="Times New Roman"/>
          <w:kern w:val="0"/>
          <w:sz w:val="24"/>
          <w:szCs w:val="24"/>
        </w:rPr>
        <w:t>а також</w:t>
      </w:r>
      <w:r w:rsidR="009F44CD" w:rsidRPr="00F12B57">
        <w:rPr>
          <w:rFonts w:ascii="Times New Roman" w:hAnsi="Times New Roman" w:cs="Times New Roman"/>
          <w:kern w:val="0"/>
          <w:sz w:val="24"/>
          <w:szCs w:val="24"/>
        </w:rPr>
        <w:t>,</w:t>
      </w:r>
      <w:r w:rsidR="00390839" w:rsidRPr="00F12B57">
        <w:rPr>
          <w:rFonts w:ascii="Times New Roman" w:hAnsi="Times New Roman" w:cs="Times New Roman"/>
          <w:kern w:val="0"/>
          <w:sz w:val="24"/>
          <w:szCs w:val="24"/>
        </w:rPr>
        <w:t xml:space="preserve"> мож</w:t>
      </w:r>
      <w:r w:rsidR="009F44CD" w:rsidRPr="00F12B57">
        <w:rPr>
          <w:rFonts w:ascii="Times New Roman" w:hAnsi="Times New Roman" w:cs="Times New Roman"/>
          <w:kern w:val="0"/>
          <w:sz w:val="24"/>
          <w:szCs w:val="24"/>
        </w:rPr>
        <w:t>ливо,</w:t>
      </w:r>
      <w:r w:rsidRPr="00F12B57">
        <w:rPr>
          <w:rFonts w:ascii="Times New Roman" w:hAnsi="Times New Roman" w:cs="Times New Roman"/>
          <w:kern w:val="0"/>
          <w:sz w:val="24"/>
          <w:szCs w:val="24"/>
        </w:rPr>
        <w:t xml:space="preserve"> у </w:t>
      </w:r>
      <w:r w:rsidR="00390839" w:rsidRPr="00F12B57">
        <w:rPr>
          <w:rFonts w:ascii="Times New Roman" w:hAnsi="Times New Roman" w:cs="Times New Roman"/>
          <w:kern w:val="0"/>
          <w:sz w:val="24"/>
          <w:szCs w:val="24"/>
        </w:rPr>
        <w:t>закладі-</w:t>
      </w:r>
      <w:r w:rsidRPr="00F12B57">
        <w:rPr>
          <w:rFonts w:ascii="Times New Roman" w:hAnsi="Times New Roman" w:cs="Times New Roman"/>
          <w:kern w:val="0"/>
          <w:sz w:val="24"/>
          <w:szCs w:val="24"/>
        </w:rPr>
        <w:t>координ</w:t>
      </w:r>
      <w:r w:rsidR="00390839" w:rsidRPr="00F12B57">
        <w:rPr>
          <w:rFonts w:ascii="Times New Roman" w:hAnsi="Times New Roman" w:cs="Times New Roman"/>
          <w:kern w:val="0"/>
          <w:sz w:val="24"/>
          <w:szCs w:val="24"/>
        </w:rPr>
        <w:t>аторі</w:t>
      </w:r>
      <w:r w:rsidRPr="00F12B57">
        <w:rPr>
          <w:rFonts w:ascii="Times New Roman" w:hAnsi="Times New Roman" w:cs="Times New Roman"/>
          <w:kern w:val="0"/>
          <w:sz w:val="24"/>
          <w:szCs w:val="24"/>
        </w:rPr>
        <w:t xml:space="preserve"> консорціуму (навіть якщо</w:t>
      </w:r>
      <w:r w:rsidR="00390839" w:rsidRPr="00F12B57">
        <w:rPr>
          <w:rFonts w:ascii="Times New Roman" w:hAnsi="Times New Roman" w:cs="Times New Roman"/>
          <w:kern w:val="0"/>
          <w:sz w:val="24"/>
          <w:szCs w:val="24"/>
        </w:rPr>
        <w:t xml:space="preserve"> даний</w:t>
      </w:r>
      <w:r w:rsidRPr="00F12B57">
        <w:rPr>
          <w:rFonts w:ascii="Times New Roman" w:hAnsi="Times New Roman" w:cs="Times New Roman"/>
          <w:kern w:val="0"/>
          <w:sz w:val="24"/>
          <w:szCs w:val="24"/>
        </w:rPr>
        <w:t xml:space="preserve"> студент ніколи не </w:t>
      </w:r>
      <w:r w:rsidR="009F44CD" w:rsidRPr="00F12B57">
        <w:rPr>
          <w:rFonts w:ascii="Times New Roman" w:hAnsi="Times New Roman" w:cs="Times New Roman"/>
          <w:kern w:val="0"/>
          <w:sz w:val="24"/>
          <w:szCs w:val="24"/>
        </w:rPr>
        <w:t xml:space="preserve">буде </w:t>
      </w:r>
      <w:r w:rsidRPr="00F12B57">
        <w:rPr>
          <w:rFonts w:ascii="Times New Roman" w:hAnsi="Times New Roman" w:cs="Times New Roman"/>
          <w:kern w:val="0"/>
          <w:sz w:val="24"/>
          <w:szCs w:val="24"/>
        </w:rPr>
        <w:t>навча</w:t>
      </w:r>
      <w:r w:rsidR="009F44CD" w:rsidRPr="00F12B57">
        <w:rPr>
          <w:rFonts w:ascii="Times New Roman" w:hAnsi="Times New Roman" w:cs="Times New Roman"/>
          <w:kern w:val="0"/>
          <w:sz w:val="24"/>
          <w:szCs w:val="24"/>
        </w:rPr>
        <w:t>тис</w:t>
      </w:r>
      <w:r w:rsidR="0060236F">
        <w:rPr>
          <w:rFonts w:ascii="Times New Roman" w:hAnsi="Times New Roman" w:cs="Times New Roman"/>
          <w:kern w:val="0"/>
          <w:sz w:val="24"/>
          <w:szCs w:val="24"/>
        </w:rPr>
        <w:t>я</w:t>
      </w:r>
      <w:r w:rsidR="009F44CD" w:rsidRPr="00F12B57">
        <w:rPr>
          <w:rFonts w:ascii="Times New Roman" w:hAnsi="Times New Roman" w:cs="Times New Roman"/>
          <w:kern w:val="0"/>
          <w:sz w:val="24"/>
          <w:szCs w:val="24"/>
        </w:rPr>
        <w:t xml:space="preserve"> у</w:t>
      </w:r>
      <w:r w:rsidRPr="00F12B57">
        <w:rPr>
          <w:rFonts w:ascii="Times New Roman" w:hAnsi="Times New Roman" w:cs="Times New Roman"/>
          <w:kern w:val="0"/>
          <w:sz w:val="24"/>
          <w:szCs w:val="24"/>
        </w:rPr>
        <w:t xml:space="preserve"> </w:t>
      </w:r>
      <w:r w:rsidR="00390839" w:rsidRPr="00F12B57">
        <w:rPr>
          <w:rFonts w:ascii="Times New Roman" w:hAnsi="Times New Roman" w:cs="Times New Roman"/>
          <w:kern w:val="0"/>
          <w:sz w:val="24"/>
          <w:szCs w:val="24"/>
        </w:rPr>
        <w:t>закладі-координатор</w:t>
      </w:r>
      <w:r w:rsidR="0060236F">
        <w:rPr>
          <w:rFonts w:ascii="Times New Roman" w:hAnsi="Times New Roman" w:cs="Times New Roman"/>
          <w:kern w:val="0"/>
          <w:sz w:val="24"/>
          <w:szCs w:val="24"/>
        </w:rPr>
        <w:t>а</w:t>
      </w:r>
      <w:r w:rsidRPr="00F12B57">
        <w:rPr>
          <w:rFonts w:ascii="Times New Roman" w:hAnsi="Times New Roman" w:cs="Times New Roman"/>
          <w:kern w:val="0"/>
          <w:sz w:val="24"/>
          <w:szCs w:val="24"/>
        </w:rPr>
        <w:t xml:space="preserve">). Можливі різні підходи до реєстрації, але вони повинні відповідати національному законодавству та інституційним </w:t>
      </w:r>
      <w:r w:rsidR="00390839" w:rsidRPr="00F12B57">
        <w:rPr>
          <w:rFonts w:ascii="Times New Roman" w:hAnsi="Times New Roman" w:cs="Times New Roman"/>
          <w:kern w:val="0"/>
          <w:sz w:val="24"/>
          <w:szCs w:val="24"/>
        </w:rPr>
        <w:t>процедурам</w:t>
      </w:r>
      <w:r w:rsidRPr="00F12B57">
        <w:rPr>
          <w:rFonts w:ascii="Times New Roman" w:hAnsi="Times New Roman" w:cs="Times New Roman"/>
          <w:kern w:val="0"/>
          <w:sz w:val="24"/>
          <w:szCs w:val="24"/>
        </w:rPr>
        <w:t xml:space="preserve"> присудження ступеня.</w:t>
      </w:r>
    </w:p>
    <w:p w14:paraId="2AF64003" w14:textId="77777777" w:rsidR="007A3DB6" w:rsidRDefault="007A3DB6" w:rsidP="007A3DB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54F84">
        <w:rPr>
          <w:rFonts w:ascii="Times New Roman" w:hAnsi="Times New Roman" w:cs="Times New Roman"/>
          <w:kern w:val="0"/>
          <w:sz w:val="24"/>
          <w:szCs w:val="24"/>
        </w:rPr>
        <w:t xml:space="preserve">В Україні процедура </w:t>
      </w:r>
      <w:r>
        <w:rPr>
          <w:rFonts w:ascii="Times New Roman" w:hAnsi="Times New Roman" w:cs="Times New Roman"/>
          <w:kern w:val="0"/>
          <w:sz w:val="24"/>
          <w:szCs w:val="24"/>
        </w:rPr>
        <w:t>реєстрації студентів</w:t>
      </w:r>
      <w:r w:rsidRPr="00654F84">
        <w:rPr>
          <w:rFonts w:ascii="Times New Roman" w:hAnsi="Times New Roman" w:cs="Times New Roman"/>
          <w:kern w:val="0"/>
          <w:sz w:val="24"/>
          <w:szCs w:val="24"/>
        </w:rPr>
        <w:t xml:space="preserve"> централізована на рівні держави і відбувається</w:t>
      </w:r>
      <w:r>
        <w:rPr>
          <w:rFonts w:ascii="Times New Roman" w:hAnsi="Times New Roman" w:cs="Times New Roman"/>
          <w:kern w:val="0"/>
          <w:sz w:val="24"/>
          <w:szCs w:val="24"/>
        </w:rPr>
        <w:t xml:space="preserve"> шляхом внесення даних щодо зарахованих на навчання студентів до ЄДЕБО. Тож така національна особливість має враховуватися при долученні до міжнародних спільних програм.</w:t>
      </w:r>
    </w:p>
    <w:p w14:paraId="44027B19" w14:textId="0B29310E" w:rsidR="007A3DB6" w:rsidRPr="00385718" w:rsidRDefault="007A3DB6" w:rsidP="007A3DB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Наразі готується оновлення ЄДЕБО щодо додаткових опцій для </w:t>
      </w:r>
      <w:r w:rsidR="00385718">
        <w:rPr>
          <w:rFonts w:ascii="Times New Roman" w:hAnsi="Times New Roman" w:cs="Times New Roman"/>
          <w:kern w:val="0"/>
          <w:sz w:val="24"/>
          <w:szCs w:val="24"/>
        </w:rPr>
        <w:t>реалізації</w:t>
      </w:r>
      <w:r>
        <w:rPr>
          <w:rFonts w:ascii="Times New Roman" w:hAnsi="Times New Roman" w:cs="Times New Roman"/>
          <w:kern w:val="0"/>
          <w:sz w:val="24"/>
          <w:szCs w:val="24"/>
        </w:rPr>
        <w:t xml:space="preserve"> спільних програм</w:t>
      </w:r>
      <w:r w:rsidR="00385718">
        <w:rPr>
          <w:rFonts w:ascii="Times New Roman" w:hAnsi="Times New Roman" w:cs="Times New Roman"/>
          <w:kern w:val="0"/>
          <w:sz w:val="24"/>
          <w:szCs w:val="24"/>
        </w:rPr>
        <w:t xml:space="preserve"> та видачі спільних дипломів.</w:t>
      </w:r>
    </w:p>
    <w:p w14:paraId="72A07883" w14:textId="79F414C0" w:rsidR="007D4583" w:rsidRPr="00F12B57" w:rsidRDefault="005A1E41" w:rsidP="008116B0">
      <w:pPr>
        <w:autoSpaceDE w:val="0"/>
        <w:autoSpaceDN w:val="0"/>
        <w:adjustRightInd w:val="0"/>
        <w:spacing w:after="0"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 xml:space="preserve">Інші </w:t>
      </w:r>
      <w:r w:rsidR="00390839" w:rsidRPr="00F12B57">
        <w:rPr>
          <w:rFonts w:ascii="Times New Roman" w:hAnsi="Times New Roman" w:cs="Times New Roman"/>
          <w:kern w:val="0"/>
          <w:sz w:val="24"/>
          <w:szCs w:val="24"/>
        </w:rPr>
        <w:t xml:space="preserve">рекомендації </w:t>
      </w:r>
      <w:r w:rsidRPr="00F12B57">
        <w:rPr>
          <w:rFonts w:ascii="Times New Roman" w:hAnsi="Times New Roman" w:cs="Times New Roman"/>
          <w:kern w:val="0"/>
          <w:sz w:val="24"/>
          <w:szCs w:val="24"/>
        </w:rPr>
        <w:t xml:space="preserve">щодо процедур вступу </w:t>
      </w:r>
      <w:r w:rsidR="009F44CD" w:rsidRPr="00F12B57">
        <w:rPr>
          <w:rFonts w:ascii="Times New Roman" w:hAnsi="Times New Roman" w:cs="Times New Roman"/>
          <w:kern w:val="0"/>
          <w:sz w:val="24"/>
          <w:szCs w:val="24"/>
        </w:rPr>
        <w:t>такі</w:t>
      </w:r>
      <w:r w:rsidRPr="00F12B57">
        <w:rPr>
          <w:rFonts w:ascii="Times New Roman" w:hAnsi="Times New Roman" w:cs="Times New Roman"/>
          <w:kern w:val="0"/>
          <w:sz w:val="24"/>
          <w:szCs w:val="24"/>
        </w:rPr>
        <w:t>:</w:t>
      </w:r>
    </w:p>
    <w:p w14:paraId="4BBBF25C" w14:textId="3768A6C6" w:rsidR="007D4583" w:rsidRPr="00F12B57" w:rsidRDefault="005A1E41" w:rsidP="008116B0">
      <w:pPr>
        <w:numPr>
          <w:ilvl w:val="0"/>
          <w:numId w:val="41"/>
        </w:numPr>
        <w:autoSpaceDE w:val="0"/>
        <w:autoSpaceDN w:val="0"/>
        <w:adjustRightInd w:val="0"/>
        <w:spacing w:after="0"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 xml:space="preserve">при формулюванні спільних критеріїв вступу заклади-партнери повинні усвідомлювати, що деякі з них можуть мати суворіші </w:t>
      </w:r>
      <w:r w:rsidR="009F44CD" w:rsidRPr="00F12B57">
        <w:rPr>
          <w:rFonts w:ascii="Times New Roman" w:hAnsi="Times New Roman" w:cs="Times New Roman"/>
          <w:kern w:val="0"/>
          <w:sz w:val="24"/>
          <w:szCs w:val="24"/>
        </w:rPr>
        <w:t>правила</w:t>
      </w:r>
      <w:r w:rsidRPr="00F12B57">
        <w:rPr>
          <w:rFonts w:ascii="Times New Roman" w:hAnsi="Times New Roman" w:cs="Times New Roman"/>
          <w:kern w:val="0"/>
          <w:sz w:val="24"/>
          <w:szCs w:val="24"/>
        </w:rPr>
        <w:t xml:space="preserve"> і меншу гнучкість, а також</w:t>
      </w:r>
      <w:r w:rsidR="0060236F">
        <w:rPr>
          <w:rFonts w:ascii="Times New Roman" w:hAnsi="Times New Roman" w:cs="Times New Roman"/>
          <w:kern w:val="0"/>
          <w:sz w:val="24"/>
          <w:szCs w:val="24"/>
        </w:rPr>
        <w:t>,</w:t>
      </w:r>
      <w:r w:rsidRPr="00F12B57">
        <w:rPr>
          <w:rFonts w:ascii="Times New Roman" w:hAnsi="Times New Roman" w:cs="Times New Roman"/>
          <w:kern w:val="0"/>
          <w:sz w:val="24"/>
          <w:szCs w:val="24"/>
        </w:rPr>
        <w:t xml:space="preserve"> що може знадобитися отрима</w:t>
      </w:r>
      <w:r w:rsidR="006F5F27" w:rsidRPr="00F12B57">
        <w:rPr>
          <w:rFonts w:ascii="Times New Roman" w:hAnsi="Times New Roman" w:cs="Times New Roman"/>
          <w:kern w:val="0"/>
          <w:sz w:val="24"/>
          <w:szCs w:val="24"/>
        </w:rPr>
        <w:t>ти</w:t>
      </w:r>
      <w:r w:rsidRPr="00F12B57">
        <w:rPr>
          <w:rFonts w:ascii="Times New Roman" w:hAnsi="Times New Roman" w:cs="Times New Roman"/>
          <w:kern w:val="0"/>
          <w:sz w:val="24"/>
          <w:szCs w:val="24"/>
        </w:rPr>
        <w:t xml:space="preserve"> спеціальн</w:t>
      </w:r>
      <w:r w:rsidR="006F5F27" w:rsidRPr="00F12B57">
        <w:rPr>
          <w:rFonts w:ascii="Times New Roman" w:hAnsi="Times New Roman" w:cs="Times New Roman"/>
          <w:kern w:val="0"/>
          <w:sz w:val="24"/>
          <w:szCs w:val="24"/>
        </w:rPr>
        <w:t>і</w:t>
      </w:r>
      <w:r w:rsidRPr="00F12B57">
        <w:rPr>
          <w:rFonts w:ascii="Times New Roman" w:hAnsi="Times New Roman" w:cs="Times New Roman"/>
          <w:kern w:val="0"/>
          <w:sz w:val="24"/>
          <w:szCs w:val="24"/>
        </w:rPr>
        <w:t xml:space="preserve"> дозвол</w:t>
      </w:r>
      <w:r w:rsidR="006F5F27" w:rsidRPr="00F12B57">
        <w:rPr>
          <w:rFonts w:ascii="Times New Roman" w:hAnsi="Times New Roman" w:cs="Times New Roman"/>
          <w:kern w:val="0"/>
          <w:sz w:val="24"/>
          <w:szCs w:val="24"/>
        </w:rPr>
        <w:t>и</w:t>
      </w:r>
      <w:r w:rsidRPr="00F12B57">
        <w:rPr>
          <w:rFonts w:ascii="Times New Roman" w:hAnsi="Times New Roman" w:cs="Times New Roman"/>
          <w:kern w:val="0"/>
          <w:sz w:val="24"/>
          <w:szCs w:val="24"/>
        </w:rPr>
        <w:t xml:space="preserve"> від </w:t>
      </w:r>
      <w:r w:rsidR="0060236F">
        <w:rPr>
          <w:rFonts w:ascii="Times New Roman" w:hAnsi="Times New Roman" w:cs="Times New Roman"/>
          <w:kern w:val="0"/>
          <w:sz w:val="24"/>
          <w:szCs w:val="24"/>
        </w:rPr>
        <w:t>Вченої</w:t>
      </w:r>
      <w:r w:rsidRPr="00F12B57">
        <w:rPr>
          <w:rFonts w:ascii="Times New Roman" w:hAnsi="Times New Roman" w:cs="Times New Roman"/>
          <w:kern w:val="0"/>
          <w:sz w:val="24"/>
          <w:szCs w:val="24"/>
        </w:rPr>
        <w:t xml:space="preserve"> ради, щоб </w:t>
      </w:r>
      <w:r w:rsidR="006F5F27" w:rsidRPr="00F12B57">
        <w:rPr>
          <w:rFonts w:ascii="Times New Roman" w:hAnsi="Times New Roman" w:cs="Times New Roman"/>
          <w:kern w:val="0"/>
          <w:sz w:val="24"/>
          <w:szCs w:val="24"/>
        </w:rPr>
        <w:t>задовольнити</w:t>
      </w:r>
      <w:r w:rsidRPr="00F12B57">
        <w:rPr>
          <w:rFonts w:ascii="Times New Roman" w:hAnsi="Times New Roman" w:cs="Times New Roman"/>
          <w:kern w:val="0"/>
          <w:sz w:val="24"/>
          <w:szCs w:val="24"/>
        </w:rPr>
        <w:t xml:space="preserve"> вимог</w:t>
      </w:r>
      <w:r w:rsidR="006F5F27" w:rsidRPr="00F12B57">
        <w:rPr>
          <w:rFonts w:ascii="Times New Roman" w:hAnsi="Times New Roman" w:cs="Times New Roman"/>
          <w:kern w:val="0"/>
          <w:sz w:val="24"/>
          <w:szCs w:val="24"/>
        </w:rPr>
        <w:t>и</w:t>
      </w:r>
      <w:r w:rsidRPr="00F12B57">
        <w:rPr>
          <w:rFonts w:ascii="Times New Roman" w:hAnsi="Times New Roman" w:cs="Times New Roman"/>
          <w:kern w:val="0"/>
          <w:sz w:val="24"/>
          <w:szCs w:val="24"/>
        </w:rPr>
        <w:t xml:space="preserve"> закладів-</w:t>
      </w:r>
      <w:r w:rsidR="0060236F">
        <w:rPr>
          <w:rFonts w:ascii="Times New Roman" w:hAnsi="Times New Roman" w:cs="Times New Roman"/>
          <w:kern w:val="0"/>
          <w:sz w:val="24"/>
          <w:szCs w:val="24"/>
        </w:rPr>
        <w:t>партнерів</w:t>
      </w:r>
      <w:r w:rsidRPr="00F12B57">
        <w:rPr>
          <w:rFonts w:ascii="Times New Roman" w:hAnsi="Times New Roman" w:cs="Times New Roman"/>
          <w:kern w:val="0"/>
          <w:sz w:val="24"/>
          <w:szCs w:val="24"/>
        </w:rPr>
        <w:t>;</w:t>
      </w:r>
    </w:p>
    <w:p w14:paraId="044DA145" w14:textId="6EAF5138" w:rsidR="007D4583" w:rsidRPr="00F12B57" w:rsidRDefault="005A1E41" w:rsidP="008116B0">
      <w:pPr>
        <w:numPr>
          <w:ilvl w:val="0"/>
          <w:numId w:val="41"/>
        </w:numPr>
        <w:autoSpaceDE w:val="0"/>
        <w:autoSpaceDN w:val="0"/>
        <w:adjustRightInd w:val="0"/>
        <w:spacing w:after="0"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заклади повинні з</w:t>
      </w:r>
      <w:r w:rsidR="006F5F27" w:rsidRPr="00F12B57">
        <w:rPr>
          <w:rFonts w:ascii="Times New Roman" w:hAnsi="Times New Roman" w:cs="Times New Roman"/>
          <w:kern w:val="0"/>
          <w:sz w:val="24"/>
          <w:szCs w:val="24"/>
        </w:rPr>
        <w:t>’</w:t>
      </w:r>
      <w:r w:rsidRPr="00F12B57">
        <w:rPr>
          <w:rFonts w:ascii="Times New Roman" w:hAnsi="Times New Roman" w:cs="Times New Roman"/>
          <w:kern w:val="0"/>
          <w:sz w:val="24"/>
          <w:szCs w:val="24"/>
        </w:rPr>
        <w:t>ясувати, які вимоги до вступних документів усіх закладів-партнерів консорціуму їм потрібні;</w:t>
      </w:r>
    </w:p>
    <w:p w14:paraId="3130927C" w14:textId="67C72067" w:rsidR="007D4583" w:rsidRPr="00F12B57" w:rsidRDefault="005A1E41" w:rsidP="008116B0">
      <w:pPr>
        <w:numPr>
          <w:ilvl w:val="0"/>
          <w:numId w:val="41"/>
        </w:numPr>
        <w:autoSpaceDE w:val="0"/>
        <w:autoSpaceDN w:val="0"/>
        <w:adjustRightInd w:val="0"/>
        <w:spacing w:after="0"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при розроб</w:t>
      </w:r>
      <w:r w:rsidR="0060236F">
        <w:rPr>
          <w:rFonts w:ascii="Times New Roman" w:hAnsi="Times New Roman" w:cs="Times New Roman"/>
          <w:kern w:val="0"/>
          <w:sz w:val="24"/>
          <w:szCs w:val="24"/>
        </w:rPr>
        <w:t>ленні</w:t>
      </w:r>
      <w:r w:rsidRPr="00F12B57">
        <w:rPr>
          <w:rFonts w:ascii="Times New Roman" w:hAnsi="Times New Roman" w:cs="Times New Roman"/>
          <w:kern w:val="0"/>
          <w:sz w:val="24"/>
          <w:szCs w:val="24"/>
        </w:rPr>
        <w:t xml:space="preserve"> процедур вступу та орієнтації на </w:t>
      </w:r>
      <w:r w:rsidR="0060236F">
        <w:rPr>
          <w:rFonts w:ascii="Times New Roman" w:hAnsi="Times New Roman" w:cs="Times New Roman"/>
          <w:kern w:val="0"/>
          <w:sz w:val="24"/>
          <w:szCs w:val="24"/>
        </w:rPr>
        <w:t xml:space="preserve">іноземних </w:t>
      </w:r>
      <w:r w:rsidRPr="00F12B57">
        <w:rPr>
          <w:rFonts w:ascii="Times New Roman" w:hAnsi="Times New Roman" w:cs="Times New Roman"/>
          <w:kern w:val="0"/>
          <w:sz w:val="24"/>
          <w:szCs w:val="24"/>
        </w:rPr>
        <w:t xml:space="preserve">студентів </w:t>
      </w:r>
      <w:r w:rsidR="006F5F27" w:rsidRPr="00F12B57">
        <w:rPr>
          <w:rFonts w:ascii="Times New Roman" w:hAnsi="Times New Roman" w:cs="Times New Roman"/>
          <w:kern w:val="0"/>
          <w:sz w:val="24"/>
          <w:szCs w:val="24"/>
        </w:rPr>
        <w:t xml:space="preserve">слід </w:t>
      </w:r>
      <w:r w:rsidRPr="00F12B57">
        <w:rPr>
          <w:rFonts w:ascii="Times New Roman" w:hAnsi="Times New Roman" w:cs="Times New Roman"/>
          <w:kern w:val="0"/>
          <w:sz w:val="24"/>
          <w:szCs w:val="24"/>
        </w:rPr>
        <w:t>врахувати необхідні візові процедури для студентів;</w:t>
      </w:r>
    </w:p>
    <w:p w14:paraId="2F705E4A" w14:textId="76585143" w:rsidR="007D4583" w:rsidRPr="00F12B57" w:rsidRDefault="005A1E41" w:rsidP="008116B0">
      <w:pPr>
        <w:numPr>
          <w:ilvl w:val="0"/>
          <w:numId w:val="41"/>
        </w:numPr>
        <w:autoSpaceDE w:val="0"/>
        <w:autoSpaceDN w:val="0"/>
        <w:adjustRightInd w:val="0"/>
        <w:spacing w:after="0" w:line="240" w:lineRule="auto"/>
        <w:jc w:val="both"/>
        <w:rPr>
          <w:rFonts w:ascii="Times New Roman" w:hAnsi="Times New Roman" w:cs="Times New Roman"/>
          <w:kern w:val="0"/>
          <w:sz w:val="24"/>
          <w:szCs w:val="24"/>
        </w:rPr>
      </w:pPr>
      <w:r w:rsidRPr="00F12B57">
        <w:rPr>
          <w:rFonts w:ascii="Times New Roman" w:hAnsi="Times New Roman" w:cs="Times New Roman"/>
          <w:kern w:val="0"/>
          <w:sz w:val="24"/>
          <w:szCs w:val="24"/>
        </w:rPr>
        <w:t>партнерські заклади повинні узгодити не лише процедури вступу, але й терміни подачі заявок та процедури апеляції.</w:t>
      </w:r>
    </w:p>
    <w:p w14:paraId="5B1F8882" w14:textId="77777777" w:rsidR="00DD2357" w:rsidRPr="00DD2357" w:rsidRDefault="00DD2357" w:rsidP="00116FA1">
      <w:pPr>
        <w:autoSpaceDE w:val="0"/>
        <w:autoSpaceDN w:val="0"/>
        <w:adjustRightInd w:val="0"/>
        <w:spacing w:before="100" w:beforeAutospacing="1" w:after="100" w:afterAutospacing="1" w:line="240" w:lineRule="auto"/>
        <w:ind w:left="720"/>
        <w:jc w:val="both"/>
        <w:rPr>
          <w:rFonts w:ascii="Times New Roman" w:hAnsi="Times New Roman" w:cs="Times New Roman"/>
          <w:kern w:val="0"/>
          <w:sz w:val="24"/>
          <w:szCs w:val="24"/>
          <w:lang w:val="ru-RU"/>
        </w:rPr>
      </w:pPr>
    </w:p>
    <w:p w14:paraId="086106C4" w14:textId="39E4FF35" w:rsidR="001C1F18" w:rsidRPr="00116FA1" w:rsidRDefault="002557CF" w:rsidP="00116FA1">
      <w:pPr>
        <w:pStyle w:val="1"/>
        <w:spacing w:before="100" w:beforeAutospacing="1" w:after="100" w:afterAutospacing="1" w:line="240" w:lineRule="auto"/>
        <w:rPr>
          <w:rFonts w:ascii="Times New Roman" w:hAnsi="Times New Roman" w:cs="Times New Roman"/>
          <w:b/>
          <w:bCs/>
          <w:sz w:val="24"/>
          <w:szCs w:val="24"/>
        </w:rPr>
      </w:pPr>
      <w:bookmarkStart w:id="20" w:name="_Toc188337427"/>
      <w:r w:rsidRPr="00116FA1">
        <w:rPr>
          <w:rFonts w:ascii="Times New Roman" w:hAnsi="Times New Roman" w:cs="Times New Roman"/>
          <w:b/>
          <w:bCs/>
          <w:sz w:val="24"/>
          <w:szCs w:val="24"/>
        </w:rPr>
        <w:lastRenderedPageBreak/>
        <w:t xml:space="preserve">8. РОБОТА </w:t>
      </w:r>
      <w:r w:rsidR="00F07415" w:rsidRPr="00116FA1">
        <w:rPr>
          <w:rFonts w:ascii="Times New Roman" w:hAnsi="Times New Roman" w:cs="Times New Roman"/>
          <w:b/>
          <w:bCs/>
          <w:sz w:val="24"/>
          <w:szCs w:val="24"/>
        </w:rPr>
        <w:t>І</w:t>
      </w:r>
      <w:r w:rsidRPr="00116FA1">
        <w:rPr>
          <w:rFonts w:ascii="Times New Roman" w:hAnsi="Times New Roman" w:cs="Times New Roman"/>
          <w:b/>
          <w:bCs/>
          <w:sz w:val="24"/>
          <w:szCs w:val="24"/>
        </w:rPr>
        <w:t>З СТУДЕНТАМИ</w:t>
      </w:r>
      <w:bookmarkEnd w:id="20"/>
    </w:p>
    <w:p w14:paraId="5F50D5E9" w14:textId="3442E4E9" w:rsidR="001C1F18" w:rsidRDefault="00CC1AA1" w:rsidP="00116FA1">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Важливими є </w:t>
      </w:r>
      <w:r w:rsidR="001C1F18" w:rsidRPr="00116FA1">
        <w:rPr>
          <w:rFonts w:ascii="Times New Roman" w:hAnsi="Times New Roman" w:cs="Times New Roman"/>
          <w:kern w:val="0"/>
          <w:sz w:val="24"/>
          <w:szCs w:val="24"/>
        </w:rPr>
        <w:t>інші питання, пов</w:t>
      </w:r>
      <w:r w:rsidR="005E497E" w:rsidRPr="00116FA1">
        <w:rPr>
          <w:rFonts w:ascii="Times New Roman" w:hAnsi="Times New Roman" w:cs="Times New Roman"/>
          <w:kern w:val="0"/>
          <w:sz w:val="24"/>
          <w:szCs w:val="24"/>
        </w:rPr>
        <w:t>’</w:t>
      </w:r>
      <w:r w:rsidR="001C1F18" w:rsidRPr="00116FA1">
        <w:rPr>
          <w:rFonts w:ascii="Times New Roman" w:hAnsi="Times New Roman" w:cs="Times New Roman"/>
          <w:kern w:val="0"/>
          <w:sz w:val="24"/>
          <w:szCs w:val="24"/>
        </w:rPr>
        <w:t>я</w:t>
      </w:r>
      <w:r w:rsidR="001C1F18" w:rsidRPr="00F43628">
        <w:rPr>
          <w:rFonts w:ascii="Times New Roman" w:hAnsi="Times New Roman" w:cs="Times New Roman"/>
          <w:kern w:val="0"/>
          <w:sz w:val="24"/>
          <w:szCs w:val="24"/>
        </w:rPr>
        <w:t xml:space="preserve">зані </w:t>
      </w:r>
      <w:r>
        <w:rPr>
          <w:rFonts w:ascii="Times New Roman" w:hAnsi="Times New Roman" w:cs="Times New Roman"/>
          <w:kern w:val="0"/>
          <w:sz w:val="24"/>
          <w:szCs w:val="24"/>
        </w:rPr>
        <w:t xml:space="preserve">з </w:t>
      </w:r>
      <w:r w:rsidR="005E497E" w:rsidRPr="00F43628">
        <w:rPr>
          <w:rFonts w:ascii="Times New Roman" w:hAnsi="Times New Roman" w:cs="Times New Roman"/>
          <w:kern w:val="0"/>
          <w:sz w:val="24"/>
          <w:szCs w:val="24"/>
        </w:rPr>
        <w:t xml:space="preserve">роботою </w:t>
      </w:r>
      <w:r w:rsidR="001C1F18" w:rsidRPr="00F43628">
        <w:rPr>
          <w:rFonts w:ascii="Times New Roman" w:hAnsi="Times New Roman" w:cs="Times New Roman"/>
          <w:kern w:val="0"/>
          <w:sz w:val="24"/>
          <w:szCs w:val="24"/>
        </w:rPr>
        <w:t>зі студент</w:t>
      </w:r>
      <w:r w:rsidR="005E497E" w:rsidRPr="00F43628">
        <w:rPr>
          <w:rFonts w:ascii="Times New Roman" w:hAnsi="Times New Roman" w:cs="Times New Roman"/>
          <w:kern w:val="0"/>
          <w:sz w:val="24"/>
          <w:szCs w:val="24"/>
        </w:rPr>
        <w:t>ами</w:t>
      </w:r>
      <w:r>
        <w:rPr>
          <w:rFonts w:ascii="Times New Roman" w:hAnsi="Times New Roman" w:cs="Times New Roman"/>
          <w:kern w:val="0"/>
          <w:sz w:val="24"/>
          <w:szCs w:val="24"/>
        </w:rPr>
        <w:t xml:space="preserve"> міжнародних спільних програм</w:t>
      </w:r>
      <w:r w:rsidR="001C1F18" w:rsidRPr="00F43628">
        <w:rPr>
          <w:rFonts w:ascii="Times New Roman" w:hAnsi="Times New Roman" w:cs="Times New Roman"/>
          <w:kern w:val="0"/>
          <w:sz w:val="24"/>
          <w:szCs w:val="24"/>
        </w:rPr>
        <w:t>, включаючи надання інформації студентам, моніторинг успішності, шаблони угод</w:t>
      </w:r>
      <w:r w:rsidR="005E497E" w:rsidRPr="00F43628">
        <w:rPr>
          <w:rFonts w:ascii="Times New Roman" w:hAnsi="Times New Roman" w:cs="Times New Roman"/>
          <w:kern w:val="0"/>
          <w:sz w:val="24"/>
          <w:szCs w:val="24"/>
        </w:rPr>
        <w:t xml:space="preserve"> зі студентами</w:t>
      </w:r>
      <w:r w:rsidR="001C1F18" w:rsidRPr="00F43628">
        <w:rPr>
          <w:rFonts w:ascii="Times New Roman" w:hAnsi="Times New Roman" w:cs="Times New Roman"/>
          <w:kern w:val="0"/>
          <w:sz w:val="24"/>
          <w:szCs w:val="24"/>
        </w:rPr>
        <w:t>, оцінювання та виставлення оцінок, накопичення кредитів, житло, керівництво</w:t>
      </w:r>
      <w:r w:rsidR="005E497E" w:rsidRPr="00F43628">
        <w:rPr>
          <w:rFonts w:ascii="Times New Roman" w:hAnsi="Times New Roman" w:cs="Times New Roman"/>
          <w:kern w:val="0"/>
          <w:sz w:val="24"/>
          <w:szCs w:val="24"/>
        </w:rPr>
        <w:t xml:space="preserve"> студентами</w:t>
      </w:r>
      <w:r w:rsidR="001C1F18" w:rsidRPr="00F43628">
        <w:rPr>
          <w:rFonts w:ascii="Times New Roman" w:hAnsi="Times New Roman" w:cs="Times New Roman"/>
          <w:kern w:val="0"/>
          <w:sz w:val="24"/>
          <w:szCs w:val="24"/>
        </w:rPr>
        <w:t xml:space="preserve">, візи та дозволи на проживання, мовну підтримку, страхування, а також присудження ступеня </w:t>
      </w:r>
      <w:r>
        <w:rPr>
          <w:rFonts w:ascii="Times New Roman" w:hAnsi="Times New Roman" w:cs="Times New Roman"/>
          <w:kern w:val="0"/>
          <w:sz w:val="24"/>
          <w:szCs w:val="24"/>
        </w:rPr>
        <w:t>та</w:t>
      </w:r>
      <w:r w:rsidR="001C1F18" w:rsidRPr="00F43628">
        <w:rPr>
          <w:rFonts w:ascii="Times New Roman" w:hAnsi="Times New Roman" w:cs="Times New Roman"/>
          <w:kern w:val="0"/>
          <w:sz w:val="24"/>
          <w:szCs w:val="24"/>
        </w:rPr>
        <w:t xml:space="preserve"> додат</w:t>
      </w:r>
      <w:r w:rsidR="005E497E" w:rsidRPr="00F43628">
        <w:rPr>
          <w:rFonts w:ascii="Times New Roman" w:hAnsi="Times New Roman" w:cs="Times New Roman"/>
          <w:kern w:val="0"/>
          <w:sz w:val="24"/>
          <w:szCs w:val="24"/>
        </w:rPr>
        <w:t>ок</w:t>
      </w:r>
      <w:r w:rsidR="001C1F18" w:rsidRPr="00F43628">
        <w:rPr>
          <w:rFonts w:ascii="Times New Roman" w:hAnsi="Times New Roman" w:cs="Times New Roman"/>
          <w:kern w:val="0"/>
          <w:sz w:val="24"/>
          <w:szCs w:val="24"/>
        </w:rPr>
        <w:t xml:space="preserve"> до диплома.</w:t>
      </w:r>
    </w:p>
    <w:p w14:paraId="5B23F063" w14:textId="13954E09" w:rsidR="00F476FE" w:rsidRPr="00F43628" w:rsidRDefault="00F476FE" w:rsidP="00116FA1">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Загальні рекомендації для спільних програм:</w:t>
      </w:r>
    </w:p>
    <w:p w14:paraId="4CB53401" w14:textId="77777777" w:rsidR="00A40A79" w:rsidRPr="00F43628" w:rsidRDefault="00A40A79" w:rsidP="00F476FE">
      <w:pPr>
        <w:numPr>
          <w:ilvl w:val="0"/>
          <w:numId w:val="45"/>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Усі заклади консорціуму повинні надати студентам однакову інформацію на своїх веб-сайтах.</w:t>
      </w:r>
    </w:p>
    <w:p w14:paraId="5E98DB36" w14:textId="77777777" w:rsidR="00A40A79" w:rsidRPr="00F43628" w:rsidRDefault="00A40A79" w:rsidP="00F476FE">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Визначте центральний інформаційний пункт консорціуму, який відповідатиме на запитання вступників.</w:t>
      </w:r>
    </w:p>
    <w:p w14:paraId="291E8015" w14:textId="4716F1E1" w:rsidR="00A40A79" w:rsidRPr="00F43628" w:rsidRDefault="00A40A79" w:rsidP="00F476FE">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Домовтес</w:t>
      </w:r>
      <w:r w:rsidR="00F476FE">
        <w:rPr>
          <w:rFonts w:ascii="Times New Roman" w:hAnsi="Times New Roman" w:cs="Times New Roman"/>
          <w:kern w:val="0"/>
          <w:sz w:val="24"/>
          <w:szCs w:val="24"/>
        </w:rPr>
        <w:t>я</w:t>
      </w:r>
      <w:r w:rsidRPr="00F43628">
        <w:rPr>
          <w:rFonts w:ascii="Times New Roman" w:hAnsi="Times New Roman" w:cs="Times New Roman"/>
          <w:kern w:val="0"/>
          <w:sz w:val="24"/>
          <w:szCs w:val="24"/>
        </w:rPr>
        <w:t xml:space="preserve"> </w:t>
      </w:r>
      <w:r w:rsidR="00F476FE">
        <w:rPr>
          <w:rFonts w:ascii="Times New Roman" w:hAnsi="Times New Roman" w:cs="Times New Roman"/>
          <w:kern w:val="0"/>
          <w:sz w:val="24"/>
          <w:szCs w:val="24"/>
        </w:rPr>
        <w:t xml:space="preserve">щодо </w:t>
      </w:r>
      <w:r w:rsidRPr="00F43628">
        <w:rPr>
          <w:rFonts w:ascii="Times New Roman" w:hAnsi="Times New Roman" w:cs="Times New Roman"/>
          <w:kern w:val="0"/>
          <w:sz w:val="24"/>
          <w:szCs w:val="24"/>
        </w:rPr>
        <w:t>вироб</w:t>
      </w:r>
      <w:r w:rsidR="00F476FE">
        <w:rPr>
          <w:rFonts w:ascii="Times New Roman" w:hAnsi="Times New Roman" w:cs="Times New Roman"/>
          <w:kern w:val="0"/>
          <w:sz w:val="24"/>
          <w:szCs w:val="24"/>
        </w:rPr>
        <w:t>лення</w:t>
      </w:r>
      <w:r w:rsidRPr="00F43628">
        <w:rPr>
          <w:rFonts w:ascii="Times New Roman" w:hAnsi="Times New Roman" w:cs="Times New Roman"/>
          <w:kern w:val="0"/>
          <w:sz w:val="24"/>
          <w:szCs w:val="24"/>
        </w:rPr>
        <w:t xml:space="preserve"> спільн</w:t>
      </w:r>
      <w:r w:rsidR="00F476FE">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комунікаці</w:t>
      </w:r>
      <w:r w:rsidR="00F476FE">
        <w:rPr>
          <w:rFonts w:ascii="Times New Roman" w:hAnsi="Times New Roman" w:cs="Times New Roman"/>
          <w:kern w:val="0"/>
          <w:sz w:val="24"/>
          <w:szCs w:val="24"/>
        </w:rPr>
        <w:t>ї</w:t>
      </w:r>
      <w:r w:rsidRPr="00F43628">
        <w:rPr>
          <w:rFonts w:ascii="Times New Roman" w:hAnsi="Times New Roman" w:cs="Times New Roman"/>
          <w:kern w:val="0"/>
          <w:sz w:val="24"/>
          <w:szCs w:val="24"/>
        </w:rPr>
        <w:t xml:space="preserve"> та адміністрування, а також </w:t>
      </w:r>
      <w:r w:rsidR="00F476FE">
        <w:rPr>
          <w:rFonts w:ascii="Times New Roman" w:hAnsi="Times New Roman" w:cs="Times New Roman"/>
          <w:kern w:val="0"/>
          <w:sz w:val="24"/>
          <w:szCs w:val="24"/>
        </w:rPr>
        <w:t>щодо</w:t>
      </w:r>
      <w:r w:rsidRPr="00F43628">
        <w:rPr>
          <w:rFonts w:ascii="Times New Roman" w:hAnsi="Times New Roman" w:cs="Times New Roman"/>
          <w:kern w:val="0"/>
          <w:sz w:val="24"/>
          <w:szCs w:val="24"/>
        </w:rPr>
        <w:t xml:space="preserve"> забезпеч</w:t>
      </w:r>
      <w:r w:rsidR="00F476FE">
        <w:rPr>
          <w:rFonts w:ascii="Times New Roman" w:hAnsi="Times New Roman" w:cs="Times New Roman"/>
          <w:kern w:val="0"/>
          <w:sz w:val="24"/>
          <w:szCs w:val="24"/>
        </w:rPr>
        <w:t>ення</w:t>
      </w:r>
      <w:r w:rsidRPr="00F43628">
        <w:rPr>
          <w:rFonts w:ascii="Times New Roman" w:hAnsi="Times New Roman" w:cs="Times New Roman"/>
          <w:kern w:val="0"/>
          <w:sz w:val="24"/>
          <w:szCs w:val="24"/>
        </w:rPr>
        <w:t xml:space="preserve"> академічн</w:t>
      </w:r>
      <w:r w:rsidR="00F476FE">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та логістичн</w:t>
      </w:r>
      <w:r w:rsidR="00F476FE">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підготовки студентів до </w:t>
      </w:r>
      <w:r w:rsidR="00AB1D78">
        <w:rPr>
          <w:rFonts w:ascii="Times New Roman" w:hAnsi="Times New Roman" w:cs="Times New Roman"/>
          <w:kern w:val="0"/>
          <w:sz w:val="24"/>
          <w:szCs w:val="24"/>
        </w:rPr>
        <w:t xml:space="preserve">навчання за </w:t>
      </w:r>
      <w:r w:rsidRPr="00F43628">
        <w:rPr>
          <w:rFonts w:ascii="Times New Roman" w:hAnsi="Times New Roman" w:cs="Times New Roman"/>
          <w:kern w:val="0"/>
          <w:sz w:val="24"/>
          <w:szCs w:val="24"/>
        </w:rPr>
        <w:t>спільно</w:t>
      </w:r>
      <w:r w:rsidR="00AB1D78">
        <w:rPr>
          <w:rFonts w:ascii="Times New Roman" w:hAnsi="Times New Roman" w:cs="Times New Roman"/>
          <w:kern w:val="0"/>
          <w:sz w:val="24"/>
          <w:szCs w:val="24"/>
        </w:rPr>
        <w:t>ю</w:t>
      </w:r>
      <w:r w:rsidRPr="00F43628">
        <w:rPr>
          <w:rFonts w:ascii="Times New Roman" w:hAnsi="Times New Roman" w:cs="Times New Roman"/>
          <w:kern w:val="0"/>
          <w:sz w:val="24"/>
          <w:szCs w:val="24"/>
        </w:rPr>
        <w:t xml:space="preserve"> програм</w:t>
      </w:r>
      <w:r w:rsidR="00AB1D78">
        <w:rPr>
          <w:rFonts w:ascii="Times New Roman" w:hAnsi="Times New Roman" w:cs="Times New Roman"/>
          <w:kern w:val="0"/>
          <w:sz w:val="24"/>
          <w:szCs w:val="24"/>
        </w:rPr>
        <w:t>ою</w:t>
      </w:r>
      <w:r w:rsidRPr="00F43628">
        <w:rPr>
          <w:rFonts w:ascii="Times New Roman" w:hAnsi="Times New Roman" w:cs="Times New Roman"/>
          <w:kern w:val="0"/>
          <w:sz w:val="24"/>
          <w:szCs w:val="24"/>
        </w:rPr>
        <w:t>.</w:t>
      </w:r>
    </w:p>
    <w:p w14:paraId="12247AD3" w14:textId="2C09BFC1" w:rsidR="00A40A79" w:rsidRPr="00F43628" w:rsidRDefault="00A40A79" w:rsidP="00253D9C">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Забезпечте регулярну та чітку комунікацію між усіма залученими закладами.</w:t>
      </w:r>
      <w:r w:rsidR="00253D9C">
        <w:rPr>
          <w:rFonts w:ascii="Times New Roman" w:hAnsi="Times New Roman" w:cs="Times New Roman"/>
          <w:kern w:val="0"/>
          <w:sz w:val="24"/>
          <w:szCs w:val="24"/>
        </w:rPr>
        <w:t xml:space="preserve"> Н</w:t>
      </w:r>
      <w:r w:rsidRPr="00F43628">
        <w:rPr>
          <w:rFonts w:ascii="Times New Roman" w:hAnsi="Times New Roman" w:cs="Times New Roman"/>
          <w:kern w:val="0"/>
          <w:sz w:val="24"/>
          <w:szCs w:val="24"/>
        </w:rPr>
        <w:t>едостатня комунікація між закладами-партнерами є однією з основних проблем, з якими стикаються студенти спільних програм.</w:t>
      </w:r>
    </w:p>
    <w:p w14:paraId="1C88B849" w14:textId="0FE1B906" w:rsidR="00A40A79" w:rsidRPr="00F43628" w:rsidRDefault="00A40A79" w:rsidP="00F476FE">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Вирішіть, хто відповідає за моніторинг</w:t>
      </w:r>
      <w:r w:rsidR="006C20E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прогресу в навчанні </w:t>
      </w:r>
      <w:r w:rsidR="006C20E8" w:rsidRPr="00F43628">
        <w:rPr>
          <w:rFonts w:ascii="Times New Roman" w:hAnsi="Times New Roman" w:cs="Times New Roman"/>
          <w:kern w:val="0"/>
          <w:sz w:val="24"/>
          <w:szCs w:val="24"/>
        </w:rPr>
        <w:t xml:space="preserve">студентів </w:t>
      </w:r>
      <w:r w:rsidR="006C20E8">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правила щодо </w:t>
      </w:r>
      <w:r w:rsidR="002E6D96">
        <w:rPr>
          <w:rFonts w:ascii="Times New Roman" w:hAnsi="Times New Roman" w:cs="Times New Roman"/>
          <w:kern w:val="0"/>
          <w:sz w:val="24"/>
          <w:szCs w:val="24"/>
        </w:rPr>
        <w:t>надання академічних відпусток</w:t>
      </w:r>
      <w:r w:rsidRPr="00F43628">
        <w:rPr>
          <w:rFonts w:ascii="Times New Roman" w:hAnsi="Times New Roman" w:cs="Times New Roman"/>
          <w:kern w:val="0"/>
          <w:sz w:val="24"/>
          <w:szCs w:val="24"/>
        </w:rPr>
        <w:t xml:space="preserve">, а також </w:t>
      </w:r>
      <w:r w:rsidR="006C20E8">
        <w:rPr>
          <w:rFonts w:ascii="Times New Roman" w:hAnsi="Times New Roman" w:cs="Times New Roman"/>
          <w:kern w:val="0"/>
          <w:sz w:val="24"/>
          <w:szCs w:val="24"/>
        </w:rPr>
        <w:t>комунікацію з цих питань з</w:t>
      </w:r>
      <w:r w:rsidRPr="00F43628">
        <w:rPr>
          <w:rFonts w:ascii="Times New Roman" w:hAnsi="Times New Roman" w:cs="Times New Roman"/>
          <w:kern w:val="0"/>
          <w:sz w:val="24"/>
          <w:szCs w:val="24"/>
        </w:rPr>
        <w:t xml:space="preserve"> іншим</w:t>
      </w:r>
      <w:r w:rsidR="006C20E8">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 партнерам</w:t>
      </w:r>
      <w:r w:rsidR="006C20E8">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 консорціуму.</w:t>
      </w:r>
    </w:p>
    <w:p w14:paraId="17E60C60" w14:textId="0A39F677" w:rsidR="00A40A79" w:rsidRDefault="00A40A79" w:rsidP="00F476FE">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Розробіть спільну політику щодо оцінювання </w:t>
      </w:r>
      <w:r w:rsidR="00462874">
        <w:rPr>
          <w:rFonts w:ascii="Times New Roman" w:hAnsi="Times New Roman" w:cs="Times New Roman"/>
          <w:kern w:val="0"/>
          <w:sz w:val="24"/>
          <w:szCs w:val="24"/>
        </w:rPr>
        <w:t>досягнень студентів і</w:t>
      </w:r>
      <w:r w:rsidRPr="00F43628">
        <w:rPr>
          <w:rFonts w:ascii="Times New Roman" w:hAnsi="Times New Roman" w:cs="Times New Roman"/>
          <w:kern w:val="0"/>
          <w:sz w:val="24"/>
          <w:szCs w:val="24"/>
        </w:rPr>
        <w:t xml:space="preserve"> підрахунку балів</w:t>
      </w:r>
      <w:r w:rsidR="00462874">
        <w:rPr>
          <w:rFonts w:ascii="Times New Roman" w:hAnsi="Times New Roman" w:cs="Times New Roman"/>
          <w:kern w:val="0"/>
          <w:sz w:val="24"/>
          <w:szCs w:val="24"/>
        </w:rPr>
        <w:t>/оцінок</w:t>
      </w:r>
      <w:r w:rsidRPr="00F43628">
        <w:rPr>
          <w:rFonts w:ascii="Times New Roman" w:hAnsi="Times New Roman" w:cs="Times New Roman"/>
          <w:kern w:val="0"/>
          <w:sz w:val="24"/>
          <w:szCs w:val="24"/>
        </w:rPr>
        <w:t>, а також таблицю переведення балів</w:t>
      </w:r>
      <w:r w:rsidR="00462874">
        <w:rPr>
          <w:rFonts w:ascii="Times New Roman" w:hAnsi="Times New Roman" w:cs="Times New Roman"/>
          <w:kern w:val="0"/>
          <w:sz w:val="24"/>
          <w:szCs w:val="24"/>
        </w:rPr>
        <w:t>/оцінок</w:t>
      </w:r>
      <w:r w:rsidRPr="00F43628">
        <w:rPr>
          <w:rFonts w:ascii="Times New Roman" w:hAnsi="Times New Roman" w:cs="Times New Roman"/>
          <w:kern w:val="0"/>
          <w:sz w:val="24"/>
          <w:szCs w:val="24"/>
        </w:rPr>
        <w:t>.</w:t>
      </w:r>
    </w:p>
    <w:p w14:paraId="528C4CCB" w14:textId="58A8744D" w:rsidR="00A40A79" w:rsidRPr="00F43628" w:rsidRDefault="00A40A79" w:rsidP="00F476FE">
      <w:pPr>
        <w:numPr>
          <w:ilvl w:val="0"/>
          <w:numId w:val="45"/>
        </w:numPr>
        <w:autoSpaceDE w:val="0"/>
        <w:autoSpaceDN w:val="0"/>
        <w:adjustRightInd w:val="0"/>
        <w:spacing w:after="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Інтегруйте послуги для студентів спільних програм до звичайних послуг для студентів, але надайте студентам чіткі рекомендації щодо питань, пов’язаних зі спільними програмами</w:t>
      </w:r>
      <w:r>
        <w:rPr>
          <w:rFonts w:ascii="Times New Roman" w:hAnsi="Times New Roman" w:cs="Times New Roman"/>
          <w:kern w:val="0"/>
          <w:sz w:val="24"/>
          <w:szCs w:val="24"/>
        </w:rPr>
        <w:t>.</w:t>
      </w:r>
    </w:p>
    <w:p w14:paraId="62145C83" w14:textId="1B0DC0CB" w:rsidR="001C1F18" w:rsidRPr="00D57571" w:rsidRDefault="001C1F18" w:rsidP="0094404A">
      <w:pPr>
        <w:pStyle w:val="2"/>
        <w:spacing w:line="240" w:lineRule="auto"/>
        <w:rPr>
          <w:rFonts w:ascii="Times New Roman" w:hAnsi="Times New Roman" w:cs="Times New Roman"/>
          <w:b/>
          <w:bCs/>
          <w:sz w:val="24"/>
          <w:szCs w:val="24"/>
        </w:rPr>
      </w:pPr>
      <w:bookmarkStart w:id="21" w:name="_Toc188337429"/>
      <w:r w:rsidRPr="00D57571">
        <w:rPr>
          <w:rFonts w:ascii="Times New Roman" w:hAnsi="Times New Roman" w:cs="Times New Roman"/>
          <w:b/>
          <w:bCs/>
          <w:sz w:val="24"/>
          <w:szCs w:val="24"/>
        </w:rPr>
        <w:t>8.</w:t>
      </w:r>
      <w:r w:rsidR="00A40A79" w:rsidRPr="00D57571">
        <w:rPr>
          <w:rFonts w:ascii="Times New Roman" w:hAnsi="Times New Roman" w:cs="Times New Roman"/>
          <w:b/>
          <w:bCs/>
          <w:sz w:val="24"/>
          <w:szCs w:val="24"/>
        </w:rPr>
        <w:t>1</w:t>
      </w:r>
      <w:r w:rsidRPr="00D57571">
        <w:rPr>
          <w:rFonts w:ascii="Times New Roman" w:hAnsi="Times New Roman" w:cs="Times New Roman"/>
          <w:b/>
          <w:bCs/>
          <w:sz w:val="24"/>
          <w:szCs w:val="24"/>
        </w:rPr>
        <w:t>.</w:t>
      </w:r>
      <w:r w:rsidR="00DD313D" w:rsidRPr="00D57571">
        <w:rPr>
          <w:rFonts w:ascii="Times New Roman" w:hAnsi="Times New Roman" w:cs="Times New Roman"/>
          <w:b/>
          <w:bCs/>
          <w:sz w:val="24"/>
          <w:szCs w:val="24"/>
        </w:rPr>
        <w:t xml:space="preserve"> </w:t>
      </w:r>
      <w:r w:rsidRPr="00D57571">
        <w:rPr>
          <w:rFonts w:ascii="Times New Roman" w:hAnsi="Times New Roman" w:cs="Times New Roman"/>
          <w:b/>
          <w:bCs/>
          <w:sz w:val="24"/>
          <w:szCs w:val="24"/>
        </w:rPr>
        <w:t>Інформація та моніторинг</w:t>
      </w:r>
      <w:bookmarkEnd w:id="21"/>
    </w:p>
    <w:p w14:paraId="70B01152" w14:textId="547DD9FC" w:rsidR="001C1F18" w:rsidRPr="00F43628" w:rsidRDefault="00D57571" w:rsidP="0094404A">
      <w:pPr>
        <w:autoSpaceDE w:val="0"/>
        <w:autoSpaceDN w:val="0"/>
        <w:adjustRightInd w:val="0"/>
        <w:spacing w:after="12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Заклади-п</w:t>
      </w:r>
      <w:r w:rsidR="001C1F18" w:rsidRPr="00F43628">
        <w:rPr>
          <w:rFonts w:ascii="Times New Roman" w:hAnsi="Times New Roman" w:cs="Times New Roman"/>
          <w:kern w:val="0"/>
          <w:sz w:val="24"/>
          <w:szCs w:val="24"/>
        </w:rPr>
        <w:t>артнери повинні домовитися, як</w:t>
      </w:r>
      <w:r w:rsidR="004E23CC" w:rsidRPr="00F43628">
        <w:rPr>
          <w:rFonts w:ascii="Times New Roman" w:hAnsi="Times New Roman" w:cs="Times New Roman"/>
          <w:kern w:val="0"/>
          <w:sz w:val="24"/>
          <w:szCs w:val="24"/>
        </w:rPr>
        <w:t xml:space="preserve"> і за допомогою яких </w:t>
      </w:r>
      <w:r w:rsidRPr="00F43628">
        <w:rPr>
          <w:rFonts w:ascii="Times New Roman" w:hAnsi="Times New Roman" w:cs="Times New Roman"/>
          <w:kern w:val="0"/>
          <w:sz w:val="24"/>
          <w:szCs w:val="24"/>
        </w:rPr>
        <w:t xml:space="preserve">адміністративні процедури </w:t>
      </w:r>
      <w:r>
        <w:rPr>
          <w:rFonts w:ascii="Times New Roman" w:hAnsi="Times New Roman" w:cs="Times New Roman"/>
          <w:kern w:val="0"/>
          <w:sz w:val="24"/>
          <w:szCs w:val="24"/>
        </w:rPr>
        <w:t xml:space="preserve">та </w:t>
      </w:r>
      <w:r w:rsidR="004E23CC" w:rsidRPr="00F43628">
        <w:rPr>
          <w:rFonts w:ascii="Times New Roman" w:hAnsi="Times New Roman" w:cs="Times New Roman"/>
          <w:kern w:val="0"/>
          <w:sz w:val="24"/>
          <w:szCs w:val="24"/>
        </w:rPr>
        <w:t>інструментів</w:t>
      </w:r>
      <w:r w:rsidR="001C1F18" w:rsidRPr="00F43628">
        <w:rPr>
          <w:rFonts w:ascii="Times New Roman" w:hAnsi="Times New Roman" w:cs="Times New Roman"/>
          <w:kern w:val="0"/>
          <w:sz w:val="24"/>
          <w:szCs w:val="24"/>
        </w:rPr>
        <w:t xml:space="preserve"> вони будуть </w:t>
      </w:r>
      <w:r w:rsidR="004E23CC" w:rsidRPr="00F43628">
        <w:rPr>
          <w:rFonts w:ascii="Times New Roman" w:hAnsi="Times New Roman" w:cs="Times New Roman"/>
          <w:kern w:val="0"/>
          <w:sz w:val="24"/>
          <w:szCs w:val="24"/>
        </w:rPr>
        <w:t>комунікувати</w:t>
      </w:r>
      <w:r w:rsidR="001C1F18" w:rsidRPr="00F43628">
        <w:rPr>
          <w:rFonts w:ascii="Times New Roman" w:hAnsi="Times New Roman" w:cs="Times New Roman"/>
          <w:kern w:val="0"/>
          <w:sz w:val="24"/>
          <w:szCs w:val="24"/>
        </w:rPr>
        <w:t xml:space="preserve"> </w:t>
      </w:r>
      <w:r>
        <w:rPr>
          <w:rFonts w:ascii="Times New Roman" w:hAnsi="Times New Roman" w:cs="Times New Roman"/>
          <w:kern w:val="0"/>
          <w:sz w:val="24"/>
          <w:szCs w:val="24"/>
        </w:rPr>
        <w:t>між собою</w:t>
      </w:r>
      <w:r w:rsidR="001C1F18" w:rsidRPr="00F43628">
        <w:rPr>
          <w:rFonts w:ascii="Times New Roman" w:hAnsi="Times New Roman" w:cs="Times New Roman"/>
          <w:kern w:val="0"/>
          <w:sz w:val="24"/>
          <w:szCs w:val="24"/>
        </w:rPr>
        <w:t xml:space="preserve">. </w:t>
      </w:r>
      <w:r w:rsidR="004E23CC" w:rsidRPr="00F43628">
        <w:rPr>
          <w:rFonts w:ascii="Times New Roman" w:hAnsi="Times New Roman" w:cs="Times New Roman"/>
          <w:kern w:val="0"/>
          <w:sz w:val="24"/>
          <w:szCs w:val="24"/>
        </w:rPr>
        <w:t>Для підтримки спільного адміністрування та комунікації можуть бути корисними о</w:t>
      </w:r>
      <w:r w:rsidR="001C1F18" w:rsidRPr="00F43628">
        <w:rPr>
          <w:rFonts w:ascii="Times New Roman" w:hAnsi="Times New Roman" w:cs="Times New Roman"/>
          <w:kern w:val="0"/>
          <w:sz w:val="24"/>
          <w:szCs w:val="24"/>
        </w:rPr>
        <w:t xml:space="preserve">нлайн-інструменти, такі як </w:t>
      </w:r>
      <w:r w:rsidR="001C1F18" w:rsidRPr="00D57571">
        <w:rPr>
          <w:rFonts w:ascii="Times New Roman" w:hAnsi="Times New Roman" w:cs="Times New Roman"/>
          <w:kern w:val="0"/>
          <w:sz w:val="24"/>
          <w:szCs w:val="24"/>
        </w:rPr>
        <w:t>Moodle</w:t>
      </w:r>
      <w:r w:rsidRPr="00D57571">
        <w:rPr>
          <w:rFonts w:ascii="Times New Roman" w:hAnsi="Times New Roman" w:cs="Times New Roman"/>
          <w:kern w:val="0"/>
          <w:sz w:val="24"/>
          <w:szCs w:val="24"/>
        </w:rPr>
        <w:t xml:space="preserve">, </w:t>
      </w:r>
      <w:hyperlink r:id="rId32" w:history="1"/>
      <w:r w:rsidR="001C1F18" w:rsidRPr="00D57571">
        <w:rPr>
          <w:rFonts w:ascii="Times New Roman" w:hAnsi="Times New Roman" w:cs="Times New Roman"/>
          <w:kern w:val="0"/>
          <w:sz w:val="24"/>
          <w:szCs w:val="24"/>
        </w:rPr>
        <w:t>dokuWiki</w:t>
      </w:r>
      <w:r w:rsidRPr="00D57571">
        <w:rPr>
          <w:rFonts w:ascii="Times New Roman" w:hAnsi="Times New Roman" w:cs="Times New Roman"/>
          <w:kern w:val="0"/>
          <w:sz w:val="24"/>
          <w:szCs w:val="24"/>
        </w:rPr>
        <w:t xml:space="preserve"> тощо.</w:t>
      </w:r>
    </w:p>
    <w:p w14:paraId="480D80B8" w14:textId="4FC98CF3" w:rsidR="001C1F18" w:rsidRPr="00F43628" w:rsidRDefault="001C1F18" w:rsidP="00602C91">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Уся необхідна інформація повинна бути чітко представлена студентам і легко доступна до і після прибуття</w:t>
      </w:r>
      <w:r w:rsidR="00602C91">
        <w:rPr>
          <w:rFonts w:ascii="Times New Roman" w:hAnsi="Times New Roman" w:cs="Times New Roman"/>
          <w:kern w:val="0"/>
          <w:sz w:val="24"/>
          <w:szCs w:val="24"/>
        </w:rPr>
        <w:t xml:space="preserve"> на навчання до закладу. </w:t>
      </w:r>
      <w:r w:rsidR="00CB2675" w:rsidRPr="00F43628">
        <w:rPr>
          <w:rFonts w:ascii="Times New Roman" w:hAnsi="Times New Roman" w:cs="Times New Roman"/>
          <w:kern w:val="0"/>
          <w:sz w:val="24"/>
          <w:szCs w:val="24"/>
        </w:rPr>
        <w:t>Нада</w:t>
      </w:r>
      <w:r w:rsidRPr="00F43628">
        <w:rPr>
          <w:rFonts w:ascii="Times New Roman" w:hAnsi="Times New Roman" w:cs="Times New Roman"/>
          <w:kern w:val="0"/>
          <w:sz w:val="24"/>
          <w:szCs w:val="24"/>
        </w:rPr>
        <w:t xml:space="preserve">йте потенційним студентам відповідну інформацію англійською та рідною мовою (мовами) партнерського закладу (закладів). Підтримуйте цю інформацію в актуальному стані на центральному веб-сайті спільної програми та на </w:t>
      </w:r>
      <w:r w:rsidR="009B7FCF" w:rsidRPr="00F43628">
        <w:rPr>
          <w:rFonts w:ascii="Times New Roman" w:hAnsi="Times New Roman" w:cs="Times New Roman"/>
          <w:kern w:val="0"/>
          <w:sz w:val="24"/>
          <w:szCs w:val="24"/>
        </w:rPr>
        <w:t xml:space="preserve">центральному </w:t>
      </w:r>
      <w:r w:rsidRPr="00F43628">
        <w:rPr>
          <w:rFonts w:ascii="Times New Roman" w:hAnsi="Times New Roman" w:cs="Times New Roman"/>
          <w:kern w:val="0"/>
          <w:sz w:val="24"/>
          <w:szCs w:val="24"/>
        </w:rPr>
        <w:t xml:space="preserve">порталі </w:t>
      </w:r>
      <w:r w:rsidR="009B7FCF" w:rsidRPr="00F43628">
        <w:rPr>
          <w:rFonts w:ascii="Times New Roman" w:hAnsi="Times New Roman" w:cs="Times New Roman"/>
          <w:kern w:val="0"/>
          <w:sz w:val="24"/>
          <w:szCs w:val="24"/>
        </w:rPr>
        <w:t>для вступників</w:t>
      </w:r>
      <w:r w:rsidRPr="00F43628">
        <w:rPr>
          <w:rFonts w:ascii="Times New Roman" w:hAnsi="Times New Roman" w:cs="Times New Roman"/>
          <w:kern w:val="0"/>
          <w:sz w:val="24"/>
          <w:szCs w:val="24"/>
        </w:rPr>
        <w:t xml:space="preserve"> спільної програми (або на відповідних веб-сайтах та порталах </w:t>
      </w:r>
      <w:r w:rsidR="009B7FCF" w:rsidRPr="00F43628">
        <w:rPr>
          <w:rFonts w:ascii="Times New Roman" w:hAnsi="Times New Roman" w:cs="Times New Roman"/>
          <w:kern w:val="0"/>
          <w:sz w:val="24"/>
          <w:szCs w:val="24"/>
        </w:rPr>
        <w:t>для вступників</w:t>
      </w:r>
      <w:r w:rsidRPr="00F43628">
        <w:rPr>
          <w:rFonts w:ascii="Times New Roman" w:hAnsi="Times New Roman" w:cs="Times New Roman"/>
          <w:kern w:val="0"/>
          <w:sz w:val="24"/>
          <w:szCs w:val="24"/>
        </w:rPr>
        <w:t xml:space="preserve"> окремих </w:t>
      </w:r>
      <w:r w:rsidR="009B7FCF" w:rsidRPr="00F43628">
        <w:rPr>
          <w:rFonts w:ascii="Times New Roman" w:hAnsi="Times New Roman" w:cs="Times New Roman"/>
          <w:kern w:val="0"/>
          <w:sz w:val="24"/>
          <w:szCs w:val="24"/>
        </w:rPr>
        <w:t>закладів</w:t>
      </w:r>
      <w:r w:rsidRPr="00F43628">
        <w:rPr>
          <w:rFonts w:ascii="Times New Roman" w:hAnsi="Times New Roman" w:cs="Times New Roman"/>
          <w:kern w:val="0"/>
          <w:sz w:val="24"/>
          <w:szCs w:val="24"/>
        </w:rPr>
        <w:t>;).</w:t>
      </w:r>
    </w:p>
    <w:p w14:paraId="35A22E27" w14:textId="7F786187" w:rsidR="001C1F18" w:rsidRPr="00F43628" w:rsidRDefault="00602C91" w:rsidP="00602C91">
      <w:pPr>
        <w:autoSpaceDE w:val="0"/>
        <w:autoSpaceDN w:val="0"/>
        <w:adjustRightInd w:val="0"/>
        <w:spacing w:after="12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І</w:t>
      </w:r>
      <w:r w:rsidR="001C1F18" w:rsidRPr="00F43628">
        <w:rPr>
          <w:rFonts w:ascii="Times New Roman" w:hAnsi="Times New Roman" w:cs="Times New Roman"/>
          <w:kern w:val="0"/>
          <w:sz w:val="24"/>
          <w:szCs w:val="24"/>
        </w:rPr>
        <w:t>нформація повинна містити детальн</w:t>
      </w:r>
      <w:r w:rsidR="009B7FCF" w:rsidRPr="00F43628">
        <w:rPr>
          <w:rFonts w:ascii="Times New Roman" w:hAnsi="Times New Roman" w:cs="Times New Roman"/>
          <w:kern w:val="0"/>
          <w:sz w:val="24"/>
          <w:szCs w:val="24"/>
        </w:rPr>
        <w:t>і відомості</w:t>
      </w:r>
      <w:r w:rsidR="001C1F18" w:rsidRPr="00F43628">
        <w:rPr>
          <w:rFonts w:ascii="Times New Roman" w:hAnsi="Times New Roman" w:cs="Times New Roman"/>
          <w:kern w:val="0"/>
          <w:sz w:val="24"/>
          <w:szCs w:val="24"/>
        </w:rPr>
        <w:t xml:space="preserve"> про:</w:t>
      </w:r>
    </w:p>
    <w:p w14:paraId="29D15D5E" w14:textId="01EE52C6"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критерії та процедури </w:t>
      </w:r>
      <w:r w:rsidR="009B7FCF" w:rsidRPr="00F43628">
        <w:rPr>
          <w:rFonts w:ascii="Times New Roman" w:hAnsi="Times New Roman" w:cs="Times New Roman"/>
          <w:kern w:val="0"/>
          <w:sz w:val="24"/>
          <w:szCs w:val="24"/>
        </w:rPr>
        <w:t>зарахування</w:t>
      </w:r>
      <w:r w:rsidR="00E10AE5">
        <w:rPr>
          <w:rFonts w:ascii="Times New Roman" w:hAnsi="Times New Roman" w:cs="Times New Roman"/>
          <w:kern w:val="0"/>
          <w:sz w:val="24"/>
          <w:szCs w:val="24"/>
        </w:rPr>
        <w:t>;</w:t>
      </w:r>
    </w:p>
    <w:p w14:paraId="3D77F3F8" w14:textId="6877187F"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вагу кредитів та </w:t>
      </w:r>
      <w:r w:rsidR="00F02BBD">
        <w:rPr>
          <w:rFonts w:ascii="Times New Roman" w:hAnsi="Times New Roman" w:cs="Times New Roman"/>
          <w:kern w:val="0"/>
          <w:sz w:val="24"/>
          <w:szCs w:val="24"/>
        </w:rPr>
        <w:t xml:space="preserve">навчального </w:t>
      </w:r>
      <w:r w:rsidRPr="00F43628">
        <w:rPr>
          <w:rFonts w:ascii="Times New Roman" w:hAnsi="Times New Roman" w:cs="Times New Roman"/>
          <w:kern w:val="0"/>
          <w:sz w:val="24"/>
          <w:szCs w:val="24"/>
        </w:rPr>
        <w:t xml:space="preserve">навантаження (в т.ч. інформацію про систему </w:t>
      </w:r>
      <w:r w:rsidR="009B7FCF" w:rsidRPr="00F43628">
        <w:rPr>
          <w:rFonts w:ascii="Times New Roman" w:hAnsi="Times New Roman" w:cs="Times New Roman"/>
          <w:kern w:val="0"/>
          <w:sz w:val="24"/>
          <w:szCs w:val="24"/>
        </w:rPr>
        <w:t>ЄКТС</w:t>
      </w:r>
      <w:r w:rsidRPr="00F43628">
        <w:rPr>
          <w:rFonts w:ascii="Times New Roman" w:hAnsi="Times New Roman" w:cs="Times New Roman"/>
          <w:kern w:val="0"/>
          <w:sz w:val="24"/>
          <w:szCs w:val="24"/>
        </w:rPr>
        <w:t xml:space="preserve"> для неєвропейських студентів)</w:t>
      </w:r>
      <w:r w:rsidR="00E10AE5">
        <w:rPr>
          <w:rFonts w:ascii="Times New Roman" w:hAnsi="Times New Roman" w:cs="Times New Roman"/>
          <w:kern w:val="0"/>
          <w:sz w:val="24"/>
          <w:szCs w:val="24"/>
        </w:rPr>
        <w:t>;</w:t>
      </w:r>
    </w:p>
    <w:p w14:paraId="3DD756D9" w14:textId="10C36FC8" w:rsidR="001C1F18" w:rsidRPr="00F43628" w:rsidRDefault="00F02BBD"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компетентності та </w:t>
      </w:r>
      <w:r w:rsidR="001C1F18" w:rsidRPr="00F43628">
        <w:rPr>
          <w:rFonts w:ascii="Times New Roman" w:hAnsi="Times New Roman" w:cs="Times New Roman"/>
          <w:kern w:val="0"/>
          <w:sz w:val="24"/>
          <w:szCs w:val="24"/>
        </w:rPr>
        <w:t>результати навчання</w:t>
      </w:r>
      <w:r w:rsidR="00E10AE5">
        <w:rPr>
          <w:rFonts w:ascii="Times New Roman" w:hAnsi="Times New Roman" w:cs="Times New Roman"/>
          <w:kern w:val="0"/>
          <w:sz w:val="24"/>
          <w:szCs w:val="24"/>
        </w:rPr>
        <w:t>;</w:t>
      </w:r>
    </w:p>
    <w:p w14:paraId="092B8FF0" w14:textId="11435B41" w:rsidR="001C1F18" w:rsidRPr="00F43628" w:rsidRDefault="009B7FCF"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можливості </w:t>
      </w:r>
      <w:r w:rsidR="001C1F18" w:rsidRPr="00F43628">
        <w:rPr>
          <w:rFonts w:ascii="Times New Roman" w:hAnsi="Times New Roman" w:cs="Times New Roman"/>
          <w:kern w:val="0"/>
          <w:sz w:val="24"/>
          <w:szCs w:val="24"/>
        </w:rPr>
        <w:t>працевлаштування</w:t>
      </w:r>
      <w:r w:rsidR="00E10AE5">
        <w:rPr>
          <w:rFonts w:ascii="Times New Roman" w:hAnsi="Times New Roman" w:cs="Times New Roman"/>
          <w:kern w:val="0"/>
          <w:sz w:val="24"/>
          <w:szCs w:val="24"/>
        </w:rPr>
        <w:t>;</w:t>
      </w:r>
    </w:p>
    <w:p w14:paraId="673D9A24" w14:textId="72EF50F5"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вимоги </w:t>
      </w:r>
      <w:r w:rsidR="0049486E">
        <w:rPr>
          <w:rFonts w:ascii="Times New Roman" w:hAnsi="Times New Roman" w:cs="Times New Roman"/>
          <w:kern w:val="0"/>
          <w:sz w:val="24"/>
          <w:szCs w:val="24"/>
        </w:rPr>
        <w:t xml:space="preserve">та можливості </w:t>
      </w:r>
      <w:r w:rsidRPr="00F43628">
        <w:rPr>
          <w:rFonts w:ascii="Times New Roman" w:hAnsi="Times New Roman" w:cs="Times New Roman"/>
          <w:kern w:val="0"/>
          <w:sz w:val="24"/>
          <w:szCs w:val="24"/>
        </w:rPr>
        <w:t>мобільності</w:t>
      </w:r>
      <w:r w:rsidR="00E10AE5">
        <w:rPr>
          <w:rFonts w:ascii="Times New Roman" w:hAnsi="Times New Roman" w:cs="Times New Roman"/>
          <w:kern w:val="0"/>
          <w:sz w:val="24"/>
          <w:szCs w:val="24"/>
        </w:rPr>
        <w:t>;</w:t>
      </w:r>
    </w:p>
    <w:p w14:paraId="414F3A82" w14:textId="77B75FD8"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ступінь і кваліфікацію, яка буде присвоєна</w:t>
      </w:r>
      <w:r w:rsidR="00E10AE5">
        <w:rPr>
          <w:rFonts w:ascii="Times New Roman" w:hAnsi="Times New Roman" w:cs="Times New Roman"/>
          <w:kern w:val="0"/>
          <w:sz w:val="24"/>
          <w:szCs w:val="24"/>
        </w:rPr>
        <w:t>;</w:t>
      </w:r>
    </w:p>
    <w:p w14:paraId="1784687E" w14:textId="2A5D4F78" w:rsidR="001C1F18" w:rsidRPr="00F43628" w:rsidRDefault="0049486E"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Pr>
          <w:rFonts w:ascii="Times New Roman" w:hAnsi="Times New Roman" w:cs="Times New Roman"/>
          <w:kern w:val="0"/>
          <w:sz w:val="24"/>
          <w:szCs w:val="24"/>
        </w:rPr>
        <w:t xml:space="preserve">опис </w:t>
      </w:r>
      <w:r w:rsidR="00F02BBD">
        <w:rPr>
          <w:rFonts w:ascii="Times New Roman" w:hAnsi="Times New Roman" w:cs="Times New Roman"/>
          <w:kern w:val="0"/>
          <w:sz w:val="24"/>
          <w:szCs w:val="24"/>
        </w:rPr>
        <w:t>спільної програми</w:t>
      </w:r>
      <w:r>
        <w:rPr>
          <w:rFonts w:ascii="Times New Roman" w:hAnsi="Times New Roman" w:cs="Times New Roman"/>
          <w:kern w:val="0"/>
          <w:sz w:val="24"/>
          <w:szCs w:val="24"/>
        </w:rPr>
        <w:t>, навчальний план/академічний календар</w:t>
      </w:r>
      <w:r w:rsidR="001C1F18" w:rsidRPr="00F43628">
        <w:rPr>
          <w:rFonts w:ascii="Times New Roman" w:hAnsi="Times New Roman" w:cs="Times New Roman"/>
          <w:kern w:val="0"/>
          <w:sz w:val="24"/>
          <w:szCs w:val="24"/>
        </w:rPr>
        <w:t xml:space="preserve"> та </w:t>
      </w:r>
      <w:r w:rsidR="00F02BBD">
        <w:rPr>
          <w:rFonts w:ascii="Times New Roman" w:hAnsi="Times New Roman" w:cs="Times New Roman"/>
          <w:kern w:val="0"/>
          <w:sz w:val="24"/>
          <w:szCs w:val="24"/>
        </w:rPr>
        <w:t xml:space="preserve">її </w:t>
      </w:r>
      <w:r w:rsidR="001C1F18" w:rsidRPr="00F43628">
        <w:rPr>
          <w:rFonts w:ascii="Times New Roman" w:hAnsi="Times New Roman" w:cs="Times New Roman"/>
          <w:kern w:val="0"/>
          <w:sz w:val="24"/>
          <w:szCs w:val="24"/>
        </w:rPr>
        <w:t>координаці</w:t>
      </w:r>
      <w:r w:rsidR="009B7FCF" w:rsidRPr="00F43628">
        <w:rPr>
          <w:rFonts w:ascii="Times New Roman" w:hAnsi="Times New Roman" w:cs="Times New Roman"/>
          <w:kern w:val="0"/>
          <w:sz w:val="24"/>
          <w:szCs w:val="24"/>
        </w:rPr>
        <w:t>ю</w:t>
      </w:r>
      <w:r w:rsidR="001C1F18" w:rsidRPr="00F43628">
        <w:rPr>
          <w:rFonts w:ascii="Times New Roman" w:hAnsi="Times New Roman" w:cs="Times New Roman"/>
          <w:kern w:val="0"/>
          <w:sz w:val="24"/>
          <w:szCs w:val="24"/>
        </w:rPr>
        <w:t>,</w:t>
      </w:r>
    </w:p>
    <w:p w14:paraId="4DA96664" w14:textId="77A9B58B"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доступність </w:t>
      </w:r>
      <w:r w:rsidR="00F02BBD">
        <w:rPr>
          <w:rFonts w:ascii="Times New Roman" w:hAnsi="Times New Roman" w:cs="Times New Roman"/>
          <w:kern w:val="0"/>
          <w:sz w:val="24"/>
          <w:szCs w:val="24"/>
        </w:rPr>
        <w:t xml:space="preserve">спільної </w:t>
      </w:r>
      <w:r w:rsidRPr="00F43628">
        <w:rPr>
          <w:rFonts w:ascii="Times New Roman" w:hAnsi="Times New Roman" w:cs="Times New Roman"/>
          <w:kern w:val="0"/>
          <w:sz w:val="24"/>
          <w:szCs w:val="24"/>
        </w:rPr>
        <w:t xml:space="preserve">програми для економічно незахищених студентів </w:t>
      </w:r>
      <w:r w:rsidR="00F02BBD">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студентів з </w:t>
      </w:r>
      <w:r w:rsidR="00F02BBD">
        <w:rPr>
          <w:rFonts w:ascii="Times New Roman" w:hAnsi="Times New Roman" w:cs="Times New Roman"/>
          <w:kern w:val="0"/>
          <w:sz w:val="24"/>
          <w:szCs w:val="24"/>
        </w:rPr>
        <w:t>обмеженими освітніми можливостями</w:t>
      </w:r>
      <w:r w:rsidR="00E10AE5">
        <w:rPr>
          <w:rFonts w:ascii="Times New Roman" w:hAnsi="Times New Roman" w:cs="Times New Roman"/>
          <w:kern w:val="0"/>
          <w:sz w:val="24"/>
          <w:szCs w:val="24"/>
        </w:rPr>
        <w:t>;</w:t>
      </w:r>
    </w:p>
    <w:p w14:paraId="76C9E224" w14:textId="7C1168B5" w:rsidR="001C1F18" w:rsidRPr="00F43628" w:rsidRDefault="001C1F18" w:rsidP="00F02BBD">
      <w:pPr>
        <w:numPr>
          <w:ilvl w:val="0"/>
          <w:numId w:val="49"/>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візові процедури.</w:t>
      </w:r>
    </w:p>
    <w:p w14:paraId="3C282FFE" w14:textId="7347ABFC" w:rsidR="001C1F18" w:rsidRPr="00F43628" w:rsidRDefault="001703DA" w:rsidP="00F02BB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w:t>
      </w:r>
      <w:r w:rsidR="001C1F18" w:rsidRPr="00F43628">
        <w:rPr>
          <w:rFonts w:ascii="Times New Roman" w:hAnsi="Times New Roman" w:cs="Times New Roman"/>
          <w:kern w:val="0"/>
          <w:sz w:val="24"/>
          <w:szCs w:val="24"/>
        </w:rPr>
        <w:t xml:space="preserve">сновні рекомендації </w:t>
      </w:r>
      <w:r w:rsidRPr="00F43628">
        <w:rPr>
          <w:rFonts w:ascii="Times New Roman" w:hAnsi="Times New Roman" w:cs="Times New Roman"/>
          <w:kern w:val="0"/>
          <w:sz w:val="24"/>
          <w:szCs w:val="24"/>
        </w:rPr>
        <w:t>щодо надання студентам інформації про спільні програми</w:t>
      </w:r>
      <w:r w:rsidR="001C1F18" w:rsidRPr="00F43628">
        <w:rPr>
          <w:rFonts w:ascii="Times New Roman" w:hAnsi="Times New Roman" w:cs="Times New Roman"/>
          <w:kern w:val="0"/>
          <w:sz w:val="24"/>
          <w:szCs w:val="24"/>
        </w:rPr>
        <w:t>:</w:t>
      </w:r>
    </w:p>
    <w:p w14:paraId="006CCBA7" w14:textId="32263E24" w:rsidR="001C1F18" w:rsidRPr="00F43628" w:rsidRDefault="001C1F18" w:rsidP="00A72F6F">
      <w:pPr>
        <w:numPr>
          <w:ilvl w:val="0"/>
          <w:numId w:val="51"/>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розроб</w:t>
      </w:r>
      <w:r w:rsidR="00C12898" w:rsidRPr="00F43628">
        <w:rPr>
          <w:rFonts w:ascii="Times New Roman" w:hAnsi="Times New Roman" w:cs="Times New Roman"/>
          <w:kern w:val="0"/>
          <w:sz w:val="24"/>
          <w:szCs w:val="24"/>
        </w:rPr>
        <w:t>іть</w:t>
      </w:r>
      <w:r w:rsidRPr="00F43628">
        <w:rPr>
          <w:rFonts w:ascii="Times New Roman" w:hAnsi="Times New Roman" w:cs="Times New Roman"/>
          <w:kern w:val="0"/>
          <w:sz w:val="24"/>
          <w:szCs w:val="24"/>
        </w:rPr>
        <w:t xml:space="preserve"> для спільної програми </w:t>
      </w:r>
      <w:r w:rsidR="0037508F" w:rsidRPr="00F43628">
        <w:rPr>
          <w:rFonts w:ascii="Times New Roman" w:hAnsi="Times New Roman" w:cs="Times New Roman"/>
          <w:kern w:val="0"/>
          <w:sz w:val="24"/>
          <w:szCs w:val="24"/>
        </w:rPr>
        <w:t>довід</w:t>
      </w:r>
      <w:r w:rsidR="000C484C" w:rsidRPr="00F43628">
        <w:rPr>
          <w:rFonts w:ascii="Times New Roman" w:hAnsi="Times New Roman" w:cs="Times New Roman"/>
          <w:kern w:val="0"/>
          <w:sz w:val="24"/>
          <w:szCs w:val="24"/>
        </w:rPr>
        <w:t xml:space="preserve">ник </w:t>
      </w:r>
      <w:r w:rsidRPr="00F43628">
        <w:rPr>
          <w:rFonts w:ascii="Times New Roman" w:hAnsi="Times New Roman" w:cs="Times New Roman"/>
          <w:kern w:val="0"/>
          <w:sz w:val="24"/>
          <w:szCs w:val="24"/>
        </w:rPr>
        <w:t>з усією вищезазначеною інформацією;</w:t>
      </w:r>
    </w:p>
    <w:p w14:paraId="68CD8461" w14:textId="4CDF4535" w:rsidR="001C1F18" w:rsidRPr="00F43628" w:rsidRDefault="001C1F18" w:rsidP="00A72F6F">
      <w:pPr>
        <w:numPr>
          <w:ilvl w:val="0"/>
          <w:numId w:val="51"/>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lastRenderedPageBreak/>
        <w:t>розроб</w:t>
      </w:r>
      <w:r w:rsidR="00C12898" w:rsidRPr="00F43628">
        <w:rPr>
          <w:rFonts w:ascii="Times New Roman" w:hAnsi="Times New Roman" w:cs="Times New Roman"/>
          <w:kern w:val="0"/>
          <w:sz w:val="24"/>
          <w:szCs w:val="24"/>
        </w:rPr>
        <w:t>іть</w:t>
      </w:r>
      <w:r w:rsidRPr="00F43628">
        <w:rPr>
          <w:rFonts w:ascii="Times New Roman" w:hAnsi="Times New Roman" w:cs="Times New Roman"/>
          <w:kern w:val="0"/>
          <w:sz w:val="24"/>
          <w:szCs w:val="24"/>
        </w:rPr>
        <w:t xml:space="preserve"> вітальні та навчальні інструкці</w:t>
      </w:r>
      <w:r w:rsidR="000C484C" w:rsidRPr="00F43628">
        <w:rPr>
          <w:rFonts w:ascii="Times New Roman" w:hAnsi="Times New Roman" w:cs="Times New Roman"/>
          <w:kern w:val="0"/>
          <w:sz w:val="24"/>
          <w:szCs w:val="24"/>
        </w:rPr>
        <w:t>ї</w:t>
      </w:r>
      <w:r w:rsidRPr="00F43628">
        <w:rPr>
          <w:rFonts w:ascii="Times New Roman" w:hAnsi="Times New Roman" w:cs="Times New Roman"/>
          <w:kern w:val="0"/>
          <w:sz w:val="24"/>
          <w:szCs w:val="24"/>
        </w:rPr>
        <w:t xml:space="preserve"> для всіх спільних програм, які будуть надаватися </w:t>
      </w:r>
      <w:r w:rsidR="009408D7">
        <w:rPr>
          <w:rFonts w:ascii="Times New Roman" w:hAnsi="Times New Roman" w:cs="Times New Roman"/>
          <w:kern w:val="0"/>
          <w:sz w:val="24"/>
          <w:szCs w:val="24"/>
        </w:rPr>
        <w:t xml:space="preserve">вступникам і </w:t>
      </w:r>
      <w:r w:rsidRPr="00F43628">
        <w:rPr>
          <w:rFonts w:ascii="Times New Roman" w:hAnsi="Times New Roman" w:cs="Times New Roman"/>
          <w:kern w:val="0"/>
          <w:sz w:val="24"/>
          <w:szCs w:val="24"/>
        </w:rPr>
        <w:t>студентам;</w:t>
      </w:r>
    </w:p>
    <w:p w14:paraId="2F5C7EB8" w14:textId="5FD121BF" w:rsidR="001C1F18" w:rsidRPr="00F43628" w:rsidRDefault="001C1F18" w:rsidP="00A72F6F">
      <w:pPr>
        <w:numPr>
          <w:ilvl w:val="0"/>
          <w:numId w:val="51"/>
        </w:numPr>
        <w:autoSpaceDE w:val="0"/>
        <w:autoSpaceDN w:val="0"/>
        <w:adjustRightInd w:val="0"/>
        <w:spacing w:after="0" w:line="240" w:lineRule="auto"/>
        <w:ind w:left="1077" w:hanging="357"/>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організуйте орієнтаційні заходи для </w:t>
      </w:r>
      <w:r w:rsidR="00C12898" w:rsidRPr="00F43628">
        <w:rPr>
          <w:rFonts w:ascii="Times New Roman" w:hAnsi="Times New Roman" w:cs="Times New Roman"/>
          <w:kern w:val="0"/>
          <w:sz w:val="24"/>
          <w:szCs w:val="24"/>
        </w:rPr>
        <w:t xml:space="preserve">студентів </w:t>
      </w:r>
      <w:r w:rsidRPr="00F43628">
        <w:rPr>
          <w:rFonts w:ascii="Times New Roman" w:hAnsi="Times New Roman" w:cs="Times New Roman"/>
          <w:kern w:val="0"/>
          <w:sz w:val="24"/>
          <w:szCs w:val="24"/>
        </w:rPr>
        <w:t>спільних</w:t>
      </w:r>
      <w:r w:rsidR="00C12898" w:rsidRPr="00F43628">
        <w:rPr>
          <w:rFonts w:ascii="Times New Roman" w:hAnsi="Times New Roman" w:cs="Times New Roman"/>
          <w:kern w:val="0"/>
          <w:sz w:val="24"/>
          <w:szCs w:val="24"/>
        </w:rPr>
        <w:t xml:space="preserve"> програм</w:t>
      </w:r>
      <w:r w:rsidR="001F6757">
        <w:rPr>
          <w:rFonts w:ascii="Times New Roman" w:hAnsi="Times New Roman" w:cs="Times New Roman"/>
          <w:kern w:val="0"/>
          <w:sz w:val="24"/>
          <w:szCs w:val="24"/>
        </w:rPr>
        <w:t xml:space="preserve">. </w:t>
      </w:r>
    </w:p>
    <w:p w14:paraId="2AC64A68" w14:textId="566B5B85" w:rsidR="001C1F18" w:rsidRPr="0028413E" w:rsidRDefault="001C1F18" w:rsidP="00764D5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28413E">
        <w:rPr>
          <w:rFonts w:ascii="Times New Roman" w:hAnsi="Times New Roman" w:cs="Times New Roman"/>
          <w:color w:val="365F91" w:themeColor="accent1" w:themeShade="BF"/>
          <w:kern w:val="0"/>
          <w:sz w:val="24"/>
          <w:szCs w:val="24"/>
        </w:rPr>
        <w:t xml:space="preserve">Моніторинг </w:t>
      </w:r>
      <w:r w:rsidR="00897ECA" w:rsidRPr="0028413E">
        <w:rPr>
          <w:rFonts w:ascii="Times New Roman" w:hAnsi="Times New Roman" w:cs="Times New Roman"/>
          <w:color w:val="365F91" w:themeColor="accent1" w:themeShade="BF"/>
          <w:kern w:val="0"/>
          <w:sz w:val="24"/>
          <w:szCs w:val="24"/>
        </w:rPr>
        <w:t>успішності</w:t>
      </w:r>
      <w:r w:rsidRPr="0028413E">
        <w:rPr>
          <w:rFonts w:ascii="Times New Roman" w:hAnsi="Times New Roman" w:cs="Times New Roman"/>
          <w:color w:val="365F91" w:themeColor="accent1" w:themeShade="BF"/>
          <w:kern w:val="0"/>
          <w:sz w:val="24"/>
          <w:szCs w:val="24"/>
        </w:rPr>
        <w:t xml:space="preserve"> студентів</w:t>
      </w:r>
    </w:p>
    <w:p w14:paraId="5C481DD0" w14:textId="38538AAB" w:rsidR="001C1F18" w:rsidRPr="00F43628" w:rsidRDefault="001C1F18"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Заклади-</w:t>
      </w:r>
      <w:r w:rsidR="002E6D96">
        <w:rPr>
          <w:rFonts w:ascii="Times New Roman" w:hAnsi="Times New Roman" w:cs="Times New Roman"/>
          <w:kern w:val="0"/>
          <w:sz w:val="24"/>
          <w:szCs w:val="24"/>
        </w:rPr>
        <w:t>партнери</w:t>
      </w:r>
      <w:r w:rsidRPr="00F43628">
        <w:rPr>
          <w:rFonts w:ascii="Times New Roman" w:hAnsi="Times New Roman" w:cs="Times New Roman"/>
          <w:kern w:val="0"/>
          <w:sz w:val="24"/>
          <w:szCs w:val="24"/>
        </w:rPr>
        <w:t xml:space="preserve"> повинні домовитися, хто відповідає за моніторинг студентів, процедури щодо </w:t>
      </w:r>
      <w:r w:rsidR="0028317D">
        <w:rPr>
          <w:rFonts w:ascii="Times New Roman" w:hAnsi="Times New Roman" w:cs="Times New Roman"/>
          <w:kern w:val="0"/>
          <w:sz w:val="24"/>
          <w:szCs w:val="24"/>
        </w:rPr>
        <w:t xml:space="preserve">наслідків неуспішності </w:t>
      </w:r>
      <w:r w:rsidRPr="00F43628">
        <w:rPr>
          <w:rFonts w:ascii="Times New Roman" w:hAnsi="Times New Roman" w:cs="Times New Roman"/>
          <w:kern w:val="0"/>
          <w:sz w:val="24"/>
          <w:szCs w:val="24"/>
        </w:rPr>
        <w:t xml:space="preserve">в навчанні та правила надання академічних відпусток. </w:t>
      </w:r>
      <w:r w:rsidR="003D220E" w:rsidRPr="00F43628">
        <w:rPr>
          <w:rFonts w:ascii="Times New Roman" w:hAnsi="Times New Roman" w:cs="Times New Roman"/>
          <w:kern w:val="0"/>
          <w:sz w:val="24"/>
          <w:szCs w:val="24"/>
        </w:rPr>
        <w:t>За м</w:t>
      </w:r>
      <w:r w:rsidRPr="00F43628">
        <w:rPr>
          <w:rFonts w:ascii="Times New Roman" w:hAnsi="Times New Roman" w:cs="Times New Roman"/>
          <w:kern w:val="0"/>
          <w:sz w:val="24"/>
          <w:szCs w:val="24"/>
        </w:rPr>
        <w:t>ожливо</w:t>
      </w:r>
      <w:r w:rsidR="003D220E" w:rsidRPr="00F43628">
        <w:rPr>
          <w:rFonts w:ascii="Times New Roman" w:hAnsi="Times New Roman" w:cs="Times New Roman"/>
          <w:kern w:val="0"/>
          <w:sz w:val="24"/>
          <w:szCs w:val="24"/>
        </w:rPr>
        <w:t>сті</w:t>
      </w:r>
      <w:r w:rsidRPr="00F43628">
        <w:rPr>
          <w:rFonts w:ascii="Times New Roman" w:hAnsi="Times New Roman" w:cs="Times New Roman"/>
          <w:kern w:val="0"/>
          <w:sz w:val="24"/>
          <w:szCs w:val="24"/>
        </w:rPr>
        <w:t xml:space="preserve">, </w:t>
      </w:r>
      <w:r w:rsidR="003D220E" w:rsidRPr="00F43628">
        <w:rPr>
          <w:rFonts w:ascii="Times New Roman" w:hAnsi="Times New Roman" w:cs="Times New Roman"/>
          <w:kern w:val="0"/>
          <w:sz w:val="24"/>
          <w:szCs w:val="24"/>
        </w:rPr>
        <w:t xml:space="preserve">щоб забезпечити найкращий моніторинг, заклади мають спільно сформулювати </w:t>
      </w:r>
      <w:r w:rsidRPr="00F43628">
        <w:rPr>
          <w:rFonts w:ascii="Times New Roman" w:hAnsi="Times New Roman" w:cs="Times New Roman"/>
          <w:kern w:val="0"/>
          <w:sz w:val="24"/>
          <w:szCs w:val="24"/>
        </w:rPr>
        <w:t>стратегії, процедури та керівні принципи</w:t>
      </w:r>
      <w:r w:rsidR="00F80BCB">
        <w:rPr>
          <w:rFonts w:ascii="Times New Roman" w:hAnsi="Times New Roman" w:cs="Times New Roman"/>
          <w:kern w:val="0"/>
          <w:sz w:val="24"/>
          <w:szCs w:val="24"/>
        </w:rPr>
        <w:t xml:space="preserve"> моніторингу успішності студентів</w:t>
      </w:r>
      <w:r w:rsidRPr="00F43628">
        <w:rPr>
          <w:rFonts w:ascii="Times New Roman" w:hAnsi="Times New Roman" w:cs="Times New Roman"/>
          <w:kern w:val="0"/>
          <w:sz w:val="24"/>
          <w:szCs w:val="24"/>
        </w:rPr>
        <w:t>.</w:t>
      </w:r>
    </w:p>
    <w:p w14:paraId="5A6979DC" w14:textId="3BE80BEF" w:rsidR="001C1F18" w:rsidRPr="00F43628" w:rsidRDefault="00F80BCB" w:rsidP="0094404A">
      <w:pPr>
        <w:autoSpaceDE w:val="0"/>
        <w:autoSpaceDN w:val="0"/>
        <w:adjustRightInd w:val="0"/>
        <w:spacing w:after="12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w:t>
      </w:r>
      <w:r w:rsidR="003D220E" w:rsidRPr="00F43628">
        <w:rPr>
          <w:rFonts w:ascii="Times New Roman" w:hAnsi="Times New Roman" w:cs="Times New Roman"/>
          <w:color w:val="000000"/>
          <w:kern w:val="0"/>
          <w:sz w:val="24"/>
          <w:szCs w:val="24"/>
        </w:rPr>
        <w:t xml:space="preserve">оніторинг академічної успішності </w:t>
      </w:r>
      <w:r w:rsidR="001C1F18" w:rsidRPr="00F43628">
        <w:rPr>
          <w:rFonts w:ascii="Times New Roman" w:hAnsi="Times New Roman" w:cs="Times New Roman"/>
          <w:color w:val="000000"/>
          <w:kern w:val="0"/>
          <w:sz w:val="24"/>
          <w:szCs w:val="24"/>
        </w:rPr>
        <w:t xml:space="preserve">здійснює заклад, </w:t>
      </w:r>
      <w:r>
        <w:rPr>
          <w:rFonts w:ascii="Times New Roman" w:hAnsi="Times New Roman" w:cs="Times New Roman"/>
          <w:color w:val="000000"/>
          <w:kern w:val="0"/>
          <w:sz w:val="24"/>
          <w:szCs w:val="24"/>
        </w:rPr>
        <w:t>де</w:t>
      </w:r>
      <w:r w:rsidR="001C1F18" w:rsidRPr="00F43628">
        <w:rPr>
          <w:rFonts w:ascii="Times New Roman" w:hAnsi="Times New Roman" w:cs="Times New Roman"/>
          <w:color w:val="000000"/>
          <w:kern w:val="0"/>
          <w:sz w:val="24"/>
          <w:szCs w:val="24"/>
        </w:rPr>
        <w:t xml:space="preserve"> </w:t>
      </w:r>
      <w:r w:rsidR="003D220E" w:rsidRPr="00F43628">
        <w:rPr>
          <w:rFonts w:ascii="Times New Roman" w:hAnsi="Times New Roman" w:cs="Times New Roman"/>
          <w:color w:val="000000"/>
          <w:kern w:val="0"/>
          <w:sz w:val="24"/>
          <w:szCs w:val="24"/>
        </w:rPr>
        <w:t>викладає</w:t>
      </w:r>
      <w:r>
        <w:rPr>
          <w:rFonts w:ascii="Times New Roman" w:hAnsi="Times New Roman" w:cs="Times New Roman"/>
          <w:color w:val="000000"/>
          <w:kern w:val="0"/>
          <w:sz w:val="24"/>
          <w:szCs w:val="24"/>
        </w:rPr>
        <w:t>ться</w:t>
      </w:r>
      <w:r w:rsidR="001C1F18" w:rsidRPr="00F43628">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навчальна дисципліна/модуль за спільною програмою</w:t>
      </w:r>
      <w:r w:rsidR="001C1F18" w:rsidRPr="00F43628">
        <w:rPr>
          <w:rFonts w:ascii="Times New Roman" w:hAnsi="Times New Roman" w:cs="Times New Roman"/>
          <w:color w:val="000000"/>
          <w:kern w:val="0"/>
          <w:sz w:val="24"/>
          <w:szCs w:val="24"/>
        </w:rPr>
        <w:t>.</w:t>
      </w:r>
      <w:r w:rsidR="00FC4D59" w:rsidRPr="00F43628">
        <w:rPr>
          <w:rFonts w:ascii="Times New Roman" w:hAnsi="Times New Roman" w:cs="Times New Roman"/>
          <w:color w:val="000000"/>
          <w:kern w:val="0"/>
          <w:sz w:val="24"/>
          <w:szCs w:val="24"/>
        </w:rPr>
        <w:t xml:space="preserve"> </w:t>
      </w:r>
      <w:r w:rsidR="001C1F18" w:rsidRPr="00F43628">
        <w:rPr>
          <w:rFonts w:ascii="Times New Roman" w:hAnsi="Times New Roman" w:cs="Times New Roman"/>
          <w:color w:val="000000"/>
          <w:kern w:val="0"/>
          <w:sz w:val="24"/>
          <w:szCs w:val="24"/>
        </w:rPr>
        <w:t>За студентами спільних програм закріплюється місцевий координатор, який відповідає за моніторинг їхньо</w:t>
      </w:r>
      <w:r>
        <w:rPr>
          <w:rFonts w:ascii="Times New Roman" w:hAnsi="Times New Roman" w:cs="Times New Roman"/>
          <w:color w:val="000000"/>
          <w:kern w:val="0"/>
          <w:sz w:val="24"/>
          <w:szCs w:val="24"/>
        </w:rPr>
        <w:t>ї</w:t>
      </w:r>
      <w:r w:rsidR="001C1F18" w:rsidRPr="00F43628">
        <w:rPr>
          <w:rFonts w:ascii="Times New Roman" w:hAnsi="Times New Roman" w:cs="Times New Roman"/>
          <w:color w:val="000000"/>
          <w:kern w:val="0"/>
          <w:sz w:val="24"/>
          <w:szCs w:val="24"/>
        </w:rPr>
        <w:t xml:space="preserve"> академічно</w:t>
      </w:r>
      <w:r w:rsidR="006111EF" w:rsidRPr="00F43628">
        <w:rPr>
          <w:rFonts w:ascii="Times New Roman" w:hAnsi="Times New Roman" w:cs="Times New Roman"/>
          <w:color w:val="000000"/>
          <w:kern w:val="0"/>
          <w:sz w:val="24"/>
          <w:szCs w:val="24"/>
        </w:rPr>
        <w:t>ї успішності</w:t>
      </w:r>
      <w:r w:rsidR="001C1F18" w:rsidRPr="00F43628">
        <w:rPr>
          <w:rFonts w:ascii="Times New Roman" w:hAnsi="Times New Roman" w:cs="Times New Roman"/>
          <w:color w:val="000000"/>
          <w:kern w:val="0"/>
          <w:sz w:val="24"/>
          <w:szCs w:val="24"/>
        </w:rPr>
        <w:t xml:space="preserve">. Крім того, весь викладацький склад, який викладає на програмі, відповідає за моніторинг </w:t>
      </w:r>
      <w:r>
        <w:rPr>
          <w:rFonts w:ascii="Times New Roman" w:hAnsi="Times New Roman" w:cs="Times New Roman"/>
          <w:color w:val="000000"/>
          <w:kern w:val="0"/>
          <w:sz w:val="24"/>
          <w:szCs w:val="24"/>
        </w:rPr>
        <w:t>навчання за навчальною дисципліною/модулем</w:t>
      </w:r>
      <w:r w:rsidR="001C1F18" w:rsidRPr="00F43628">
        <w:rPr>
          <w:rFonts w:ascii="Times New Roman" w:hAnsi="Times New Roman" w:cs="Times New Roman"/>
          <w:color w:val="000000"/>
          <w:kern w:val="0"/>
          <w:sz w:val="24"/>
          <w:szCs w:val="24"/>
        </w:rPr>
        <w:t xml:space="preserve"> та </w:t>
      </w:r>
      <w:r>
        <w:rPr>
          <w:rFonts w:ascii="Times New Roman" w:hAnsi="Times New Roman" w:cs="Times New Roman"/>
          <w:color w:val="000000"/>
          <w:kern w:val="0"/>
          <w:sz w:val="24"/>
          <w:szCs w:val="24"/>
        </w:rPr>
        <w:t>екзаменів</w:t>
      </w:r>
      <w:r w:rsidR="001C1F18" w:rsidRPr="00F43628">
        <w:rPr>
          <w:rFonts w:ascii="Times New Roman" w:hAnsi="Times New Roman" w:cs="Times New Roman"/>
          <w:color w:val="000000"/>
          <w:kern w:val="0"/>
          <w:sz w:val="24"/>
          <w:szCs w:val="24"/>
        </w:rPr>
        <w:t>. Місцеві координатори зазвичай звітують про свої спостереження перед радами</w:t>
      </w:r>
      <w:r>
        <w:rPr>
          <w:rFonts w:ascii="Times New Roman" w:hAnsi="Times New Roman" w:cs="Times New Roman"/>
          <w:color w:val="000000"/>
          <w:kern w:val="0"/>
          <w:sz w:val="24"/>
          <w:szCs w:val="24"/>
        </w:rPr>
        <w:t>/комітетами/проєктними групами</w:t>
      </w:r>
      <w:r w:rsidR="001C1F18" w:rsidRPr="00F43628">
        <w:rPr>
          <w:rFonts w:ascii="Times New Roman" w:hAnsi="Times New Roman" w:cs="Times New Roman"/>
          <w:color w:val="000000"/>
          <w:kern w:val="0"/>
          <w:sz w:val="24"/>
          <w:szCs w:val="24"/>
        </w:rPr>
        <w:t xml:space="preserve"> спільних програм або радами</w:t>
      </w:r>
      <w:r>
        <w:rPr>
          <w:rFonts w:ascii="Times New Roman" w:hAnsi="Times New Roman" w:cs="Times New Roman"/>
          <w:color w:val="000000"/>
          <w:kern w:val="0"/>
          <w:sz w:val="24"/>
          <w:szCs w:val="24"/>
        </w:rPr>
        <w:t>/комітетами/підрозділами</w:t>
      </w:r>
      <w:r w:rsidR="001C1F18" w:rsidRPr="00F43628">
        <w:rPr>
          <w:rFonts w:ascii="Times New Roman" w:hAnsi="Times New Roman" w:cs="Times New Roman"/>
          <w:color w:val="000000"/>
          <w:kern w:val="0"/>
          <w:sz w:val="24"/>
          <w:szCs w:val="24"/>
        </w:rPr>
        <w:t xml:space="preserve"> із забезпечення якості.</w:t>
      </w:r>
    </w:p>
    <w:p w14:paraId="6E10496F" w14:textId="670C6FE4" w:rsidR="001C1F18" w:rsidRPr="00F0438C" w:rsidRDefault="004A71F2" w:rsidP="00F043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w:t>
      </w:r>
      <w:r w:rsidR="001C1F18" w:rsidRPr="00F43628">
        <w:rPr>
          <w:rFonts w:ascii="Times New Roman" w:hAnsi="Times New Roman" w:cs="Times New Roman"/>
          <w:kern w:val="0"/>
          <w:sz w:val="24"/>
          <w:szCs w:val="24"/>
        </w:rPr>
        <w:t>екомендує</w:t>
      </w:r>
      <w:r>
        <w:rPr>
          <w:rFonts w:ascii="Times New Roman" w:hAnsi="Times New Roman" w:cs="Times New Roman"/>
          <w:kern w:val="0"/>
          <w:sz w:val="24"/>
          <w:szCs w:val="24"/>
        </w:rPr>
        <w:t>ться</w:t>
      </w:r>
      <w:r w:rsidR="001C1F18" w:rsidRPr="00F43628">
        <w:rPr>
          <w:rFonts w:ascii="Times New Roman" w:hAnsi="Times New Roman" w:cs="Times New Roman"/>
          <w:kern w:val="0"/>
          <w:sz w:val="24"/>
          <w:szCs w:val="24"/>
        </w:rPr>
        <w:t xml:space="preserve"> призначити одного </w:t>
      </w:r>
      <w:r w:rsidRPr="00F43628">
        <w:rPr>
          <w:rFonts w:ascii="Times New Roman" w:hAnsi="Times New Roman" w:cs="Times New Roman"/>
          <w:kern w:val="0"/>
          <w:sz w:val="24"/>
          <w:szCs w:val="24"/>
        </w:rPr>
        <w:t>центрального координатора</w:t>
      </w:r>
      <w:r>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на рівні консорціуму </w:t>
      </w:r>
      <w:r>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співробітника</w:t>
      </w:r>
      <w:r>
        <w:rPr>
          <w:rFonts w:ascii="Times New Roman" w:hAnsi="Times New Roman" w:cs="Times New Roman"/>
          <w:kern w:val="0"/>
          <w:sz w:val="24"/>
          <w:szCs w:val="24"/>
        </w:rPr>
        <w:t>, відповідального за</w:t>
      </w:r>
      <w:r w:rsidR="001C1F18" w:rsidRPr="00F43628">
        <w:rPr>
          <w:rFonts w:ascii="Times New Roman" w:hAnsi="Times New Roman" w:cs="Times New Roman"/>
          <w:kern w:val="0"/>
          <w:sz w:val="24"/>
          <w:szCs w:val="24"/>
        </w:rPr>
        <w:t xml:space="preserve"> моніторинг академічно</w:t>
      </w:r>
      <w:r w:rsidR="006111EF" w:rsidRPr="00F43628">
        <w:rPr>
          <w:rFonts w:ascii="Times New Roman" w:hAnsi="Times New Roman" w:cs="Times New Roman"/>
          <w:kern w:val="0"/>
          <w:sz w:val="24"/>
          <w:szCs w:val="24"/>
        </w:rPr>
        <w:t>ї успішності</w:t>
      </w:r>
      <w:r w:rsidR="001C1F18" w:rsidRPr="00F43628">
        <w:rPr>
          <w:rFonts w:ascii="Times New Roman" w:hAnsi="Times New Roman" w:cs="Times New Roman"/>
          <w:kern w:val="0"/>
          <w:sz w:val="24"/>
          <w:szCs w:val="24"/>
        </w:rPr>
        <w:t xml:space="preserve">, оскільки місцевий </w:t>
      </w:r>
      <w:r w:rsidR="001C1F18" w:rsidRPr="00F0438C">
        <w:rPr>
          <w:rFonts w:ascii="Times New Roman" w:hAnsi="Times New Roman" w:cs="Times New Roman"/>
          <w:kern w:val="0"/>
          <w:sz w:val="24"/>
          <w:szCs w:val="24"/>
        </w:rPr>
        <w:t>координатор бачить лише частину всієї спільної програми. Наявність центрального координатора, який здійснює моніторинг академічно</w:t>
      </w:r>
      <w:r w:rsidR="006111EF" w:rsidRPr="00F0438C">
        <w:rPr>
          <w:rFonts w:ascii="Times New Roman" w:hAnsi="Times New Roman" w:cs="Times New Roman"/>
          <w:kern w:val="0"/>
          <w:sz w:val="24"/>
          <w:szCs w:val="24"/>
        </w:rPr>
        <w:t>ї успішності</w:t>
      </w:r>
      <w:r w:rsidR="001C1F18" w:rsidRPr="00F0438C">
        <w:rPr>
          <w:rFonts w:ascii="Times New Roman" w:hAnsi="Times New Roman" w:cs="Times New Roman"/>
          <w:kern w:val="0"/>
          <w:sz w:val="24"/>
          <w:szCs w:val="24"/>
        </w:rPr>
        <w:t>, допомагає забезпечити узгодженість академічно</w:t>
      </w:r>
      <w:r w:rsidR="00485132" w:rsidRPr="00F0438C">
        <w:rPr>
          <w:rFonts w:ascii="Times New Roman" w:hAnsi="Times New Roman" w:cs="Times New Roman"/>
          <w:kern w:val="0"/>
          <w:sz w:val="24"/>
          <w:szCs w:val="24"/>
        </w:rPr>
        <w:t>ї успішності</w:t>
      </w:r>
      <w:r w:rsidR="001C1F18" w:rsidRPr="00F0438C">
        <w:rPr>
          <w:rFonts w:ascii="Times New Roman" w:hAnsi="Times New Roman" w:cs="Times New Roman"/>
          <w:kern w:val="0"/>
          <w:sz w:val="24"/>
          <w:szCs w:val="24"/>
        </w:rPr>
        <w:t xml:space="preserve"> студентів </w:t>
      </w:r>
      <w:r w:rsidRPr="00F0438C">
        <w:rPr>
          <w:rFonts w:ascii="Times New Roman" w:hAnsi="Times New Roman" w:cs="Times New Roman"/>
          <w:kern w:val="0"/>
          <w:sz w:val="24"/>
          <w:szCs w:val="24"/>
        </w:rPr>
        <w:t xml:space="preserve">у </w:t>
      </w:r>
      <w:r w:rsidR="00485132" w:rsidRPr="00F0438C">
        <w:rPr>
          <w:rFonts w:ascii="Times New Roman" w:hAnsi="Times New Roman" w:cs="Times New Roman"/>
          <w:kern w:val="0"/>
          <w:sz w:val="24"/>
          <w:szCs w:val="24"/>
        </w:rPr>
        <w:t>в</w:t>
      </w:r>
      <w:r w:rsidR="001C1F18" w:rsidRPr="00F0438C">
        <w:rPr>
          <w:rFonts w:ascii="Times New Roman" w:hAnsi="Times New Roman" w:cs="Times New Roman"/>
          <w:kern w:val="0"/>
          <w:sz w:val="24"/>
          <w:szCs w:val="24"/>
        </w:rPr>
        <w:t>сі</w:t>
      </w:r>
      <w:r w:rsidR="00485132" w:rsidRPr="00F0438C">
        <w:rPr>
          <w:rFonts w:ascii="Times New Roman" w:hAnsi="Times New Roman" w:cs="Times New Roman"/>
          <w:kern w:val="0"/>
          <w:sz w:val="24"/>
          <w:szCs w:val="24"/>
        </w:rPr>
        <w:t>й</w:t>
      </w:r>
      <w:r w:rsidR="001C1F18" w:rsidRPr="00F0438C">
        <w:rPr>
          <w:rFonts w:ascii="Times New Roman" w:hAnsi="Times New Roman" w:cs="Times New Roman"/>
          <w:kern w:val="0"/>
          <w:sz w:val="24"/>
          <w:szCs w:val="24"/>
        </w:rPr>
        <w:t xml:space="preserve"> спільн</w:t>
      </w:r>
      <w:r w:rsidR="00485132" w:rsidRPr="00F0438C">
        <w:rPr>
          <w:rFonts w:ascii="Times New Roman" w:hAnsi="Times New Roman" w:cs="Times New Roman"/>
          <w:kern w:val="0"/>
          <w:sz w:val="24"/>
          <w:szCs w:val="24"/>
        </w:rPr>
        <w:t>ій</w:t>
      </w:r>
      <w:r w:rsidR="001C1F18" w:rsidRPr="00F0438C">
        <w:rPr>
          <w:rFonts w:ascii="Times New Roman" w:hAnsi="Times New Roman" w:cs="Times New Roman"/>
          <w:kern w:val="0"/>
          <w:sz w:val="24"/>
          <w:szCs w:val="24"/>
        </w:rPr>
        <w:t xml:space="preserve"> програм</w:t>
      </w:r>
      <w:r w:rsidR="00485132" w:rsidRPr="00F0438C">
        <w:rPr>
          <w:rFonts w:ascii="Times New Roman" w:hAnsi="Times New Roman" w:cs="Times New Roman"/>
          <w:kern w:val="0"/>
          <w:sz w:val="24"/>
          <w:szCs w:val="24"/>
        </w:rPr>
        <w:t>і</w:t>
      </w:r>
      <w:r w:rsidR="001C1F18" w:rsidRPr="00F0438C">
        <w:rPr>
          <w:rFonts w:ascii="Times New Roman" w:hAnsi="Times New Roman" w:cs="Times New Roman"/>
          <w:kern w:val="0"/>
          <w:sz w:val="24"/>
          <w:szCs w:val="24"/>
        </w:rPr>
        <w:t>.</w:t>
      </w:r>
    </w:p>
    <w:p w14:paraId="05A6CE60" w14:textId="7AA377FE" w:rsidR="001C1F18" w:rsidRPr="00F0438C" w:rsidRDefault="001C1F18" w:rsidP="00F0438C">
      <w:pPr>
        <w:pStyle w:val="2"/>
        <w:spacing w:before="100" w:beforeAutospacing="1" w:after="100" w:afterAutospacing="1" w:line="240" w:lineRule="auto"/>
        <w:rPr>
          <w:rFonts w:ascii="Times New Roman" w:hAnsi="Times New Roman" w:cs="Times New Roman"/>
          <w:b/>
          <w:bCs/>
          <w:sz w:val="24"/>
          <w:szCs w:val="24"/>
        </w:rPr>
      </w:pPr>
      <w:bookmarkStart w:id="22" w:name="_Toc188337430"/>
      <w:r w:rsidRPr="00F0438C">
        <w:rPr>
          <w:rFonts w:ascii="Times New Roman" w:hAnsi="Times New Roman" w:cs="Times New Roman"/>
          <w:b/>
          <w:bCs/>
          <w:sz w:val="24"/>
          <w:szCs w:val="24"/>
        </w:rPr>
        <w:t>8.</w:t>
      </w:r>
      <w:r w:rsidR="004D7D07" w:rsidRPr="00F0438C">
        <w:rPr>
          <w:rFonts w:ascii="Times New Roman" w:hAnsi="Times New Roman" w:cs="Times New Roman"/>
          <w:b/>
          <w:bCs/>
          <w:sz w:val="24"/>
          <w:szCs w:val="24"/>
        </w:rPr>
        <w:t>2</w:t>
      </w:r>
      <w:r w:rsidRPr="00F0438C">
        <w:rPr>
          <w:rFonts w:ascii="Times New Roman" w:hAnsi="Times New Roman" w:cs="Times New Roman"/>
          <w:b/>
          <w:bCs/>
          <w:sz w:val="24"/>
          <w:szCs w:val="24"/>
        </w:rPr>
        <w:t>.</w:t>
      </w:r>
      <w:r w:rsidR="00DD313D" w:rsidRPr="00F0438C">
        <w:rPr>
          <w:rFonts w:ascii="Times New Roman" w:hAnsi="Times New Roman" w:cs="Times New Roman"/>
          <w:b/>
          <w:bCs/>
          <w:sz w:val="24"/>
          <w:szCs w:val="24"/>
        </w:rPr>
        <w:t xml:space="preserve"> </w:t>
      </w:r>
      <w:r w:rsidRPr="00F0438C">
        <w:rPr>
          <w:rFonts w:ascii="Times New Roman" w:hAnsi="Times New Roman" w:cs="Times New Roman"/>
          <w:b/>
          <w:bCs/>
          <w:sz w:val="24"/>
          <w:szCs w:val="24"/>
        </w:rPr>
        <w:t xml:space="preserve">Шаблони </w:t>
      </w:r>
      <w:r w:rsidR="00485132" w:rsidRPr="00F0438C">
        <w:rPr>
          <w:rFonts w:ascii="Times New Roman" w:hAnsi="Times New Roman" w:cs="Times New Roman"/>
          <w:b/>
          <w:bCs/>
          <w:sz w:val="24"/>
          <w:szCs w:val="24"/>
        </w:rPr>
        <w:t xml:space="preserve">угод зі </w:t>
      </w:r>
      <w:r w:rsidRPr="00F0438C">
        <w:rPr>
          <w:rFonts w:ascii="Times New Roman" w:hAnsi="Times New Roman" w:cs="Times New Roman"/>
          <w:b/>
          <w:bCs/>
          <w:sz w:val="24"/>
          <w:szCs w:val="24"/>
        </w:rPr>
        <w:t>студент</w:t>
      </w:r>
      <w:r w:rsidR="00485132" w:rsidRPr="00F0438C">
        <w:rPr>
          <w:rFonts w:ascii="Times New Roman" w:hAnsi="Times New Roman" w:cs="Times New Roman"/>
          <w:b/>
          <w:bCs/>
          <w:sz w:val="24"/>
          <w:szCs w:val="24"/>
        </w:rPr>
        <w:t>ами</w:t>
      </w:r>
      <w:r w:rsidRPr="00F0438C">
        <w:rPr>
          <w:rFonts w:ascii="Times New Roman" w:hAnsi="Times New Roman" w:cs="Times New Roman"/>
          <w:b/>
          <w:bCs/>
          <w:sz w:val="24"/>
          <w:szCs w:val="24"/>
        </w:rPr>
        <w:t xml:space="preserve"> та присудження ступенів</w:t>
      </w:r>
      <w:bookmarkEnd w:id="22"/>
    </w:p>
    <w:p w14:paraId="0FF701E2" w14:textId="77777777" w:rsidR="00ED5887" w:rsidRDefault="001C1F18" w:rsidP="00F043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0438C">
        <w:rPr>
          <w:rFonts w:ascii="Times New Roman" w:hAnsi="Times New Roman" w:cs="Times New Roman"/>
          <w:kern w:val="0"/>
          <w:sz w:val="24"/>
          <w:szCs w:val="24"/>
        </w:rPr>
        <w:t>Консорціум спільн</w:t>
      </w:r>
      <w:r w:rsidR="00485132" w:rsidRPr="00F0438C">
        <w:rPr>
          <w:rFonts w:ascii="Times New Roman" w:hAnsi="Times New Roman" w:cs="Times New Roman"/>
          <w:kern w:val="0"/>
          <w:sz w:val="24"/>
          <w:szCs w:val="24"/>
        </w:rPr>
        <w:t>ої</w:t>
      </w:r>
      <w:r w:rsidRPr="00F0438C">
        <w:rPr>
          <w:rFonts w:ascii="Times New Roman" w:hAnsi="Times New Roman" w:cs="Times New Roman"/>
          <w:kern w:val="0"/>
          <w:sz w:val="24"/>
          <w:szCs w:val="24"/>
        </w:rPr>
        <w:t xml:space="preserve"> програм</w:t>
      </w:r>
      <w:r w:rsidR="00485132" w:rsidRPr="00F0438C">
        <w:rPr>
          <w:rFonts w:ascii="Times New Roman" w:hAnsi="Times New Roman" w:cs="Times New Roman"/>
          <w:kern w:val="0"/>
          <w:sz w:val="24"/>
          <w:szCs w:val="24"/>
        </w:rPr>
        <w:t>и</w:t>
      </w:r>
      <w:r w:rsidRPr="00F0438C">
        <w:rPr>
          <w:rFonts w:ascii="Times New Roman" w:hAnsi="Times New Roman" w:cs="Times New Roman"/>
          <w:kern w:val="0"/>
          <w:sz w:val="24"/>
          <w:szCs w:val="24"/>
        </w:rPr>
        <w:t xml:space="preserve"> зазвичай визначає зобов</w:t>
      </w:r>
      <w:r w:rsidR="00485132" w:rsidRPr="00F0438C">
        <w:rPr>
          <w:rFonts w:ascii="Times New Roman" w:hAnsi="Times New Roman" w:cs="Times New Roman"/>
          <w:kern w:val="0"/>
          <w:sz w:val="24"/>
          <w:szCs w:val="24"/>
        </w:rPr>
        <w:t>’</w:t>
      </w:r>
      <w:r w:rsidRPr="00F0438C">
        <w:rPr>
          <w:rFonts w:ascii="Times New Roman" w:hAnsi="Times New Roman" w:cs="Times New Roman"/>
          <w:kern w:val="0"/>
          <w:sz w:val="24"/>
          <w:szCs w:val="24"/>
        </w:rPr>
        <w:t xml:space="preserve">язання студента і консорціуму в </w:t>
      </w:r>
      <w:r w:rsidR="00485132" w:rsidRPr="00F0438C">
        <w:rPr>
          <w:rFonts w:ascii="Times New Roman" w:hAnsi="Times New Roman" w:cs="Times New Roman"/>
          <w:kern w:val="0"/>
          <w:sz w:val="24"/>
          <w:szCs w:val="24"/>
        </w:rPr>
        <w:t xml:space="preserve">угоді зі </w:t>
      </w:r>
      <w:r w:rsidRPr="00F0438C">
        <w:rPr>
          <w:rFonts w:ascii="Times New Roman" w:hAnsi="Times New Roman" w:cs="Times New Roman"/>
          <w:kern w:val="0"/>
          <w:sz w:val="24"/>
          <w:szCs w:val="24"/>
        </w:rPr>
        <w:t>студент</w:t>
      </w:r>
      <w:r w:rsidR="00485132" w:rsidRPr="00F0438C">
        <w:rPr>
          <w:rFonts w:ascii="Times New Roman" w:hAnsi="Times New Roman" w:cs="Times New Roman"/>
          <w:kern w:val="0"/>
          <w:sz w:val="24"/>
          <w:szCs w:val="24"/>
        </w:rPr>
        <w:t>ом</w:t>
      </w:r>
      <w:r w:rsidRPr="00F0438C">
        <w:rPr>
          <w:rFonts w:ascii="Times New Roman" w:hAnsi="Times New Roman" w:cs="Times New Roman"/>
          <w:kern w:val="0"/>
          <w:sz w:val="24"/>
          <w:szCs w:val="24"/>
        </w:rPr>
        <w:t>, як</w:t>
      </w:r>
      <w:r w:rsidR="00485132" w:rsidRPr="00F0438C">
        <w:rPr>
          <w:rFonts w:ascii="Times New Roman" w:hAnsi="Times New Roman" w:cs="Times New Roman"/>
          <w:kern w:val="0"/>
          <w:sz w:val="24"/>
          <w:szCs w:val="24"/>
        </w:rPr>
        <w:t>у</w:t>
      </w:r>
      <w:r w:rsidRPr="00F0438C">
        <w:rPr>
          <w:rFonts w:ascii="Times New Roman" w:hAnsi="Times New Roman" w:cs="Times New Roman"/>
          <w:kern w:val="0"/>
          <w:sz w:val="24"/>
          <w:szCs w:val="24"/>
        </w:rPr>
        <w:t xml:space="preserve"> підпису</w:t>
      </w:r>
      <w:r w:rsidR="00485132" w:rsidRPr="00F0438C">
        <w:rPr>
          <w:rFonts w:ascii="Times New Roman" w:hAnsi="Times New Roman" w:cs="Times New Roman"/>
          <w:kern w:val="0"/>
          <w:sz w:val="24"/>
          <w:szCs w:val="24"/>
        </w:rPr>
        <w:t>ють</w:t>
      </w:r>
      <w:r w:rsidRPr="00F0438C">
        <w:rPr>
          <w:rFonts w:ascii="Times New Roman" w:hAnsi="Times New Roman" w:cs="Times New Roman"/>
          <w:kern w:val="0"/>
          <w:sz w:val="24"/>
          <w:szCs w:val="24"/>
        </w:rPr>
        <w:t xml:space="preserve"> студент і консорціум на початку </w:t>
      </w:r>
      <w:r w:rsidR="00ED5887">
        <w:rPr>
          <w:rFonts w:ascii="Times New Roman" w:hAnsi="Times New Roman" w:cs="Times New Roman"/>
          <w:kern w:val="0"/>
          <w:sz w:val="24"/>
          <w:szCs w:val="24"/>
        </w:rPr>
        <w:t xml:space="preserve">спільної </w:t>
      </w:r>
      <w:r w:rsidRPr="00F0438C">
        <w:rPr>
          <w:rFonts w:ascii="Times New Roman" w:hAnsi="Times New Roman" w:cs="Times New Roman"/>
          <w:kern w:val="0"/>
          <w:sz w:val="24"/>
          <w:szCs w:val="24"/>
        </w:rPr>
        <w:t xml:space="preserve">програми. Ця угода включає індивідуальний навчальний план, який зазвичай розробляється академічним координатором </w:t>
      </w:r>
      <w:r w:rsidR="00ED5887">
        <w:rPr>
          <w:rFonts w:ascii="Times New Roman" w:hAnsi="Times New Roman" w:cs="Times New Roman"/>
          <w:kern w:val="0"/>
          <w:sz w:val="24"/>
          <w:szCs w:val="24"/>
        </w:rPr>
        <w:t xml:space="preserve">– гарантом програми </w:t>
      </w:r>
      <w:r w:rsidRPr="00F0438C">
        <w:rPr>
          <w:rFonts w:ascii="Times New Roman" w:hAnsi="Times New Roman" w:cs="Times New Roman"/>
          <w:kern w:val="0"/>
          <w:sz w:val="24"/>
          <w:szCs w:val="24"/>
        </w:rPr>
        <w:t xml:space="preserve">і студентом. </w:t>
      </w:r>
    </w:p>
    <w:p w14:paraId="2E89508F" w14:textId="231C4E5D" w:rsidR="001C1F18" w:rsidRPr="00F0438C" w:rsidRDefault="001C1F18" w:rsidP="00ED5887">
      <w:pPr>
        <w:autoSpaceDE w:val="0"/>
        <w:autoSpaceDN w:val="0"/>
        <w:adjustRightInd w:val="0"/>
        <w:spacing w:before="100" w:beforeAutospacing="1" w:after="0" w:line="240" w:lineRule="auto"/>
        <w:jc w:val="both"/>
        <w:rPr>
          <w:rFonts w:ascii="Times New Roman" w:hAnsi="Times New Roman" w:cs="Times New Roman"/>
          <w:kern w:val="0"/>
          <w:sz w:val="24"/>
          <w:szCs w:val="24"/>
        </w:rPr>
      </w:pPr>
      <w:r w:rsidRPr="00F0438C">
        <w:rPr>
          <w:rFonts w:ascii="Times New Roman" w:hAnsi="Times New Roman" w:cs="Times New Roman"/>
          <w:kern w:val="0"/>
          <w:sz w:val="24"/>
          <w:szCs w:val="24"/>
        </w:rPr>
        <w:t xml:space="preserve">Приклади </w:t>
      </w:r>
      <w:r w:rsidR="00485132" w:rsidRPr="00F0438C">
        <w:rPr>
          <w:rFonts w:ascii="Times New Roman" w:hAnsi="Times New Roman" w:cs="Times New Roman"/>
          <w:kern w:val="0"/>
          <w:sz w:val="24"/>
          <w:szCs w:val="24"/>
        </w:rPr>
        <w:t xml:space="preserve">угод </w:t>
      </w:r>
      <w:r w:rsidR="00385F77" w:rsidRPr="00F0438C">
        <w:rPr>
          <w:rFonts w:ascii="Times New Roman" w:hAnsi="Times New Roman" w:cs="Times New Roman"/>
          <w:kern w:val="0"/>
          <w:sz w:val="24"/>
          <w:szCs w:val="24"/>
        </w:rPr>
        <w:t>і</w:t>
      </w:r>
      <w:r w:rsidR="00485132" w:rsidRPr="00F0438C">
        <w:rPr>
          <w:rFonts w:ascii="Times New Roman" w:hAnsi="Times New Roman" w:cs="Times New Roman"/>
          <w:kern w:val="0"/>
          <w:sz w:val="24"/>
          <w:szCs w:val="24"/>
        </w:rPr>
        <w:t xml:space="preserve">з </w:t>
      </w:r>
      <w:r w:rsidRPr="00F0438C">
        <w:rPr>
          <w:rFonts w:ascii="Times New Roman" w:hAnsi="Times New Roman" w:cs="Times New Roman"/>
          <w:kern w:val="0"/>
          <w:sz w:val="24"/>
          <w:szCs w:val="24"/>
        </w:rPr>
        <w:t>студент</w:t>
      </w:r>
      <w:r w:rsidR="00485132" w:rsidRPr="00F0438C">
        <w:rPr>
          <w:rFonts w:ascii="Times New Roman" w:hAnsi="Times New Roman" w:cs="Times New Roman"/>
          <w:kern w:val="0"/>
          <w:sz w:val="24"/>
          <w:szCs w:val="24"/>
        </w:rPr>
        <w:t>ами</w:t>
      </w:r>
      <w:r w:rsidRPr="00F0438C">
        <w:rPr>
          <w:rFonts w:ascii="Times New Roman" w:hAnsi="Times New Roman" w:cs="Times New Roman"/>
          <w:kern w:val="0"/>
          <w:sz w:val="24"/>
          <w:szCs w:val="24"/>
        </w:rPr>
        <w:t xml:space="preserve"> </w:t>
      </w:r>
      <w:r w:rsidR="00ED5887">
        <w:rPr>
          <w:rFonts w:ascii="Times New Roman" w:hAnsi="Times New Roman" w:cs="Times New Roman"/>
          <w:kern w:val="0"/>
          <w:sz w:val="24"/>
          <w:szCs w:val="24"/>
        </w:rPr>
        <w:t xml:space="preserve">для міжнародних спільних програм </w:t>
      </w:r>
      <w:r w:rsidRPr="00F0438C">
        <w:rPr>
          <w:rFonts w:ascii="Times New Roman" w:hAnsi="Times New Roman" w:cs="Times New Roman"/>
          <w:kern w:val="0"/>
          <w:sz w:val="24"/>
          <w:szCs w:val="24"/>
        </w:rPr>
        <w:t>доступні тут:</w:t>
      </w:r>
    </w:p>
    <w:p w14:paraId="0FF4F175" w14:textId="65BB9486" w:rsidR="001C1F18" w:rsidRPr="00F0438C" w:rsidRDefault="001C1F18" w:rsidP="00ED5887">
      <w:pPr>
        <w:numPr>
          <w:ilvl w:val="0"/>
          <w:numId w:val="52"/>
        </w:numPr>
        <w:autoSpaceDE w:val="0"/>
        <w:autoSpaceDN w:val="0"/>
        <w:adjustRightInd w:val="0"/>
        <w:spacing w:after="0" w:line="240" w:lineRule="auto"/>
        <w:ind w:left="714" w:hanging="357"/>
        <w:rPr>
          <w:rFonts w:ascii="Times New Roman" w:hAnsi="Times New Roman" w:cs="Times New Roman"/>
          <w:kern w:val="0"/>
          <w:sz w:val="24"/>
          <w:szCs w:val="24"/>
        </w:rPr>
      </w:pPr>
      <w:hyperlink r:id="rId33" w:history="1">
        <w:r w:rsidRPr="00F0438C">
          <w:rPr>
            <w:rStyle w:val="a8"/>
            <w:rFonts w:ascii="Times New Roman" w:hAnsi="Times New Roman" w:cs="Times New Roman"/>
            <w:sz w:val="24"/>
            <w:szCs w:val="24"/>
          </w:rPr>
          <w:t>Студентська угода</w:t>
        </w:r>
      </w:hyperlink>
      <w:hyperlink r:id="rId34" w:history="1">
        <w:r w:rsidRPr="00F0438C">
          <w:rPr>
            <w:rStyle w:val="a8"/>
            <w:rFonts w:ascii="Times New Roman" w:hAnsi="Times New Roman" w:cs="Times New Roman"/>
            <w:sz w:val="24"/>
            <w:szCs w:val="24"/>
          </w:rPr>
          <w:t>,</w:t>
        </w:r>
        <w:r w:rsidR="00364F1E" w:rsidRPr="00F0438C">
          <w:rPr>
            <w:rStyle w:val="a8"/>
            <w:rFonts w:ascii="Times New Roman" w:hAnsi="Times New Roman" w:cs="Times New Roman"/>
            <w:sz w:val="24"/>
            <w:szCs w:val="24"/>
          </w:rPr>
          <w:t xml:space="preserve"> </w:t>
        </w:r>
      </w:hyperlink>
      <w:r w:rsidR="00364F1E" w:rsidRPr="00F0438C">
        <w:rPr>
          <w:rFonts w:ascii="Times New Roman" w:hAnsi="Times New Roman" w:cs="Times New Roman"/>
          <w:sz w:val="24"/>
          <w:szCs w:val="24"/>
        </w:rPr>
        <w:t xml:space="preserve">Choreomundus Erasmus Mundus Joint Master Degree </w:t>
      </w:r>
    </w:p>
    <w:p w14:paraId="42DFD6C4" w14:textId="19AC2E69" w:rsidR="001C1F18" w:rsidRPr="00F0438C" w:rsidRDefault="001C1F18" w:rsidP="00ED5887">
      <w:pPr>
        <w:numPr>
          <w:ilvl w:val="0"/>
          <w:numId w:val="52"/>
        </w:numPr>
        <w:autoSpaceDE w:val="0"/>
        <w:autoSpaceDN w:val="0"/>
        <w:adjustRightInd w:val="0"/>
        <w:spacing w:after="0" w:line="240" w:lineRule="auto"/>
        <w:ind w:left="714" w:hanging="357"/>
        <w:rPr>
          <w:rFonts w:ascii="Times New Roman" w:hAnsi="Times New Roman" w:cs="Times New Roman"/>
          <w:kern w:val="0"/>
          <w:sz w:val="24"/>
          <w:szCs w:val="24"/>
        </w:rPr>
      </w:pPr>
      <w:hyperlink r:id="rId35" w:history="1">
        <w:r w:rsidRPr="00F0438C">
          <w:rPr>
            <w:rStyle w:val="a8"/>
            <w:rFonts w:ascii="Times New Roman" w:hAnsi="Times New Roman" w:cs="Times New Roman"/>
            <w:sz w:val="24"/>
            <w:szCs w:val="24"/>
          </w:rPr>
          <w:t>Студентська угода</w:t>
        </w:r>
      </w:hyperlink>
      <w:r w:rsidR="00364F1E" w:rsidRPr="00F0438C">
        <w:rPr>
          <w:rFonts w:ascii="Times New Roman" w:hAnsi="Times New Roman" w:cs="Times New Roman"/>
          <w:sz w:val="24"/>
          <w:szCs w:val="24"/>
        </w:rPr>
        <w:t>, SANF Erasmus Mundus Joint Master Degree</w:t>
      </w:r>
    </w:p>
    <w:p w14:paraId="7D3B7028" w14:textId="32001853" w:rsidR="001C1F18" w:rsidRPr="00F0438C" w:rsidRDefault="001C1F18" w:rsidP="00F043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0438C">
        <w:rPr>
          <w:rFonts w:ascii="Times New Roman" w:hAnsi="Times New Roman" w:cs="Times New Roman"/>
          <w:kern w:val="0"/>
          <w:sz w:val="24"/>
          <w:szCs w:val="24"/>
        </w:rPr>
        <w:t>Спільне присудження ступеня і, зокрема, видача одного диплома (і додатка до диплома) залишаються основними викликами для спільних програм. Це значною мірою пов</w:t>
      </w:r>
      <w:r w:rsidR="00D56017" w:rsidRPr="00F0438C">
        <w:rPr>
          <w:rFonts w:ascii="Times New Roman" w:hAnsi="Times New Roman" w:cs="Times New Roman"/>
          <w:kern w:val="0"/>
          <w:sz w:val="24"/>
          <w:szCs w:val="24"/>
        </w:rPr>
        <w:t>’</w:t>
      </w:r>
      <w:r w:rsidRPr="00F0438C">
        <w:rPr>
          <w:rFonts w:ascii="Times New Roman" w:hAnsi="Times New Roman" w:cs="Times New Roman"/>
          <w:kern w:val="0"/>
          <w:sz w:val="24"/>
          <w:szCs w:val="24"/>
        </w:rPr>
        <w:t>язано з відмінностями в національних законодавствах. Основна рекомендація полягає в тому, щоб повністю о</w:t>
      </w:r>
      <w:r w:rsidR="00B5429E" w:rsidRPr="00F0438C">
        <w:rPr>
          <w:rFonts w:ascii="Times New Roman" w:hAnsi="Times New Roman" w:cs="Times New Roman"/>
          <w:kern w:val="0"/>
          <w:sz w:val="24"/>
          <w:szCs w:val="24"/>
        </w:rPr>
        <w:t>знайомитись і</w:t>
      </w:r>
      <w:r w:rsidRPr="00F0438C">
        <w:rPr>
          <w:rFonts w:ascii="Times New Roman" w:hAnsi="Times New Roman" w:cs="Times New Roman"/>
          <w:kern w:val="0"/>
          <w:sz w:val="24"/>
          <w:szCs w:val="24"/>
        </w:rPr>
        <w:t xml:space="preserve">з національним законодавством з цього питання і консультуватися з національними </w:t>
      </w:r>
      <w:hyperlink r:id="rId36" w:history="1">
        <w:r w:rsidRPr="00F0438C">
          <w:rPr>
            <w:rStyle w:val="a8"/>
            <w:rFonts w:ascii="Times New Roman" w:hAnsi="Times New Roman" w:cs="Times New Roman"/>
            <w:sz w:val="24"/>
            <w:szCs w:val="24"/>
          </w:rPr>
          <w:t>офісами ENIC-NARIC</w:t>
        </w:r>
      </w:hyperlink>
      <w:r w:rsidR="00D56017" w:rsidRPr="00F0438C">
        <w:rPr>
          <w:rFonts w:ascii="Times New Roman" w:hAnsi="Times New Roman" w:cs="Times New Roman"/>
          <w:kern w:val="0"/>
          <w:sz w:val="24"/>
          <w:szCs w:val="24"/>
        </w:rPr>
        <w:t xml:space="preserve">. Крім того, національні міністерства освіти </w:t>
      </w:r>
      <w:r w:rsidRPr="00F0438C">
        <w:rPr>
          <w:rFonts w:ascii="Times New Roman" w:hAnsi="Times New Roman" w:cs="Times New Roman"/>
          <w:kern w:val="0"/>
          <w:sz w:val="24"/>
          <w:szCs w:val="24"/>
        </w:rPr>
        <w:t xml:space="preserve">або національні організації </w:t>
      </w:r>
      <w:r w:rsidR="00F600B6">
        <w:rPr>
          <w:rFonts w:ascii="Times New Roman" w:hAnsi="Times New Roman" w:cs="Times New Roman"/>
          <w:kern w:val="0"/>
          <w:sz w:val="24"/>
          <w:szCs w:val="24"/>
        </w:rPr>
        <w:t xml:space="preserve">у вищій освіті </w:t>
      </w:r>
      <w:r w:rsidRPr="00F0438C">
        <w:rPr>
          <w:rFonts w:ascii="Times New Roman" w:hAnsi="Times New Roman" w:cs="Times New Roman"/>
          <w:kern w:val="0"/>
          <w:sz w:val="24"/>
          <w:szCs w:val="24"/>
        </w:rPr>
        <w:t>також можуть надати інформацію з технічних питань, пов</w:t>
      </w:r>
      <w:r w:rsidR="00B5429E" w:rsidRPr="00F0438C">
        <w:rPr>
          <w:rFonts w:ascii="Times New Roman" w:hAnsi="Times New Roman" w:cs="Times New Roman"/>
          <w:kern w:val="0"/>
          <w:sz w:val="24"/>
          <w:szCs w:val="24"/>
        </w:rPr>
        <w:t>’</w:t>
      </w:r>
      <w:r w:rsidRPr="00F0438C">
        <w:rPr>
          <w:rFonts w:ascii="Times New Roman" w:hAnsi="Times New Roman" w:cs="Times New Roman"/>
          <w:kern w:val="0"/>
          <w:sz w:val="24"/>
          <w:szCs w:val="24"/>
        </w:rPr>
        <w:t xml:space="preserve">язаних з оформленням і видачею спільного диплома та додатка до диплома. </w:t>
      </w:r>
    </w:p>
    <w:p w14:paraId="2B05C079" w14:textId="5D5CF1F8" w:rsidR="001C1F18" w:rsidRPr="0090537C" w:rsidRDefault="001C1F18" w:rsidP="00F0438C">
      <w:pPr>
        <w:pStyle w:val="2"/>
        <w:spacing w:before="100" w:beforeAutospacing="1" w:after="100" w:afterAutospacing="1" w:line="240" w:lineRule="auto"/>
        <w:rPr>
          <w:rFonts w:ascii="Times New Roman" w:hAnsi="Times New Roman" w:cs="Times New Roman"/>
          <w:b/>
          <w:bCs/>
          <w:sz w:val="24"/>
          <w:szCs w:val="24"/>
        </w:rPr>
      </w:pPr>
      <w:bookmarkStart w:id="23" w:name="_Toc188337431"/>
      <w:r w:rsidRPr="0090537C">
        <w:rPr>
          <w:rFonts w:ascii="Times New Roman" w:hAnsi="Times New Roman" w:cs="Times New Roman"/>
          <w:b/>
          <w:bCs/>
          <w:sz w:val="24"/>
          <w:szCs w:val="24"/>
        </w:rPr>
        <w:t>8.</w:t>
      </w:r>
      <w:r w:rsidR="0090537C" w:rsidRPr="0090537C">
        <w:rPr>
          <w:rFonts w:ascii="Times New Roman" w:hAnsi="Times New Roman" w:cs="Times New Roman"/>
          <w:b/>
          <w:bCs/>
          <w:sz w:val="24"/>
          <w:szCs w:val="24"/>
        </w:rPr>
        <w:t>3</w:t>
      </w:r>
      <w:r w:rsidRPr="0090537C">
        <w:rPr>
          <w:rFonts w:ascii="Times New Roman" w:hAnsi="Times New Roman" w:cs="Times New Roman"/>
          <w:b/>
          <w:bCs/>
          <w:sz w:val="24"/>
          <w:szCs w:val="24"/>
        </w:rPr>
        <w:t>.</w:t>
      </w:r>
      <w:r w:rsidR="00DD313D" w:rsidRPr="0090537C">
        <w:rPr>
          <w:rFonts w:ascii="Times New Roman" w:hAnsi="Times New Roman" w:cs="Times New Roman"/>
          <w:b/>
          <w:bCs/>
          <w:sz w:val="24"/>
          <w:szCs w:val="24"/>
        </w:rPr>
        <w:t xml:space="preserve"> </w:t>
      </w:r>
      <w:r w:rsidRPr="0090537C">
        <w:rPr>
          <w:rFonts w:ascii="Times New Roman" w:hAnsi="Times New Roman" w:cs="Times New Roman"/>
          <w:b/>
          <w:bCs/>
          <w:sz w:val="24"/>
          <w:szCs w:val="24"/>
        </w:rPr>
        <w:t>Оцінювання та оцін</w:t>
      </w:r>
      <w:r w:rsidR="00B5429E" w:rsidRPr="0090537C">
        <w:rPr>
          <w:rFonts w:ascii="Times New Roman" w:hAnsi="Times New Roman" w:cs="Times New Roman"/>
          <w:b/>
          <w:bCs/>
          <w:sz w:val="24"/>
          <w:szCs w:val="24"/>
        </w:rPr>
        <w:t>ки</w:t>
      </w:r>
      <w:bookmarkEnd w:id="23"/>
    </w:p>
    <w:p w14:paraId="3CBBA147" w14:textId="5AF84A64" w:rsidR="001C1F18" w:rsidRPr="00F0438C" w:rsidRDefault="001C1F18" w:rsidP="00F043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0438C">
        <w:rPr>
          <w:rFonts w:ascii="Times New Roman" w:hAnsi="Times New Roman" w:cs="Times New Roman"/>
          <w:kern w:val="0"/>
          <w:sz w:val="24"/>
          <w:szCs w:val="24"/>
        </w:rPr>
        <w:t>Заклади-</w:t>
      </w:r>
      <w:r w:rsidR="00A517B7">
        <w:rPr>
          <w:rFonts w:ascii="Times New Roman" w:hAnsi="Times New Roman" w:cs="Times New Roman"/>
          <w:kern w:val="0"/>
          <w:sz w:val="24"/>
          <w:szCs w:val="24"/>
        </w:rPr>
        <w:t>партнери</w:t>
      </w:r>
      <w:r w:rsidRPr="00F0438C">
        <w:rPr>
          <w:rFonts w:ascii="Times New Roman" w:hAnsi="Times New Roman" w:cs="Times New Roman"/>
          <w:kern w:val="0"/>
          <w:sz w:val="24"/>
          <w:szCs w:val="24"/>
        </w:rPr>
        <w:t xml:space="preserve"> повинні мати чітку та спільну політику щодо оцінювання та </w:t>
      </w:r>
      <w:r w:rsidR="00B5429E" w:rsidRPr="00F0438C">
        <w:rPr>
          <w:rFonts w:ascii="Times New Roman" w:hAnsi="Times New Roman" w:cs="Times New Roman"/>
          <w:kern w:val="0"/>
          <w:sz w:val="24"/>
          <w:szCs w:val="24"/>
        </w:rPr>
        <w:t>розрахунку</w:t>
      </w:r>
      <w:r w:rsidRPr="00F0438C">
        <w:rPr>
          <w:rFonts w:ascii="Times New Roman" w:hAnsi="Times New Roman" w:cs="Times New Roman"/>
          <w:kern w:val="0"/>
          <w:sz w:val="24"/>
          <w:szCs w:val="24"/>
        </w:rPr>
        <w:t xml:space="preserve"> оцінок. У цій політиці має бути зазначено, на чому ґрунтується система вимог до завершення навчання, наприклад, на </w:t>
      </w:r>
      <w:r w:rsidR="00C71CE0" w:rsidRPr="00F0438C">
        <w:rPr>
          <w:rFonts w:ascii="Times New Roman" w:hAnsi="Times New Roman" w:cs="Times New Roman"/>
          <w:kern w:val="0"/>
          <w:sz w:val="24"/>
          <w:szCs w:val="24"/>
        </w:rPr>
        <w:t xml:space="preserve">необхідних результатах навчання </w:t>
      </w:r>
      <w:r w:rsidR="00C71CE0">
        <w:rPr>
          <w:rFonts w:ascii="Times New Roman" w:hAnsi="Times New Roman" w:cs="Times New Roman"/>
          <w:kern w:val="0"/>
          <w:sz w:val="24"/>
          <w:szCs w:val="24"/>
        </w:rPr>
        <w:t xml:space="preserve">та відповідній </w:t>
      </w:r>
      <w:r w:rsidRPr="00F0438C">
        <w:rPr>
          <w:rFonts w:ascii="Times New Roman" w:hAnsi="Times New Roman" w:cs="Times New Roman"/>
          <w:kern w:val="0"/>
          <w:sz w:val="24"/>
          <w:szCs w:val="24"/>
        </w:rPr>
        <w:t xml:space="preserve">кількості кредитів </w:t>
      </w:r>
      <w:r w:rsidR="00C71CE0">
        <w:rPr>
          <w:rFonts w:ascii="Times New Roman" w:hAnsi="Times New Roman" w:cs="Times New Roman"/>
          <w:kern w:val="0"/>
          <w:sz w:val="24"/>
          <w:szCs w:val="24"/>
        </w:rPr>
        <w:t>ЄКТС за навчальною дисципліною/модулем</w:t>
      </w:r>
      <w:r w:rsidRPr="00F0438C">
        <w:rPr>
          <w:rFonts w:ascii="Times New Roman" w:hAnsi="Times New Roman" w:cs="Times New Roman"/>
          <w:kern w:val="0"/>
          <w:sz w:val="24"/>
          <w:szCs w:val="24"/>
        </w:rPr>
        <w:t xml:space="preserve">, </w:t>
      </w:r>
      <w:r w:rsidR="00C71CE0">
        <w:rPr>
          <w:rFonts w:ascii="Times New Roman" w:hAnsi="Times New Roman" w:cs="Times New Roman"/>
          <w:kern w:val="0"/>
          <w:sz w:val="24"/>
          <w:szCs w:val="24"/>
        </w:rPr>
        <w:t xml:space="preserve">що визначають </w:t>
      </w:r>
      <w:r w:rsidRPr="00F0438C">
        <w:rPr>
          <w:rFonts w:ascii="Times New Roman" w:hAnsi="Times New Roman" w:cs="Times New Roman"/>
          <w:kern w:val="0"/>
          <w:sz w:val="24"/>
          <w:szCs w:val="24"/>
        </w:rPr>
        <w:t>навчальн</w:t>
      </w:r>
      <w:r w:rsidR="00C71CE0">
        <w:rPr>
          <w:rFonts w:ascii="Times New Roman" w:hAnsi="Times New Roman" w:cs="Times New Roman"/>
          <w:kern w:val="0"/>
          <w:sz w:val="24"/>
          <w:szCs w:val="24"/>
        </w:rPr>
        <w:t>е</w:t>
      </w:r>
      <w:r w:rsidRPr="00F0438C">
        <w:rPr>
          <w:rFonts w:ascii="Times New Roman" w:hAnsi="Times New Roman" w:cs="Times New Roman"/>
          <w:kern w:val="0"/>
          <w:sz w:val="24"/>
          <w:szCs w:val="24"/>
        </w:rPr>
        <w:t xml:space="preserve"> навантаженн</w:t>
      </w:r>
      <w:r w:rsidR="00C71CE0">
        <w:rPr>
          <w:rFonts w:ascii="Times New Roman" w:hAnsi="Times New Roman" w:cs="Times New Roman"/>
          <w:kern w:val="0"/>
          <w:sz w:val="24"/>
          <w:szCs w:val="24"/>
        </w:rPr>
        <w:t>я</w:t>
      </w:r>
      <w:r w:rsidRPr="00F0438C">
        <w:rPr>
          <w:rFonts w:ascii="Times New Roman" w:hAnsi="Times New Roman" w:cs="Times New Roman"/>
          <w:kern w:val="0"/>
          <w:sz w:val="24"/>
          <w:szCs w:val="24"/>
        </w:rPr>
        <w:t xml:space="preserve"> студента. Рекомендується розробити таблицю переведення оцінок.</w:t>
      </w:r>
    </w:p>
    <w:p w14:paraId="56A7FC61" w14:textId="3B70EB37" w:rsidR="001C1F18" w:rsidRPr="00F43628" w:rsidRDefault="001C1F18" w:rsidP="00F0438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0438C">
        <w:rPr>
          <w:rFonts w:ascii="Times New Roman" w:hAnsi="Times New Roman" w:cs="Times New Roman"/>
          <w:kern w:val="0"/>
          <w:sz w:val="24"/>
          <w:szCs w:val="24"/>
        </w:rPr>
        <w:t xml:space="preserve">Одним із прикладів переведення оцінок є таблиця, розроблена </w:t>
      </w:r>
      <w:r w:rsidR="00C71CE0" w:rsidRPr="00F0438C">
        <w:rPr>
          <w:rFonts w:ascii="Times New Roman" w:hAnsi="Times New Roman" w:cs="Times New Roman"/>
          <w:kern w:val="0"/>
          <w:sz w:val="24"/>
          <w:szCs w:val="24"/>
        </w:rPr>
        <w:t xml:space="preserve">спільною </w:t>
      </w:r>
      <w:r w:rsidRPr="00F0438C">
        <w:rPr>
          <w:rFonts w:ascii="Times New Roman" w:hAnsi="Times New Roman" w:cs="Times New Roman"/>
          <w:kern w:val="0"/>
          <w:sz w:val="24"/>
          <w:szCs w:val="24"/>
        </w:rPr>
        <w:t xml:space="preserve">магістерською програмою Erasmus Mundus з безпеки та мобільних обчислень (NordSecMob), яку </w:t>
      </w:r>
      <w:r w:rsidR="00B5429E" w:rsidRPr="00F0438C">
        <w:rPr>
          <w:rFonts w:ascii="Times New Roman" w:hAnsi="Times New Roman" w:cs="Times New Roman"/>
          <w:kern w:val="0"/>
          <w:sz w:val="24"/>
          <w:szCs w:val="24"/>
        </w:rPr>
        <w:t>нада</w:t>
      </w:r>
      <w:r w:rsidR="00C71CE0">
        <w:rPr>
          <w:rFonts w:ascii="Times New Roman" w:hAnsi="Times New Roman" w:cs="Times New Roman"/>
          <w:kern w:val="0"/>
          <w:sz w:val="24"/>
          <w:szCs w:val="24"/>
        </w:rPr>
        <w:t>вали</w:t>
      </w:r>
      <w:r w:rsidRPr="00F0438C">
        <w:rPr>
          <w:rFonts w:ascii="Times New Roman" w:hAnsi="Times New Roman" w:cs="Times New Roman"/>
          <w:kern w:val="0"/>
          <w:sz w:val="24"/>
          <w:szCs w:val="24"/>
        </w:rPr>
        <w:t xml:space="preserve"> п</w:t>
      </w:r>
      <w:r w:rsidR="00B5429E" w:rsidRPr="00F0438C">
        <w:rPr>
          <w:rFonts w:ascii="Times New Roman" w:hAnsi="Times New Roman" w:cs="Times New Roman"/>
          <w:kern w:val="0"/>
          <w:sz w:val="24"/>
          <w:szCs w:val="24"/>
        </w:rPr>
        <w:t>’</w:t>
      </w:r>
      <w:r w:rsidRPr="00F0438C">
        <w:rPr>
          <w:rFonts w:ascii="Times New Roman" w:hAnsi="Times New Roman" w:cs="Times New Roman"/>
          <w:kern w:val="0"/>
          <w:sz w:val="24"/>
          <w:szCs w:val="24"/>
        </w:rPr>
        <w:t xml:space="preserve">ять університетів Північної Європи. </w:t>
      </w:r>
      <w:r w:rsidR="00C71CE0">
        <w:rPr>
          <w:rFonts w:ascii="Times New Roman" w:hAnsi="Times New Roman" w:cs="Times New Roman"/>
          <w:kern w:val="0"/>
          <w:sz w:val="24"/>
          <w:szCs w:val="24"/>
        </w:rPr>
        <w:t>Ц</w:t>
      </w:r>
      <w:r w:rsidRPr="00F0438C">
        <w:rPr>
          <w:rFonts w:ascii="Times New Roman" w:hAnsi="Times New Roman" w:cs="Times New Roman"/>
          <w:kern w:val="0"/>
          <w:sz w:val="24"/>
          <w:szCs w:val="24"/>
        </w:rPr>
        <w:t>е приклад моделі переведення оцінок, яка працю</w:t>
      </w:r>
      <w:r w:rsidR="00C71CE0">
        <w:rPr>
          <w:rFonts w:ascii="Times New Roman" w:hAnsi="Times New Roman" w:cs="Times New Roman"/>
          <w:kern w:val="0"/>
          <w:sz w:val="24"/>
          <w:szCs w:val="24"/>
        </w:rPr>
        <w:t xml:space="preserve">вала </w:t>
      </w:r>
      <w:r w:rsidRPr="00F0438C">
        <w:rPr>
          <w:rFonts w:ascii="Times New Roman" w:hAnsi="Times New Roman" w:cs="Times New Roman"/>
          <w:kern w:val="0"/>
          <w:sz w:val="24"/>
          <w:szCs w:val="24"/>
        </w:rPr>
        <w:t>для цієї конкретної магістерської програми</w:t>
      </w:r>
      <w:r w:rsidR="00C71CE0">
        <w:rPr>
          <w:rFonts w:ascii="Times New Roman" w:hAnsi="Times New Roman" w:cs="Times New Roman"/>
          <w:kern w:val="0"/>
          <w:sz w:val="24"/>
          <w:szCs w:val="24"/>
        </w:rPr>
        <w:t>, але</w:t>
      </w:r>
      <w:r w:rsidRPr="00F0438C">
        <w:rPr>
          <w:rFonts w:ascii="Times New Roman" w:hAnsi="Times New Roman" w:cs="Times New Roman"/>
          <w:kern w:val="0"/>
          <w:sz w:val="24"/>
          <w:szCs w:val="24"/>
        </w:rPr>
        <w:t xml:space="preserve"> кожен консорціум спільн</w:t>
      </w:r>
      <w:r w:rsidR="00C71CE0">
        <w:rPr>
          <w:rFonts w:ascii="Times New Roman" w:hAnsi="Times New Roman" w:cs="Times New Roman"/>
          <w:kern w:val="0"/>
          <w:sz w:val="24"/>
          <w:szCs w:val="24"/>
        </w:rPr>
        <w:t>ої</w:t>
      </w:r>
      <w:r w:rsidRPr="00F0438C">
        <w:rPr>
          <w:rFonts w:ascii="Times New Roman" w:hAnsi="Times New Roman" w:cs="Times New Roman"/>
          <w:kern w:val="0"/>
          <w:sz w:val="24"/>
          <w:szCs w:val="24"/>
        </w:rPr>
        <w:t xml:space="preserve"> програм</w:t>
      </w:r>
      <w:r w:rsidR="00C71CE0">
        <w:rPr>
          <w:rFonts w:ascii="Times New Roman" w:hAnsi="Times New Roman" w:cs="Times New Roman"/>
          <w:kern w:val="0"/>
          <w:sz w:val="24"/>
          <w:szCs w:val="24"/>
        </w:rPr>
        <w:t>и</w:t>
      </w:r>
      <w:r w:rsidRPr="00F0438C">
        <w:rPr>
          <w:rFonts w:ascii="Times New Roman" w:hAnsi="Times New Roman" w:cs="Times New Roman"/>
          <w:kern w:val="0"/>
          <w:sz w:val="24"/>
          <w:szCs w:val="24"/>
        </w:rPr>
        <w:t xml:space="preserve"> повинен розробити свою власну</w:t>
      </w:r>
      <w:r w:rsidRPr="00F43628">
        <w:rPr>
          <w:rFonts w:ascii="Times New Roman" w:hAnsi="Times New Roman" w:cs="Times New Roman"/>
          <w:kern w:val="0"/>
          <w:sz w:val="24"/>
          <w:szCs w:val="24"/>
        </w:rPr>
        <w:t xml:space="preserve"> модель переведення оцінок.</w:t>
      </w:r>
    </w:p>
    <w:p w14:paraId="1FFA025B" w14:textId="5DDC002A" w:rsidR="00087646" w:rsidRDefault="00873B42" w:rsidP="00F1650F">
      <w:pPr>
        <w:autoSpaceDE w:val="0"/>
        <w:autoSpaceDN w:val="0"/>
        <w:adjustRightInd w:val="0"/>
        <w:spacing w:after="0" w:line="240" w:lineRule="auto"/>
        <w:jc w:val="center"/>
        <w:rPr>
          <w:rFonts w:ascii="Times New Roman" w:hAnsi="Times New Roman" w:cs="Times New Roman"/>
          <w:b/>
          <w:bCs/>
          <w:color w:val="365F91" w:themeColor="accent1" w:themeShade="BF"/>
          <w:kern w:val="0"/>
          <w:sz w:val="24"/>
          <w:szCs w:val="24"/>
        </w:rPr>
      </w:pPr>
      <w:r w:rsidRPr="00F43628">
        <w:rPr>
          <w:rFonts w:ascii="Times New Roman" w:hAnsi="Times New Roman" w:cs="Times New Roman"/>
          <w:noProof/>
          <w:sz w:val="24"/>
          <w:szCs w:val="24"/>
        </w:rPr>
        <w:lastRenderedPageBreak/>
        <mc:AlternateContent>
          <mc:Choice Requires="wps">
            <w:drawing>
              <wp:anchor distT="45720" distB="45720" distL="114300" distR="114300" simplePos="0" relativeHeight="251658240" behindDoc="0" locked="0" layoutInCell="1" allowOverlap="1" wp14:anchorId="30A1AE5B" wp14:editId="6B410812">
                <wp:simplePos x="0" y="0"/>
                <wp:positionH relativeFrom="column">
                  <wp:align>center</wp:align>
                </wp:positionH>
                <wp:positionV relativeFrom="paragraph">
                  <wp:posOffset>600075</wp:posOffset>
                </wp:positionV>
                <wp:extent cx="6279515" cy="633730"/>
                <wp:effectExtent l="0" t="0" r="0" b="0"/>
                <wp:wrapSquare wrapText="bothSides"/>
                <wp:docPr id="259118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633730"/>
                        </a:xfrm>
                        <a:prstGeom prst="rect">
                          <a:avLst/>
                        </a:prstGeom>
                        <a:solidFill>
                          <a:srgbClr val="FFFFFF"/>
                        </a:solidFill>
                        <a:ln w="9525">
                          <a:solidFill>
                            <a:srgbClr val="000000"/>
                          </a:solidFill>
                          <a:miter lim="800000"/>
                          <a:headEnd/>
                          <a:tailEnd/>
                        </a:ln>
                      </wps:spPr>
                      <wps:txbx>
                        <w:txbxContent>
                          <w:p w14:paraId="1BF227EC" w14:textId="25DE977C"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1</w:t>
                            </w:r>
                            <w:r w:rsidRPr="00157DE7">
                              <w:rPr>
                                <w:rFonts w:ascii="Times New Roman" w:hAnsi="Times New Roman" w:cs="Times New Roman"/>
                                <w:kern w:val="0"/>
                              </w:rPr>
                              <w:t xml:space="preserve"> використовує систему</w:t>
                            </w:r>
                            <w:r w:rsidR="00C92948">
                              <w:rPr>
                                <w:rFonts w:ascii="Times New Roman" w:hAnsi="Times New Roman" w:cs="Times New Roman"/>
                                <w:kern w:val="0"/>
                              </w:rPr>
                              <w:t xml:space="preserve"> ЄКТС</w:t>
                            </w:r>
                            <w:r w:rsidRPr="00157DE7">
                              <w:rPr>
                                <w:rFonts w:ascii="Times New Roman" w:hAnsi="Times New Roman" w:cs="Times New Roman"/>
                                <w:kern w:val="0"/>
                              </w:rPr>
                              <w:t>. Шкала оцінювання - від 1 до 5. Використову</w:t>
                            </w:r>
                            <w:r w:rsidR="00C92948">
                              <w:rPr>
                                <w:rFonts w:ascii="Times New Roman" w:hAnsi="Times New Roman" w:cs="Times New Roman"/>
                                <w:kern w:val="0"/>
                              </w:rPr>
                              <w:t>є</w:t>
                            </w:r>
                            <w:r w:rsidRPr="00157DE7">
                              <w:rPr>
                                <w:rFonts w:ascii="Times New Roman" w:hAnsi="Times New Roman" w:cs="Times New Roman"/>
                                <w:kern w:val="0"/>
                              </w:rPr>
                              <w:t xml:space="preserve">ться також </w:t>
                            </w:r>
                            <w:r w:rsidR="00C92948" w:rsidRPr="00157DE7">
                              <w:rPr>
                                <w:rFonts w:ascii="Times New Roman" w:hAnsi="Times New Roman" w:cs="Times New Roman"/>
                                <w:kern w:val="0"/>
                              </w:rPr>
                              <w:t>систем</w:t>
                            </w:r>
                            <w:r w:rsidR="00C92948">
                              <w:rPr>
                                <w:rFonts w:ascii="Times New Roman" w:hAnsi="Times New Roman" w:cs="Times New Roman"/>
                                <w:kern w:val="0"/>
                              </w:rPr>
                              <w:t>а</w:t>
                            </w:r>
                            <w:r w:rsidR="00C92948" w:rsidRPr="00157DE7">
                              <w:rPr>
                                <w:rFonts w:ascii="Times New Roman" w:hAnsi="Times New Roman" w:cs="Times New Roman"/>
                                <w:kern w:val="0"/>
                              </w:rPr>
                              <w:t xml:space="preserve"> оцінювання </w:t>
                            </w:r>
                            <w:r w:rsidRPr="00157DE7">
                              <w:rPr>
                                <w:rFonts w:ascii="Times New Roman" w:hAnsi="Times New Roman" w:cs="Times New Roman"/>
                                <w:kern w:val="0"/>
                              </w:rPr>
                              <w:t>«</w:t>
                            </w:r>
                            <w:r w:rsidR="00C92948" w:rsidRPr="00157DE7">
                              <w:rPr>
                                <w:rFonts w:ascii="Times New Roman" w:hAnsi="Times New Roman" w:cs="Times New Roman"/>
                                <w:kern w:val="0"/>
                              </w:rPr>
                              <w:t>Зараховано/Незараховано</w:t>
                            </w:r>
                            <w:r w:rsidRPr="00157DE7">
                              <w:rPr>
                                <w:rFonts w:ascii="Times New Roman" w:hAnsi="Times New Roman" w:cs="Times New Roman"/>
                                <w:kern w:val="0"/>
                              </w:rPr>
                              <w:t>».</w:t>
                            </w:r>
                          </w:p>
                          <w:p w14:paraId="33F23D8F" w14:textId="4ACC515A"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2</w:t>
                            </w:r>
                            <w:r w:rsidRPr="00157DE7">
                              <w:rPr>
                                <w:rFonts w:ascii="Times New Roman" w:hAnsi="Times New Roman" w:cs="Times New Roman"/>
                                <w:kern w:val="0"/>
                              </w:rPr>
                              <w:t xml:space="preserve"> використовує кредити вищої освіти, де 1 кредит дорівнює 1 кредиту ЄКТС. Шкала оцінювання: A – відмінно, B – дуже добре, C – добре, D – задовільно, E – достатньо, F - незадовільно.</w:t>
                            </w:r>
                          </w:p>
                          <w:p w14:paraId="6F3072F5" w14:textId="585BB016"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3</w:t>
                            </w:r>
                            <w:r w:rsidRPr="00157DE7">
                              <w:rPr>
                                <w:rFonts w:ascii="Times New Roman" w:hAnsi="Times New Roman" w:cs="Times New Roman"/>
                                <w:kern w:val="0"/>
                              </w:rPr>
                              <w:t xml:space="preserve"> використовує літерну систему оцінювання. Оцінки виставляються за шкалою A-F (A – найкраще, F – незадовільно). Університет також використовує</w:t>
                            </w:r>
                            <w:r w:rsidR="00C92948" w:rsidRPr="00C92948">
                              <w:rPr>
                                <w:rFonts w:ascii="Times New Roman" w:hAnsi="Times New Roman" w:cs="Times New Roman"/>
                                <w:kern w:val="0"/>
                              </w:rPr>
                              <w:t xml:space="preserve"> </w:t>
                            </w:r>
                            <w:r w:rsidR="00C92948" w:rsidRPr="00157DE7">
                              <w:rPr>
                                <w:rFonts w:ascii="Times New Roman" w:hAnsi="Times New Roman" w:cs="Times New Roman"/>
                                <w:kern w:val="0"/>
                              </w:rPr>
                              <w:t xml:space="preserve">систему оцінювання </w:t>
                            </w:r>
                            <w:r w:rsidR="00C92948">
                              <w:rPr>
                                <w:rFonts w:ascii="Times New Roman" w:hAnsi="Times New Roman" w:cs="Times New Roman"/>
                                <w:kern w:val="0"/>
                              </w:rPr>
                              <w:t>«</w:t>
                            </w:r>
                            <w:r w:rsidR="00C92948" w:rsidRPr="00157DE7">
                              <w:rPr>
                                <w:rFonts w:ascii="Times New Roman" w:hAnsi="Times New Roman" w:cs="Times New Roman"/>
                                <w:kern w:val="0"/>
                              </w:rPr>
                              <w:t>Зараховано/Незараховано</w:t>
                            </w:r>
                            <w:r w:rsidR="00C92948">
                              <w:rPr>
                                <w:rFonts w:ascii="Times New Roman" w:hAnsi="Times New Roman" w:cs="Times New Roman"/>
                                <w:kern w:val="0"/>
                              </w:rPr>
                              <w:t>»</w:t>
                            </w:r>
                            <w:r w:rsidR="00C92948" w:rsidRPr="00157DE7">
                              <w:rPr>
                                <w:rFonts w:ascii="Times New Roman" w:hAnsi="Times New Roman" w:cs="Times New Roman"/>
                                <w:kern w:val="0"/>
                              </w:rPr>
                              <w:t>.</w:t>
                            </w:r>
                          </w:p>
                          <w:p w14:paraId="30B7234E" w14:textId="38B44430"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4</w:t>
                            </w:r>
                            <w:r w:rsidRPr="00157DE7">
                              <w:rPr>
                                <w:rFonts w:ascii="Times New Roman" w:hAnsi="Times New Roman" w:cs="Times New Roman"/>
                                <w:kern w:val="0"/>
                              </w:rPr>
                              <w:t xml:space="preserve"> використовує 7-бальну шкалу. Університет також використовує </w:t>
                            </w:r>
                            <w:r w:rsidR="00CE6187" w:rsidRPr="00157DE7">
                              <w:rPr>
                                <w:rFonts w:ascii="Times New Roman" w:hAnsi="Times New Roman" w:cs="Times New Roman"/>
                                <w:kern w:val="0"/>
                              </w:rPr>
                              <w:t xml:space="preserve">систему оцінювання </w:t>
                            </w:r>
                            <w:r w:rsidR="00CE6187">
                              <w:rPr>
                                <w:rFonts w:ascii="Times New Roman" w:hAnsi="Times New Roman" w:cs="Times New Roman"/>
                                <w:kern w:val="0"/>
                              </w:rPr>
                              <w:t>«</w:t>
                            </w:r>
                            <w:r w:rsidR="00CE6187" w:rsidRPr="00157DE7">
                              <w:rPr>
                                <w:rFonts w:ascii="Times New Roman" w:hAnsi="Times New Roman" w:cs="Times New Roman"/>
                                <w:kern w:val="0"/>
                              </w:rPr>
                              <w:t>Зараховано/Незараховано</w:t>
                            </w:r>
                            <w:r w:rsidR="00CE6187">
                              <w:rPr>
                                <w:rFonts w:ascii="Times New Roman" w:hAnsi="Times New Roman" w:cs="Times New Roman"/>
                                <w:kern w:val="0"/>
                              </w:rPr>
                              <w:t>»</w:t>
                            </w:r>
                            <w:r w:rsidR="00CE6187" w:rsidRPr="00157DE7">
                              <w:rPr>
                                <w:rFonts w:ascii="Times New Roman" w:hAnsi="Times New Roman" w:cs="Times New Roman"/>
                                <w:kern w:val="0"/>
                              </w:rPr>
                              <w:t>.</w:t>
                            </w:r>
                          </w:p>
                          <w:p w14:paraId="7CD23C60" w14:textId="1556BE0C"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5</w:t>
                            </w:r>
                            <w:r w:rsidRPr="00157DE7">
                              <w:rPr>
                                <w:rFonts w:ascii="Times New Roman" w:hAnsi="Times New Roman" w:cs="Times New Roman"/>
                                <w:kern w:val="0"/>
                              </w:rPr>
                              <w:t xml:space="preserve"> використовує кредитну систему </w:t>
                            </w:r>
                            <w:r w:rsidR="00F1650F">
                              <w:rPr>
                                <w:rFonts w:ascii="Times New Roman" w:hAnsi="Times New Roman" w:cs="Times New Roman"/>
                                <w:kern w:val="0"/>
                              </w:rPr>
                              <w:t>ЄКТС</w:t>
                            </w:r>
                            <w:r w:rsidRPr="00157DE7">
                              <w:rPr>
                                <w:rFonts w:ascii="Times New Roman" w:hAnsi="Times New Roman" w:cs="Times New Roman"/>
                                <w:kern w:val="0"/>
                              </w:rPr>
                              <w:t xml:space="preserve"> та літерну систему оцінювання за шкалою від A-F. Університет також використовує систему оцінювання </w:t>
                            </w:r>
                            <w:r w:rsidR="00F1650F">
                              <w:rPr>
                                <w:rFonts w:ascii="Times New Roman" w:hAnsi="Times New Roman" w:cs="Times New Roman"/>
                                <w:kern w:val="0"/>
                              </w:rPr>
                              <w:t>«</w:t>
                            </w:r>
                            <w:r w:rsidRPr="00157DE7">
                              <w:rPr>
                                <w:rFonts w:ascii="Times New Roman" w:hAnsi="Times New Roman" w:cs="Times New Roman"/>
                                <w:kern w:val="0"/>
                              </w:rPr>
                              <w:t>Зараховано/Незараховано</w:t>
                            </w:r>
                            <w:r w:rsidR="00F1650F">
                              <w:rPr>
                                <w:rFonts w:ascii="Times New Roman" w:hAnsi="Times New Roman" w:cs="Times New Roman"/>
                                <w:kern w:val="0"/>
                              </w:rPr>
                              <w:t>»</w:t>
                            </w:r>
                            <w:r w:rsidRPr="00157DE7">
                              <w:rPr>
                                <w:rFonts w:ascii="Times New Roman" w:hAnsi="Times New Roman" w:cs="Times New Roman"/>
                                <w:kern w:val="0"/>
                              </w:rPr>
                              <w:t>.</w:t>
                            </w:r>
                          </w:p>
                          <w:p w14:paraId="2863354C" w14:textId="483ECE5D" w:rsidR="001E0C3C" w:rsidRPr="00157DE7" w:rsidRDefault="00F1650F" w:rsidP="00D822CE">
                            <w:pPr>
                              <w:widowControl w:val="0"/>
                              <w:autoSpaceDE w:val="0"/>
                              <w:autoSpaceDN w:val="0"/>
                              <w:adjustRightInd w:val="0"/>
                              <w:spacing w:after="120" w:line="240" w:lineRule="auto"/>
                              <w:jc w:val="both"/>
                              <w:rPr>
                                <w:rFonts w:ascii="Times New Roman" w:hAnsi="Times New Roman" w:cs="Times New Roman"/>
                                <w:kern w:val="0"/>
                              </w:rPr>
                            </w:pPr>
                            <w:r>
                              <w:rPr>
                                <w:rFonts w:ascii="Times New Roman" w:hAnsi="Times New Roman" w:cs="Times New Roman"/>
                                <w:kern w:val="0"/>
                              </w:rPr>
                              <w:t>В</w:t>
                            </w:r>
                            <w:r w:rsidR="001E0C3C" w:rsidRPr="00157DE7">
                              <w:rPr>
                                <w:rFonts w:ascii="Times New Roman" w:hAnsi="Times New Roman" w:cs="Times New Roman"/>
                                <w:kern w:val="0"/>
                              </w:rPr>
                              <w:t xml:space="preserve">икористовується </w:t>
                            </w:r>
                            <w:r>
                              <w:rPr>
                                <w:rFonts w:ascii="Times New Roman" w:hAnsi="Times New Roman" w:cs="Times New Roman"/>
                                <w:kern w:val="0"/>
                              </w:rPr>
                              <w:t>така</w:t>
                            </w:r>
                            <w:r w:rsidR="001E0C3C" w:rsidRPr="00157DE7">
                              <w:rPr>
                                <w:rFonts w:ascii="Times New Roman" w:hAnsi="Times New Roman" w:cs="Times New Roman"/>
                                <w:kern w:val="0"/>
                              </w:rPr>
                              <w:t xml:space="preserve"> таблиця переведення оцінок:</w:t>
                            </w:r>
                          </w:p>
                          <w:tbl>
                            <w:tblPr>
                              <w:tblStyle w:val="-31"/>
                              <w:tblW w:w="0" w:type="auto"/>
                              <w:tblLook w:val="04A0" w:firstRow="1" w:lastRow="0" w:firstColumn="1" w:lastColumn="0" w:noHBand="0" w:noVBand="1"/>
                            </w:tblPr>
                            <w:tblGrid>
                              <w:gridCol w:w="1613"/>
                              <w:gridCol w:w="1664"/>
                              <w:gridCol w:w="1527"/>
                              <w:gridCol w:w="1582"/>
                              <w:gridCol w:w="1583"/>
                              <w:gridCol w:w="1623"/>
                            </w:tblGrid>
                            <w:tr w:rsidR="001E0C3C" w:rsidRPr="00157DE7" w14:paraId="52FD68E5" w14:textId="77777777" w:rsidTr="0021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9" w:type="dxa"/>
                                </w:tcPr>
                                <w:p w14:paraId="0100795C" w14:textId="150E4124"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p>
                              </w:tc>
                              <w:tc>
                                <w:tcPr>
                                  <w:tcW w:w="1689" w:type="dxa"/>
                                </w:tcPr>
                                <w:p w14:paraId="0A3C5C3F"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1</w:t>
                                  </w:r>
                                </w:p>
                              </w:tc>
                              <w:tc>
                                <w:tcPr>
                                  <w:tcW w:w="1543" w:type="dxa"/>
                                </w:tcPr>
                                <w:p w14:paraId="48AB9B9A"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2</w:t>
                                  </w:r>
                                </w:p>
                              </w:tc>
                              <w:tc>
                                <w:tcPr>
                                  <w:tcW w:w="1603" w:type="dxa"/>
                                </w:tcPr>
                                <w:p w14:paraId="7A7D498E"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3</w:t>
                                  </w:r>
                                </w:p>
                              </w:tc>
                              <w:tc>
                                <w:tcPr>
                                  <w:tcW w:w="1604" w:type="dxa"/>
                                </w:tcPr>
                                <w:p w14:paraId="337BD69B"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4</w:t>
                                  </w:r>
                                </w:p>
                              </w:tc>
                              <w:tc>
                                <w:tcPr>
                                  <w:tcW w:w="1647" w:type="dxa"/>
                                </w:tcPr>
                                <w:p w14:paraId="30E4C244"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5</w:t>
                                  </w:r>
                                </w:p>
                              </w:tc>
                            </w:tr>
                            <w:tr w:rsidR="001E0C3C" w:rsidRPr="00157DE7" w14:paraId="3B8AB12F"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5EADE9E3"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 xml:space="preserve">A, </w:t>
                                  </w:r>
                                  <w:r w:rsidRPr="00157DE7">
                                    <w:rPr>
                                      <w:rFonts w:ascii="Times New Roman" w:hAnsi="Times New Roman" w:cs="Times New Roman"/>
                                      <w:kern w:val="0"/>
                                      <w:sz w:val="20"/>
                                      <w:szCs w:val="20"/>
                                    </w:rPr>
                                    <w:t>кращі 10%</w:t>
                                  </w:r>
                                </w:p>
                              </w:tc>
                              <w:tc>
                                <w:tcPr>
                                  <w:tcW w:w="1689" w:type="dxa"/>
                                </w:tcPr>
                                <w:p w14:paraId="50F29B5B"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5</w:t>
                                  </w:r>
                                </w:p>
                              </w:tc>
                              <w:tc>
                                <w:tcPr>
                                  <w:tcW w:w="1543" w:type="dxa"/>
                                </w:tcPr>
                                <w:p w14:paraId="063ECF7F"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p>
                              </w:tc>
                              <w:tc>
                                <w:tcPr>
                                  <w:tcW w:w="1603" w:type="dxa"/>
                                </w:tcPr>
                                <w:p w14:paraId="32AB0205"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r w:rsidRPr="00157DE7">
                                    <w:rPr>
                                      <w:rFonts w:ascii="Times New Roman" w:hAnsi="Times New Roman" w:cs="Times New Roman"/>
                                      <w:kern w:val="0"/>
                                      <w:sz w:val="20"/>
                                      <w:szCs w:val="20"/>
                                    </w:rPr>
                                    <w:t>, 90-100</w:t>
                                  </w:r>
                                </w:p>
                              </w:tc>
                              <w:tc>
                                <w:tcPr>
                                  <w:tcW w:w="1604" w:type="dxa"/>
                                </w:tcPr>
                                <w:p w14:paraId="65794D3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12</w:t>
                                  </w:r>
                                </w:p>
                              </w:tc>
                              <w:tc>
                                <w:tcPr>
                                  <w:tcW w:w="1647" w:type="dxa"/>
                                </w:tcPr>
                                <w:p w14:paraId="7993F0D2"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r w:rsidRPr="00157DE7">
                                    <w:rPr>
                                      <w:rFonts w:ascii="Times New Roman" w:hAnsi="Times New Roman" w:cs="Times New Roman"/>
                                      <w:kern w:val="0"/>
                                      <w:sz w:val="20"/>
                                      <w:szCs w:val="20"/>
                                    </w:rPr>
                                    <w:t>відмінно</w:t>
                                  </w:r>
                                </w:p>
                              </w:tc>
                            </w:tr>
                            <w:tr w:rsidR="001E0C3C" w:rsidRPr="00157DE7" w14:paraId="717DFCF9"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52BC2C85"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r w:rsidRPr="00157DE7">
                                    <w:rPr>
                                      <w:rFonts w:ascii="Times New Roman" w:hAnsi="Times New Roman" w:cs="Times New Roman"/>
                                      <w:kern w:val="0"/>
                                      <w:sz w:val="20"/>
                                      <w:szCs w:val="20"/>
                                    </w:rPr>
                                    <w:t>, наступні 25%</w:t>
                                  </w:r>
                                </w:p>
                              </w:tc>
                              <w:tc>
                                <w:tcPr>
                                  <w:tcW w:w="1689" w:type="dxa"/>
                                </w:tcPr>
                                <w:p w14:paraId="1804B8FE"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4</w:t>
                                  </w:r>
                                </w:p>
                              </w:tc>
                              <w:tc>
                                <w:tcPr>
                                  <w:tcW w:w="1543" w:type="dxa"/>
                                </w:tcPr>
                                <w:p w14:paraId="0839B77A"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p>
                              </w:tc>
                              <w:tc>
                                <w:tcPr>
                                  <w:tcW w:w="1603" w:type="dxa"/>
                                </w:tcPr>
                                <w:p w14:paraId="29407693"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 80-89</w:t>
                                  </w:r>
                                </w:p>
                              </w:tc>
                              <w:tc>
                                <w:tcPr>
                                  <w:tcW w:w="1604" w:type="dxa"/>
                                </w:tcPr>
                                <w:p w14:paraId="2911A22C"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10</w:t>
                                  </w:r>
                                </w:p>
                              </w:tc>
                              <w:tc>
                                <w:tcPr>
                                  <w:tcW w:w="1647" w:type="dxa"/>
                                </w:tcPr>
                                <w:p w14:paraId="24873160"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r w:rsidRPr="00157DE7">
                                    <w:rPr>
                                      <w:rFonts w:ascii="Times New Roman" w:hAnsi="Times New Roman" w:cs="Times New Roman"/>
                                      <w:kern w:val="0"/>
                                      <w:sz w:val="20"/>
                                      <w:szCs w:val="20"/>
                                    </w:rPr>
                                    <w:t>-дуже добре</w:t>
                                  </w:r>
                                </w:p>
                              </w:tc>
                            </w:tr>
                            <w:tr w:rsidR="001E0C3C" w:rsidRPr="00157DE7" w14:paraId="605D9D90"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095ED924"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r w:rsidRPr="00157DE7">
                                    <w:rPr>
                                      <w:rFonts w:ascii="Times New Roman" w:hAnsi="Times New Roman" w:cs="Times New Roman"/>
                                      <w:kern w:val="0"/>
                                      <w:sz w:val="20"/>
                                      <w:szCs w:val="20"/>
                                    </w:rPr>
                                    <w:t>, наступні 30%</w:t>
                                  </w:r>
                                </w:p>
                              </w:tc>
                              <w:tc>
                                <w:tcPr>
                                  <w:tcW w:w="1689" w:type="dxa"/>
                                </w:tcPr>
                                <w:p w14:paraId="16BCF72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3</w:t>
                                  </w:r>
                                </w:p>
                              </w:tc>
                              <w:tc>
                                <w:tcPr>
                                  <w:tcW w:w="1543" w:type="dxa"/>
                                </w:tcPr>
                                <w:p w14:paraId="6A6221B4"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p>
                              </w:tc>
                              <w:tc>
                                <w:tcPr>
                                  <w:tcW w:w="1603" w:type="dxa"/>
                                </w:tcPr>
                                <w:p w14:paraId="51B3D95F"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 60-79</w:t>
                                  </w:r>
                                </w:p>
                              </w:tc>
                              <w:tc>
                                <w:tcPr>
                                  <w:tcW w:w="1604" w:type="dxa"/>
                                </w:tcPr>
                                <w:p w14:paraId="7BA6E953"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7</w:t>
                                  </w:r>
                                </w:p>
                              </w:tc>
                              <w:tc>
                                <w:tcPr>
                                  <w:tcW w:w="1647" w:type="dxa"/>
                                </w:tcPr>
                                <w:p w14:paraId="4D5210DC"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r w:rsidRPr="00157DE7">
                                    <w:rPr>
                                      <w:rFonts w:ascii="Times New Roman" w:hAnsi="Times New Roman" w:cs="Times New Roman"/>
                                      <w:kern w:val="0"/>
                                      <w:sz w:val="20"/>
                                      <w:szCs w:val="20"/>
                                    </w:rPr>
                                    <w:t>-добре</w:t>
                                  </w:r>
                                </w:p>
                              </w:tc>
                            </w:tr>
                            <w:tr w:rsidR="001E0C3C" w:rsidRPr="00157DE7" w14:paraId="4F6C4A3C"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02728EC2"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r w:rsidRPr="00157DE7">
                                    <w:rPr>
                                      <w:rFonts w:ascii="Times New Roman" w:hAnsi="Times New Roman" w:cs="Times New Roman"/>
                                      <w:kern w:val="0"/>
                                      <w:sz w:val="20"/>
                                      <w:szCs w:val="20"/>
                                    </w:rPr>
                                    <w:t>, наступні 25%</w:t>
                                  </w:r>
                                </w:p>
                              </w:tc>
                              <w:tc>
                                <w:tcPr>
                                  <w:tcW w:w="1689" w:type="dxa"/>
                                </w:tcPr>
                                <w:p w14:paraId="7FDB5C19"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2</w:t>
                                  </w:r>
                                </w:p>
                              </w:tc>
                              <w:tc>
                                <w:tcPr>
                                  <w:tcW w:w="1543" w:type="dxa"/>
                                </w:tcPr>
                                <w:p w14:paraId="1D69310F"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p>
                              </w:tc>
                              <w:tc>
                                <w:tcPr>
                                  <w:tcW w:w="1603" w:type="dxa"/>
                                </w:tcPr>
                                <w:p w14:paraId="678BCE4F"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 50-59</w:t>
                                  </w:r>
                                </w:p>
                              </w:tc>
                              <w:tc>
                                <w:tcPr>
                                  <w:tcW w:w="1604" w:type="dxa"/>
                                </w:tcPr>
                                <w:p w14:paraId="79769FF0"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4</w:t>
                                  </w:r>
                                </w:p>
                              </w:tc>
                              <w:tc>
                                <w:tcPr>
                                  <w:tcW w:w="1647" w:type="dxa"/>
                                </w:tcPr>
                                <w:p w14:paraId="56E2A1F6"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r w:rsidRPr="00157DE7">
                                    <w:rPr>
                                      <w:rFonts w:ascii="Times New Roman" w:hAnsi="Times New Roman" w:cs="Times New Roman"/>
                                      <w:kern w:val="0"/>
                                      <w:sz w:val="20"/>
                                      <w:szCs w:val="20"/>
                                    </w:rPr>
                                    <w:t>-задовільно</w:t>
                                  </w:r>
                                </w:p>
                              </w:tc>
                            </w:tr>
                            <w:tr w:rsidR="001E0C3C" w:rsidRPr="00157DE7" w14:paraId="0D6D6839"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0868C0E8"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r w:rsidRPr="00157DE7">
                                    <w:rPr>
                                      <w:rFonts w:ascii="Times New Roman" w:hAnsi="Times New Roman" w:cs="Times New Roman"/>
                                      <w:kern w:val="0"/>
                                      <w:sz w:val="20"/>
                                      <w:szCs w:val="20"/>
                                    </w:rPr>
                                    <w:t>, наступні 10%</w:t>
                                  </w:r>
                                </w:p>
                              </w:tc>
                              <w:tc>
                                <w:tcPr>
                                  <w:tcW w:w="1689" w:type="dxa"/>
                                </w:tcPr>
                                <w:p w14:paraId="35BD4758"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1</w:t>
                                  </w:r>
                                </w:p>
                              </w:tc>
                              <w:tc>
                                <w:tcPr>
                                  <w:tcW w:w="1543" w:type="dxa"/>
                                </w:tcPr>
                                <w:p w14:paraId="3966C440"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p>
                              </w:tc>
                              <w:tc>
                                <w:tcPr>
                                  <w:tcW w:w="1603" w:type="dxa"/>
                                </w:tcPr>
                                <w:p w14:paraId="36839774"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 40-49</w:t>
                                  </w:r>
                                </w:p>
                              </w:tc>
                              <w:tc>
                                <w:tcPr>
                                  <w:tcW w:w="1604" w:type="dxa"/>
                                </w:tcPr>
                                <w:p w14:paraId="71560C90" w14:textId="5F4F4B86"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2</w:t>
                                  </w:r>
                                </w:p>
                              </w:tc>
                              <w:tc>
                                <w:tcPr>
                                  <w:tcW w:w="1647" w:type="dxa"/>
                                </w:tcPr>
                                <w:p w14:paraId="0D2CDED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r w:rsidRPr="00157DE7">
                                    <w:rPr>
                                      <w:rFonts w:ascii="Times New Roman" w:hAnsi="Times New Roman" w:cs="Times New Roman"/>
                                      <w:kern w:val="0"/>
                                      <w:sz w:val="20"/>
                                      <w:szCs w:val="20"/>
                                    </w:rPr>
                                    <w:t>-достатньо</w:t>
                                  </w:r>
                                </w:p>
                              </w:tc>
                            </w:tr>
                            <w:tr w:rsidR="001E0C3C" w:rsidRPr="00157DE7" w14:paraId="118D3C27"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39441A30" w14:textId="77777777" w:rsidR="001E0C3C" w:rsidRPr="00157DE7" w:rsidRDefault="001E0C3C" w:rsidP="002A43F9">
                                  <w:pPr>
                                    <w:widowControl w:val="0"/>
                                    <w:autoSpaceDE w:val="0"/>
                                    <w:autoSpaceDN w:val="0"/>
                                    <w:adjustRightInd w:val="0"/>
                                    <w:spacing w:after="120"/>
                                    <w:ind w:right="-186"/>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r w:rsidRPr="00157DE7">
                                    <w:rPr>
                                      <w:rFonts w:ascii="Times New Roman" w:hAnsi="Times New Roman" w:cs="Times New Roman"/>
                                      <w:kern w:val="0"/>
                                      <w:sz w:val="20"/>
                                      <w:szCs w:val="20"/>
                                    </w:rPr>
                                    <w:t>, незараховано</w:t>
                                  </w:r>
                                </w:p>
                              </w:tc>
                              <w:tc>
                                <w:tcPr>
                                  <w:tcW w:w="1689" w:type="dxa"/>
                                </w:tcPr>
                                <w:p w14:paraId="04AD883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 xml:space="preserve">0, </w:t>
                                  </w:r>
                                  <w:r w:rsidRPr="00157DE7">
                                    <w:rPr>
                                      <w:rFonts w:ascii="Times New Roman" w:hAnsi="Times New Roman" w:cs="Times New Roman"/>
                                      <w:kern w:val="0"/>
                                      <w:sz w:val="20"/>
                                      <w:szCs w:val="20"/>
                                    </w:rPr>
                                    <w:t>незараховано</w:t>
                                  </w:r>
                                </w:p>
                              </w:tc>
                              <w:tc>
                                <w:tcPr>
                                  <w:tcW w:w="1543" w:type="dxa"/>
                                </w:tcPr>
                                <w:p w14:paraId="104F8B96"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p>
                              </w:tc>
                              <w:tc>
                                <w:tcPr>
                                  <w:tcW w:w="1603" w:type="dxa"/>
                                </w:tcPr>
                                <w:p w14:paraId="56AAB8A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 0-39</w:t>
                                  </w:r>
                                </w:p>
                              </w:tc>
                              <w:tc>
                                <w:tcPr>
                                  <w:tcW w:w="1604" w:type="dxa"/>
                                </w:tcPr>
                                <w:p w14:paraId="6E7AE397" w14:textId="00112D39"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0</w:t>
                                  </w:r>
                                </w:p>
                              </w:tc>
                              <w:tc>
                                <w:tcPr>
                                  <w:tcW w:w="1647" w:type="dxa"/>
                                </w:tcPr>
                                <w:p w14:paraId="7B79FA8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r w:rsidRPr="00157DE7">
                                    <w:rPr>
                                      <w:rFonts w:ascii="Times New Roman" w:hAnsi="Times New Roman" w:cs="Times New Roman"/>
                                      <w:kern w:val="0"/>
                                      <w:sz w:val="20"/>
                                      <w:szCs w:val="20"/>
                                    </w:rPr>
                                    <w:t>-незадовільно</w:t>
                                  </w:r>
                                </w:p>
                              </w:tc>
                            </w:tr>
                          </w:tbl>
                          <w:p w14:paraId="400BD081" w14:textId="77777777" w:rsidR="00882F3F" w:rsidRPr="00157DE7" w:rsidRDefault="00882F3F" w:rsidP="00882F3F">
                            <w:pPr>
                              <w:pStyle w:val="Default"/>
                              <w:jc w:val="both"/>
                              <w:rPr>
                                <w:rFonts w:ascii="Times New Roman" w:hAnsi="Times New Roman" w:cs="Times New Roman"/>
                                <w:sz w:val="20"/>
                                <w:szCs w:val="20"/>
                              </w:rPr>
                            </w:pPr>
                          </w:p>
                          <w:p w14:paraId="004E5C71" w14:textId="7B321FA2" w:rsidR="001E0C3C" w:rsidRPr="00157DE7" w:rsidRDefault="001E0C3C" w:rsidP="00882F3F">
                            <w:pPr>
                              <w:pStyle w:val="Default"/>
                              <w:jc w:val="both"/>
                              <w:rPr>
                                <w:rFonts w:ascii="Times New Roman" w:hAnsi="Times New Roman" w:cs="Times New Roman"/>
                                <w:sz w:val="20"/>
                                <w:szCs w:val="20"/>
                              </w:rPr>
                            </w:pPr>
                            <w:r w:rsidRPr="00AB048F">
                              <w:rPr>
                                <w:rFonts w:ascii="Times New Roman" w:hAnsi="Times New Roman" w:cs="Times New Roman"/>
                                <w:i/>
                                <w:iCs/>
                                <w:sz w:val="20"/>
                                <w:szCs w:val="20"/>
                              </w:rPr>
                              <w:t>Примітка</w:t>
                            </w:r>
                            <w:r w:rsidRPr="00157DE7">
                              <w:rPr>
                                <w:rFonts w:ascii="Times New Roman" w:hAnsi="Times New Roman" w:cs="Times New Roman"/>
                                <w:sz w:val="20"/>
                                <w:szCs w:val="20"/>
                              </w:rPr>
                              <w:t>: програму NordSecMob пропону</w:t>
                            </w:r>
                            <w:r w:rsidR="00102D90">
                              <w:rPr>
                                <w:rFonts w:ascii="Times New Roman" w:hAnsi="Times New Roman" w:cs="Times New Roman"/>
                                <w:sz w:val="20"/>
                                <w:szCs w:val="20"/>
                              </w:rPr>
                              <w:t xml:space="preserve">вали </w:t>
                            </w:r>
                            <w:r w:rsidRPr="00157DE7">
                              <w:rPr>
                                <w:rFonts w:ascii="Times New Roman" w:hAnsi="Times New Roman" w:cs="Times New Roman"/>
                                <w:sz w:val="20"/>
                                <w:szCs w:val="20"/>
                              </w:rPr>
                              <w:t>п’ять університетів (</w:t>
                            </w:r>
                            <w:r w:rsidR="00882F3F" w:rsidRPr="00157DE7">
                              <w:rPr>
                                <w:rFonts w:ascii="Times New Roman" w:hAnsi="Times New Roman" w:cs="Times New Roman"/>
                                <w:sz w:val="20"/>
                                <w:szCs w:val="20"/>
                              </w:rPr>
                              <w:t>Aalto University School of Sciences</w:t>
                            </w:r>
                            <w:r w:rsidRPr="00157DE7">
                              <w:rPr>
                                <w:rFonts w:ascii="Times New Roman" w:hAnsi="Times New Roman" w:cs="Times New Roman"/>
                                <w:sz w:val="20"/>
                                <w:szCs w:val="20"/>
                              </w:rPr>
                              <w:t xml:space="preserve">, Фінляндія; </w:t>
                            </w:r>
                            <w:r w:rsidR="00882F3F" w:rsidRPr="00157DE7">
                              <w:rPr>
                                <w:rFonts w:ascii="Times New Roman" w:hAnsi="Times New Roman" w:cs="Times New Roman"/>
                                <w:sz w:val="20"/>
                                <w:szCs w:val="20"/>
                              </w:rPr>
                              <w:t>KTH Royal Institute of Technology</w:t>
                            </w:r>
                            <w:r w:rsidRPr="00157DE7">
                              <w:rPr>
                                <w:rFonts w:ascii="Times New Roman" w:hAnsi="Times New Roman" w:cs="Times New Roman"/>
                                <w:sz w:val="20"/>
                                <w:szCs w:val="20"/>
                              </w:rPr>
                              <w:t xml:space="preserve">, Швеція; </w:t>
                            </w:r>
                            <w:r w:rsidR="00882F3F" w:rsidRPr="00157DE7">
                              <w:rPr>
                                <w:rFonts w:ascii="Times New Roman" w:hAnsi="Times New Roman" w:cs="Times New Roman"/>
                                <w:sz w:val="20"/>
                                <w:szCs w:val="20"/>
                              </w:rPr>
                              <w:t>Norwegian University of Science and Technology</w:t>
                            </w:r>
                            <w:r w:rsidRPr="00157DE7">
                              <w:rPr>
                                <w:rFonts w:ascii="Times New Roman" w:hAnsi="Times New Roman" w:cs="Times New Roman"/>
                                <w:sz w:val="20"/>
                                <w:szCs w:val="20"/>
                              </w:rPr>
                              <w:t xml:space="preserve">, Норвегія; </w:t>
                            </w:r>
                            <w:r w:rsidR="00882F3F" w:rsidRPr="00157DE7">
                              <w:rPr>
                                <w:rFonts w:ascii="Times New Roman" w:hAnsi="Times New Roman" w:cs="Times New Roman"/>
                                <w:sz w:val="20"/>
                                <w:szCs w:val="20"/>
                              </w:rPr>
                              <w:t>Technical University of Denmark</w:t>
                            </w:r>
                            <w:r w:rsidRPr="00157DE7">
                              <w:rPr>
                                <w:rFonts w:ascii="Times New Roman" w:hAnsi="Times New Roman" w:cs="Times New Roman"/>
                                <w:sz w:val="20"/>
                                <w:szCs w:val="20"/>
                              </w:rPr>
                              <w:t xml:space="preserve">, Данія; </w:t>
                            </w:r>
                            <w:r w:rsidR="00882F3F" w:rsidRPr="00157DE7">
                              <w:rPr>
                                <w:rFonts w:ascii="Times New Roman" w:hAnsi="Times New Roman" w:cs="Times New Roman"/>
                                <w:sz w:val="20"/>
                                <w:szCs w:val="20"/>
                              </w:rPr>
                              <w:t>University of Tartu</w:t>
                            </w:r>
                            <w:r w:rsidRPr="00157DE7">
                              <w:rPr>
                                <w:rFonts w:ascii="Times New Roman" w:hAnsi="Times New Roman" w:cs="Times New Roman"/>
                                <w:sz w:val="20"/>
                                <w:szCs w:val="20"/>
                              </w:rPr>
                              <w:t>, Естонія).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1AE5B" id="Text Box 2" o:spid="_x0000_s1028" type="#_x0000_t202" style="position:absolute;left:0;text-align:left;margin-left:0;margin-top:47.25pt;width:494.45pt;height:49.9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">
                <v:textbox style="mso-fit-shape-to-text:t">
                  <w:txbxContent>
                    <w:p w14:paraId="1BF227EC" w14:textId="25DE977C"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1</w:t>
                      </w:r>
                      <w:r w:rsidRPr="00157DE7">
                        <w:rPr>
                          <w:rFonts w:ascii="Times New Roman" w:hAnsi="Times New Roman" w:cs="Times New Roman"/>
                          <w:kern w:val="0"/>
                        </w:rPr>
                        <w:t xml:space="preserve"> використовує систему</w:t>
                      </w:r>
                      <w:r w:rsidR="00C92948">
                        <w:rPr>
                          <w:rFonts w:ascii="Times New Roman" w:hAnsi="Times New Roman" w:cs="Times New Roman"/>
                          <w:kern w:val="0"/>
                        </w:rPr>
                        <w:t xml:space="preserve"> ЄКТС</w:t>
                      </w:r>
                      <w:r w:rsidRPr="00157DE7">
                        <w:rPr>
                          <w:rFonts w:ascii="Times New Roman" w:hAnsi="Times New Roman" w:cs="Times New Roman"/>
                          <w:kern w:val="0"/>
                        </w:rPr>
                        <w:t>. Шкала оцінювання - від 1 до 5. Використову</w:t>
                      </w:r>
                      <w:r w:rsidR="00C92948">
                        <w:rPr>
                          <w:rFonts w:ascii="Times New Roman" w:hAnsi="Times New Roman" w:cs="Times New Roman"/>
                          <w:kern w:val="0"/>
                        </w:rPr>
                        <w:t>є</w:t>
                      </w:r>
                      <w:r w:rsidRPr="00157DE7">
                        <w:rPr>
                          <w:rFonts w:ascii="Times New Roman" w:hAnsi="Times New Roman" w:cs="Times New Roman"/>
                          <w:kern w:val="0"/>
                        </w:rPr>
                        <w:t xml:space="preserve">ться також </w:t>
                      </w:r>
                      <w:r w:rsidR="00C92948" w:rsidRPr="00157DE7">
                        <w:rPr>
                          <w:rFonts w:ascii="Times New Roman" w:hAnsi="Times New Roman" w:cs="Times New Roman"/>
                          <w:kern w:val="0"/>
                        </w:rPr>
                        <w:t>систем</w:t>
                      </w:r>
                      <w:r w:rsidR="00C92948">
                        <w:rPr>
                          <w:rFonts w:ascii="Times New Roman" w:hAnsi="Times New Roman" w:cs="Times New Roman"/>
                          <w:kern w:val="0"/>
                        </w:rPr>
                        <w:t>а</w:t>
                      </w:r>
                      <w:r w:rsidR="00C92948" w:rsidRPr="00157DE7">
                        <w:rPr>
                          <w:rFonts w:ascii="Times New Roman" w:hAnsi="Times New Roman" w:cs="Times New Roman"/>
                          <w:kern w:val="0"/>
                        </w:rPr>
                        <w:t xml:space="preserve"> оцінювання </w:t>
                      </w:r>
                      <w:r w:rsidRPr="00157DE7">
                        <w:rPr>
                          <w:rFonts w:ascii="Times New Roman" w:hAnsi="Times New Roman" w:cs="Times New Roman"/>
                          <w:kern w:val="0"/>
                        </w:rPr>
                        <w:t>«</w:t>
                      </w:r>
                      <w:r w:rsidR="00C92948" w:rsidRPr="00157DE7">
                        <w:rPr>
                          <w:rFonts w:ascii="Times New Roman" w:hAnsi="Times New Roman" w:cs="Times New Roman"/>
                          <w:kern w:val="0"/>
                        </w:rPr>
                        <w:t>Зараховано/Незараховано</w:t>
                      </w:r>
                      <w:r w:rsidRPr="00157DE7">
                        <w:rPr>
                          <w:rFonts w:ascii="Times New Roman" w:hAnsi="Times New Roman" w:cs="Times New Roman"/>
                          <w:kern w:val="0"/>
                        </w:rPr>
                        <w:t>».</w:t>
                      </w:r>
                    </w:p>
                    <w:p w14:paraId="33F23D8F" w14:textId="4ACC515A"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2</w:t>
                      </w:r>
                      <w:r w:rsidRPr="00157DE7">
                        <w:rPr>
                          <w:rFonts w:ascii="Times New Roman" w:hAnsi="Times New Roman" w:cs="Times New Roman"/>
                          <w:kern w:val="0"/>
                        </w:rPr>
                        <w:t xml:space="preserve"> використовує кредити вищої освіти, де 1 кредит дорівнює 1 кредиту ЄКТС. Шкала оцінювання: A – відмінно, B – дуже добре, C – добре, D – задовільно, E – достатньо, F - незадовільно.</w:t>
                      </w:r>
                    </w:p>
                    <w:p w14:paraId="6F3072F5" w14:textId="585BB016"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3</w:t>
                      </w:r>
                      <w:r w:rsidRPr="00157DE7">
                        <w:rPr>
                          <w:rFonts w:ascii="Times New Roman" w:hAnsi="Times New Roman" w:cs="Times New Roman"/>
                          <w:kern w:val="0"/>
                        </w:rPr>
                        <w:t xml:space="preserve"> використовує літерну систему оцінювання. Оцінки виставляються за шкалою A-F (A – найкраще, F – незадовільно). Університет також використовує</w:t>
                      </w:r>
                      <w:r w:rsidR="00C92948" w:rsidRPr="00C92948">
                        <w:rPr>
                          <w:rFonts w:ascii="Times New Roman" w:hAnsi="Times New Roman" w:cs="Times New Roman"/>
                          <w:kern w:val="0"/>
                        </w:rPr>
                        <w:t xml:space="preserve"> </w:t>
                      </w:r>
                      <w:r w:rsidR="00C92948" w:rsidRPr="00157DE7">
                        <w:rPr>
                          <w:rFonts w:ascii="Times New Roman" w:hAnsi="Times New Roman" w:cs="Times New Roman"/>
                          <w:kern w:val="0"/>
                        </w:rPr>
                        <w:t xml:space="preserve">систему оцінювання </w:t>
                      </w:r>
                      <w:r w:rsidR="00C92948">
                        <w:rPr>
                          <w:rFonts w:ascii="Times New Roman" w:hAnsi="Times New Roman" w:cs="Times New Roman"/>
                          <w:kern w:val="0"/>
                        </w:rPr>
                        <w:t>«</w:t>
                      </w:r>
                      <w:r w:rsidR="00C92948" w:rsidRPr="00157DE7">
                        <w:rPr>
                          <w:rFonts w:ascii="Times New Roman" w:hAnsi="Times New Roman" w:cs="Times New Roman"/>
                          <w:kern w:val="0"/>
                        </w:rPr>
                        <w:t>Зараховано/Незараховано</w:t>
                      </w:r>
                      <w:r w:rsidR="00C92948">
                        <w:rPr>
                          <w:rFonts w:ascii="Times New Roman" w:hAnsi="Times New Roman" w:cs="Times New Roman"/>
                          <w:kern w:val="0"/>
                        </w:rPr>
                        <w:t>»</w:t>
                      </w:r>
                      <w:r w:rsidR="00C92948" w:rsidRPr="00157DE7">
                        <w:rPr>
                          <w:rFonts w:ascii="Times New Roman" w:hAnsi="Times New Roman" w:cs="Times New Roman"/>
                          <w:kern w:val="0"/>
                        </w:rPr>
                        <w:t>.</w:t>
                      </w:r>
                    </w:p>
                    <w:p w14:paraId="30B7234E" w14:textId="38B44430"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4</w:t>
                      </w:r>
                      <w:r w:rsidRPr="00157DE7">
                        <w:rPr>
                          <w:rFonts w:ascii="Times New Roman" w:hAnsi="Times New Roman" w:cs="Times New Roman"/>
                          <w:kern w:val="0"/>
                        </w:rPr>
                        <w:t xml:space="preserve"> використовує 7-бальну шкалу. Університет також використовує </w:t>
                      </w:r>
                      <w:r w:rsidR="00CE6187" w:rsidRPr="00157DE7">
                        <w:rPr>
                          <w:rFonts w:ascii="Times New Roman" w:hAnsi="Times New Roman" w:cs="Times New Roman"/>
                          <w:kern w:val="0"/>
                        </w:rPr>
                        <w:t xml:space="preserve">систему оцінювання </w:t>
                      </w:r>
                      <w:r w:rsidR="00CE6187">
                        <w:rPr>
                          <w:rFonts w:ascii="Times New Roman" w:hAnsi="Times New Roman" w:cs="Times New Roman"/>
                          <w:kern w:val="0"/>
                        </w:rPr>
                        <w:t>«</w:t>
                      </w:r>
                      <w:r w:rsidR="00CE6187" w:rsidRPr="00157DE7">
                        <w:rPr>
                          <w:rFonts w:ascii="Times New Roman" w:hAnsi="Times New Roman" w:cs="Times New Roman"/>
                          <w:kern w:val="0"/>
                        </w:rPr>
                        <w:t>Зараховано/Незараховано</w:t>
                      </w:r>
                      <w:r w:rsidR="00CE6187">
                        <w:rPr>
                          <w:rFonts w:ascii="Times New Roman" w:hAnsi="Times New Roman" w:cs="Times New Roman"/>
                          <w:kern w:val="0"/>
                        </w:rPr>
                        <w:t>»</w:t>
                      </w:r>
                      <w:r w:rsidR="00CE6187" w:rsidRPr="00157DE7">
                        <w:rPr>
                          <w:rFonts w:ascii="Times New Roman" w:hAnsi="Times New Roman" w:cs="Times New Roman"/>
                          <w:kern w:val="0"/>
                        </w:rPr>
                        <w:t>.</w:t>
                      </w:r>
                    </w:p>
                    <w:p w14:paraId="7CD23C60" w14:textId="1556BE0C" w:rsidR="001E0C3C" w:rsidRPr="00157DE7" w:rsidRDefault="001E0C3C" w:rsidP="00D822CE">
                      <w:pPr>
                        <w:widowControl w:val="0"/>
                        <w:autoSpaceDE w:val="0"/>
                        <w:autoSpaceDN w:val="0"/>
                        <w:adjustRightInd w:val="0"/>
                        <w:spacing w:after="120" w:line="240" w:lineRule="auto"/>
                        <w:jc w:val="both"/>
                        <w:rPr>
                          <w:rFonts w:ascii="Times New Roman" w:hAnsi="Times New Roman" w:cs="Times New Roman"/>
                          <w:kern w:val="0"/>
                        </w:rPr>
                      </w:pPr>
                      <w:r w:rsidRPr="00157DE7">
                        <w:rPr>
                          <w:rFonts w:ascii="Times New Roman" w:hAnsi="Times New Roman" w:cs="Times New Roman"/>
                          <w:b/>
                          <w:bCs/>
                          <w:color w:val="1F497D" w:themeColor="text2"/>
                          <w:kern w:val="0"/>
                        </w:rPr>
                        <w:t>Університет 5</w:t>
                      </w:r>
                      <w:r w:rsidRPr="00157DE7">
                        <w:rPr>
                          <w:rFonts w:ascii="Times New Roman" w:hAnsi="Times New Roman" w:cs="Times New Roman"/>
                          <w:kern w:val="0"/>
                        </w:rPr>
                        <w:t xml:space="preserve"> використовує кредитну систему </w:t>
                      </w:r>
                      <w:r w:rsidR="00F1650F">
                        <w:rPr>
                          <w:rFonts w:ascii="Times New Roman" w:hAnsi="Times New Roman" w:cs="Times New Roman"/>
                          <w:kern w:val="0"/>
                        </w:rPr>
                        <w:t>ЄКТС</w:t>
                      </w:r>
                      <w:r w:rsidRPr="00157DE7">
                        <w:rPr>
                          <w:rFonts w:ascii="Times New Roman" w:hAnsi="Times New Roman" w:cs="Times New Roman"/>
                          <w:kern w:val="0"/>
                        </w:rPr>
                        <w:t xml:space="preserve"> та літерну систему оцінювання за шкалою від A-F. Університет також використовує систему оцінювання </w:t>
                      </w:r>
                      <w:r w:rsidR="00F1650F">
                        <w:rPr>
                          <w:rFonts w:ascii="Times New Roman" w:hAnsi="Times New Roman" w:cs="Times New Roman"/>
                          <w:kern w:val="0"/>
                        </w:rPr>
                        <w:t>«</w:t>
                      </w:r>
                      <w:r w:rsidRPr="00157DE7">
                        <w:rPr>
                          <w:rFonts w:ascii="Times New Roman" w:hAnsi="Times New Roman" w:cs="Times New Roman"/>
                          <w:kern w:val="0"/>
                        </w:rPr>
                        <w:t>Зараховано/Незараховано</w:t>
                      </w:r>
                      <w:r w:rsidR="00F1650F">
                        <w:rPr>
                          <w:rFonts w:ascii="Times New Roman" w:hAnsi="Times New Roman" w:cs="Times New Roman"/>
                          <w:kern w:val="0"/>
                        </w:rPr>
                        <w:t>»</w:t>
                      </w:r>
                      <w:r w:rsidRPr="00157DE7">
                        <w:rPr>
                          <w:rFonts w:ascii="Times New Roman" w:hAnsi="Times New Roman" w:cs="Times New Roman"/>
                          <w:kern w:val="0"/>
                        </w:rPr>
                        <w:t>.</w:t>
                      </w:r>
                    </w:p>
                    <w:p w14:paraId="2863354C" w14:textId="483ECE5D" w:rsidR="001E0C3C" w:rsidRPr="00157DE7" w:rsidRDefault="00F1650F" w:rsidP="00D822CE">
                      <w:pPr>
                        <w:widowControl w:val="0"/>
                        <w:autoSpaceDE w:val="0"/>
                        <w:autoSpaceDN w:val="0"/>
                        <w:adjustRightInd w:val="0"/>
                        <w:spacing w:after="120" w:line="240" w:lineRule="auto"/>
                        <w:jc w:val="both"/>
                        <w:rPr>
                          <w:rFonts w:ascii="Times New Roman" w:hAnsi="Times New Roman" w:cs="Times New Roman"/>
                          <w:kern w:val="0"/>
                        </w:rPr>
                      </w:pPr>
                      <w:r>
                        <w:rPr>
                          <w:rFonts w:ascii="Times New Roman" w:hAnsi="Times New Roman" w:cs="Times New Roman"/>
                          <w:kern w:val="0"/>
                        </w:rPr>
                        <w:t>В</w:t>
                      </w:r>
                      <w:r w:rsidR="001E0C3C" w:rsidRPr="00157DE7">
                        <w:rPr>
                          <w:rFonts w:ascii="Times New Roman" w:hAnsi="Times New Roman" w:cs="Times New Roman"/>
                          <w:kern w:val="0"/>
                        </w:rPr>
                        <w:t xml:space="preserve">икористовується </w:t>
                      </w:r>
                      <w:r>
                        <w:rPr>
                          <w:rFonts w:ascii="Times New Roman" w:hAnsi="Times New Roman" w:cs="Times New Roman"/>
                          <w:kern w:val="0"/>
                        </w:rPr>
                        <w:t>така</w:t>
                      </w:r>
                      <w:r w:rsidR="001E0C3C" w:rsidRPr="00157DE7">
                        <w:rPr>
                          <w:rFonts w:ascii="Times New Roman" w:hAnsi="Times New Roman" w:cs="Times New Roman"/>
                          <w:kern w:val="0"/>
                        </w:rPr>
                        <w:t xml:space="preserve"> таблиця переведення оцінок:</w:t>
                      </w:r>
                    </w:p>
                    <w:tbl>
                      <w:tblPr>
                        <w:tblStyle w:val="-31"/>
                        <w:tblW w:w="0" w:type="auto"/>
                        <w:tblLook w:val="04A0" w:firstRow="1" w:lastRow="0" w:firstColumn="1" w:lastColumn="0" w:noHBand="0" w:noVBand="1"/>
                      </w:tblPr>
                      <w:tblGrid>
                        <w:gridCol w:w="1613"/>
                        <w:gridCol w:w="1664"/>
                        <w:gridCol w:w="1527"/>
                        <w:gridCol w:w="1582"/>
                        <w:gridCol w:w="1583"/>
                        <w:gridCol w:w="1623"/>
                      </w:tblGrid>
                      <w:tr w:rsidR="001E0C3C" w:rsidRPr="00157DE7" w14:paraId="52FD68E5" w14:textId="77777777" w:rsidTr="0021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9" w:type="dxa"/>
                          </w:tcPr>
                          <w:p w14:paraId="0100795C" w14:textId="150E4124"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p>
                        </w:tc>
                        <w:tc>
                          <w:tcPr>
                            <w:tcW w:w="1689" w:type="dxa"/>
                          </w:tcPr>
                          <w:p w14:paraId="0A3C5C3F"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1</w:t>
                            </w:r>
                          </w:p>
                        </w:tc>
                        <w:tc>
                          <w:tcPr>
                            <w:tcW w:w="1543" w:type="dxa"/>
                          </w:tcPr>
                          <w:p w14:paraId="48AB9B9A"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2</w:t>
                            </w:r>
                          </w:p>
                        </w:tc>
                        <w:tc>
                          <w:tcPr>
                            <w:tcW w:w="1603" w:type="dxa"/>
                          </w:tcPr>
                          <w:p w14:paraId="7A7D498E"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3</w:t>
                            </w:r>
                          </w:p>
                        </w:tc>
                        <w:tc>
                          <w:tcPr>
                            <w:tcW w:w="1604" w:type="dxa"/>
                          </w:tcPr>
                          <w:p w14:paraId="337BD69B"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4</w:t>
                            </w:r>
                          </w:p>
                        </w:tc>
                        <w:tc>
                          <w:tcPr>
                            <w:tcW w:w="1647" w:type="dxa"/>
                          </w:tcPr>
                          <w:p w14:paraId="30E4C244" w14:textId="77777777" w:rsidR="001E0C3C" w:rsidRPr="00157DE7" w:rsidRDefault="001E0C3C" w:rsidP="001E0C3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Університет 5</w:t>
                            </w:r>
                          </w:p>
                        </w:tc>
                      </w:tr>
                      <w:tr w:rsidR="001E0C3C" w:rsidRPr="00157DE7" w14:paraId="3B8AB12F"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5EADE9E3"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 xml:space="preserve">A, </w:t>
                            </w:r>
                            <w:r w:rsidRPr="00157DE7">
                              <w:rPr>
                                <w:rFonts w:ascii="Times New Roman" w:hAnsi="Times New Roman" w:cs="Times New Roman"/>
                                <w:kern w:val="0"/>
                                <w:sz w:val="20"/>
                                <w:szCs w:val="20"/>
                              </w:rPr>
                              <w:t>кращі 10%</w:t>
                            </w:r>
                          </w:p>
                        </w:tc>
                        <w:tc>
                          <w:tcPr>
                            <w:tcW w:w="1689" w:type="dxa"/>
                          </w:tcPr>
                          <w:p w14:paraId="50F29B5B"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5</w:t>
                            </w:r>
                          </w:p>
                        </w:tc>
                        <w:tc>
                          <w:tcPr>
                            <w:tcW w:w="1543" w:type="dxa"/>
                          </w:tcPr>
                          <w:p w14:paraId="063ECF7F"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p>
                        </w:tc>
                        <w:tc>
                          <w:tcPr>
                            <w:tcW w:w="1603" w:type="dxa"/>
                          </w:tcPr>
                          <w:p w14:paraId="32AB0205"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r w:rsidRPr="00157DE7">
                              <w:rPr>
                                <w:rFonts w:ascii="Times New Roman" w:hAnsi="Times New Roman" w:cs="Times New Roman"/>
                                <w:kern w:val="0"/>
                                <w:sz w:val="20"/>
                                <w:szCs w:val="20"/>
                              </w:rPr>
                              <w:t>, 90-100</w:t>
                            </w:r>
                          </w:p>
                        </w:tc>
                        <w:tc>
                          <w:tcPr>
                            <w:tcW w:w="1604" w:type="dxa"/>
                          </w:tcPr>
                          <w:p w14:paraId="65794D3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12</w:t>
                            </w:r>
                          </w:p>
                        </w:tc>
                        <w:tc>
                          <w:tcPr>
                            <w:tcW w:w="1647" w:type="dxa"/>
                          </w:tcPr>
                          <w:p w14:paraId="7993F0D2"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A-</w:t>
                            </w:r>
                            <w:r w:rsidRPr="00157DE7">
                              <w:rPr>
                                <w:rFonts w:ascii="Times New Roman" w:hAnsi="Times New Roman" w:cs="Times New Roman"/>
                                <w:kern w:val="0"/>
                                <w:sz w:val="20"/>
                                <w:szCs w:val="20"/>
                              </w:rPr>
                              <w:t>відмінно</w:t>
                            </w:r>
                          </w:p>
                        </w:tc>
                      </w:tr>
                      <w:tr w:rsidR="001E0C3C" w:rsidRPr="00157DE7" w14:paraId="717DFCF9"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52BC2C85"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r w:rsidRPr="00157DE7">
                              <w:rPr>
                                <w:rFonts w:ascii="Times New Roman" w:hAnsi="Times New Roman" w:cs="Times New Roman"/>
                                <w:kern w:val="0"/>
                                <w:sz w:val="20"/>
                                <w:szCs w:val="20"/>
                              </w:rPr>
                              <w:t>, наступні 25%</w:t>
                            </w:r>
                          </w:p>
                        </w:tc>
                        <w:tc>
                          <w:tcPr>
                            <w:tcW w:w="1689" w:type="dxa"/>
                          </w:tcPr>
                          <w:p w14:paraId="1804B8FE"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4</w:t>
                            </w:r>
                          </w:p>
                        </w:tc>
                        <w:tc>
                          <w:tcPr>
                            <w:tcW w:w="1543" w:type="dxa"/>
                          </w:tcPr>
                          <w:p w14:paraId="0839B77A"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p>
                        </w:tc>
                        <w:tc>
                          <w:tcPr>
                            <w:tcW w:w="1603" w:type="dxa"/>
                          </w:tcPr>
                          <w:p w14:paraId="29407693"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 80-89</w:t>
                            </w:r>
                          </w:p>
                        </w:tc>
                        <w:tc>
                          <w:tcPr>
                            <w:tcW w:w="1604" w:type="dxa"/>
                          </w:tcPr>
                          <w:p w14:paraId="2911A22C"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10</w:t>
                            </w:r>
                          </w:p>
                        </w:tc>
                        <w:tc>
                          <w:tcPr>
                            <w:tcW w:w="1647" w:type="dxa"/>
                          </w:tcPr>
                          <w:p w14:paraId="24873160"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B</w:t>
                            </w:r>
                            <w:r w:rsidRPr="00157DE7">
                              <w:rPr>
                                <w:rFonts w:ascii="Times New Roman" w:hAnsi="Times New Roman" w:cs="Times New Roman"/>
                                <w:kern w:val="0"/>
                                <w:sz w:val="20"/>
                                <w:szCs w:val="20"/>
                              </w:rPr>
                              <w:t>-дуже добре</w:t>
                            </w:r>
                          </w:p>
                        </w:tc>
                      </w:tr>
                      <w:tr w:rsidR="001E0C3C" w:rsidRPr="00157DE7" w14:paraId="605D9D90"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095ED924"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r w:rsidRPr="00157DE7">
                              <w:rPr>
                                <w:rFonts w:ascii="Times New Roman" w:hAnsi="Times New Roman" w:cs="Times New Roman"/>
                                <w:kern w:val="0"/>
                                <w:sz w:val="20"/>
                                <w:szCs w:val="20"/>
                              </w:rPr>
                              <w:t>, наступні 30%</w:t>
                            </w:r>
                          </w:p>
                        </w:tc>
                        <w:tc>
                          <w:tcPr>
                            <w:tcW w:w="1689" w:type="dxa"/>
                          </w:tcPr>
                          <w:p w14:paraId="16BCF72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3</w:t>
                            </w:r>
                          </w:p>
                        </w:tc>
                        <w:tc>
                          <w:tcPr>
                            <w:tcW w:w="1543" w:type="dxa"/>
                          </w:tcPr>
                          <w:p w14:paraId="6A6221B4"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p>
                        </w:tc>
                        <w:tc>
                          <w:tcPr>
                            <w:tcW w:w="1603" w:type="dxa"/>
                          </w:tcPr>
                          <w:p w14:paraId="51B3D95F"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 60-79</w:t>
                            </w:r>
                          </w:p>
                        </w:tc>
                        <w:tc>
                          <w:tcPr>
                            <w:tcW w:w="1604" w:type="dxa"/>
                          </w:tcPr>
                          <w:p w14:paraId="7BA6E953"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7</w:t>
                            </w:r>
                          </w:p>
                        </w:tc>
                        <w:tc>
                          <w:tcPr>
                            <w:tcW w:w="1647" w:type="dxa"/>
                          </w:tcPr>
                          <w:p w14:paraId="4D5210DC"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C</w:t>
                            </w:r>
                            <w:r w:rsidRPr="00157DE7">
                              <w:rPr>
                                <w:rFonts w:ascii="Times New Roman" w:hAnsi="Times New Roman" w:cs="Times New Roman"/>
                                <w:kern w:val="0"/>
                                <w:sz w:val="20"/>
                                <w:szCs w:val="20"/>
                              </w:rPr>
                              <w:t>-добре</w:t>
                            </w:r>
                          </w:p>
                        </w:tc>
                      </w:tr>
                      <w:tr w:rsidR="001E0C3C" w:rsidRPr="00157DE7" w14:paraId="4F6C4A3C"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02728EC2"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r w:rsidRPr="00157DE7">
                              <w:rPr>
                                <w:rFonts w:ascii="Times New Roman" w:hAnsi="Times New Roman" w:cs="Times New Roman"/>
                                <w:kern w:val="0"/>
                                <w:sz w:val="20"/>
                                <w:szCs w:val="20"/>
                              </w:rPr>
                              <w:t>, наступні 25%</w:t>
                            </w:r>
                          </w:p>
                        </w:tc>
                        <w:tc>
                          <w:tcPr>
                            <w:tcW w:w="1689" w:type="dxa"/>
                          </w:tcPr>
                          <w:p w14:paraId="7FDB5C19"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2</w:t>
                            </w:r>
                          </w:p>
                        </w:tc>
                        <w:tc>
                          <w:tcPr>
                            <w:tcW w:w="1543" w:type="dxa"/>
                          </w:tcPr>
                          <w:p w14:paraId="1D69310F"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p>
                        </w:tc>
                        <w:tc>
                          <w:tcPr>
                            <w:tcW w:w="1603" w:type="dxa"/>
                          </w:tcPr>
                          <w:p w14:paraId="678BCE4F"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 50-59</w:t>
                            </w:r>
                          </w:p>
                        </w:tc>
                        <w:tc>
                          <w:tcPr>
                            <w:tcW w:w="1604" w:type="dxa"/>
                          </w:tcPr>
                          <w:p w14:paraId="79769FF0"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4</w:t>
                            </w:r>
                          </w:p>
                        </w:tc>
                        <w:tc>
                          <w:tcPr>
                            <w:tcW w:w="1647" w:type="dxa"/>
                          </w:tcPr>
                          <w:p w14:paraId="56E2A1F6"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D</w:t>
                            </w:r>
                            <w:r w:rsidRPr="00157DE7">
                              <w:rPr>
                                <w:rFonts w:ascii="Times New Roman" w:hAnsi="Times New Roman" w:cs="Times New Roman"/>
                                <w:kern w:val="0"/>
                                <w:sz w:val="20"/>
                                <w:szCs w:val="20"/>
                              </w:rPr>
                              <w:t>-задовільно</w:t>
                            </w:r>
                          </w:p>
                        </w:tc>
                      </w:tr>
                      <w:tr w:rsidR="001E0C3C" w:rsidRPr="00157DE7" w14:paraId="0D6D6839" w14:textId="77777777" w:rsidTr="0021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0868C0E8" w14:textId="77777777" w:rsidR="001E0C3C" w:rsidRPr="00157DE7" w:rsidRDefault="001E0C3C" w:rsidP="001E0C3C">
                            <w:pPr>
                              <w:widowControl w:val="0"/>
                              <w:autoSpaceDE w:val="0"/>
                              <w:autoSpaceDN w:val="0"/>
                              <w:adjustRightInd w:val="0"/>
                              <w:spacing w:after="12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r w:rsidRPr="00157DE7">
                              <w:rPr>
                                <w:rFonts w:ascii="Times New Roman" w:hAnsi="Times New Roman" w:cs="Times New Roman"/>
                                <w:kern w:val="0"/>
                                <w:sz w:val="20"/>
                                <w:szCs w:val="20"/>
                              </w:rPr>
                              <w:t>, наступні 10%</w:t>
                            </w:r>
                          </w:p>
                        </w:tc>
                        <w:tc>
                          <w:tcPr>
                            <w:tcW w:w="1689" w:type="dxa"/>
                          </w:tcPr>
                          <w:p w14:paraId="35BD4758"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val="en-US"/>
                              </w:rPr>
                            </w:pPr>
                            <w:r w:rsidRPr="00157DE7">
                              <w:rPr>
                                <w:rFonts w:ascii="Times New Roman" w:hAnsi="Times New Roman" w:cs="Times New Roman"/>
                                <w:kern w:val="0"/>
                                <w:sz w:val="20"/>
                                <w:szCs w:val="20"/>
                                <w:lang w:val="en-US"/>
                              </w:rPr>
                              <w:t>1</w:t>
                            </w:r>
                          </w:p>
                        </w:tc>
                        <w:tc>
                          <w:tcPr>
                            <w:tcW w:w="1543" w:type="dxa"/>
                          </w:tcPr>
                          <w:p w14:paraId="3966C440"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p>
                        </w:tc>
                        <w:tc>
                          <w:tcPr>
                            <w:tcW w:w="1603" w:type="dxa"/>
                          </w:tcPr>
                          <w:p w14:paraId="36839774"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 40-49</w:t>
                            </w:r>
                          </w:p>
                        </w:tc>
                        <w:tc>
                          <w:tcPr>
                            <w:tcW w:w="1604" w:type="dxa"/>
                          </w:tcPr>
                          <w:p w14:paraId="71560C90" w14:textId="5F4F4B86"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2</w:t>
                            </w:r>
                          </w:p>
                        </w:tc>
                        <w:tc>
                          <w:tcPr>
                            <w:tcW w:w="1647" w:type="dxa"/>
                          </w:tcPr>
                          <w:p w14:paraId="0D2CDED6" w14:textId="77777777" w:rsidR="001E0C3C" w:rsidRPr="00157DE7" w:rsidRDefault="001E0C3C" w:rsidP="001E0C3C">
                            <w:pPr>
                              <w:widowControl w:val="0"/>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E</w:t>
                            </w:r>
                            <w:r w:rsidRPr="00157DE7">
                              <w:rPr>
                                <w:rFonts w:ascii="Times New Roman" w:hAnsi="Times New Roman" w:cs="Times New Roman"/>
                                <w:kern w:val="0"/>
                                <w:sz w:val="20"/>
                                <w:szCs w:val="20"/>
                              </w:rPr>
                              <w:t>-достатньо</w:t>
                            </w:r>
                          </w:p>
                        </w:tc>
                      </w:tr>
                      <w:tr w:rsidR="001E0C3C" w:rsidRPr="00157DE7" w14:paraId="118D3C27" w14:textId="77777777" w:rsidTr="00216461">
                        <w:tc>
                          <w:tcPr>
                            <w:cnfStyle w:val="001000000000" w:firstRow="0" w:lastRow="0" w:firstColumn="1" w:lastColumn="0" w:oddVBand="0" w:evenVBand="0" w:oddHBand="0" w:evenHBand="0" w:firstRowFirstColumn="0" w:firstRowLastColumn="0" w:lastRowFirstColumn="0" w:lastRowLastColumn="0"/>
                            <w:tcW w:w="1629" w:type="dxa"/>
                          </w:tcPr>
                          <w:p w14:paraId="39441A30" w14:textId="77777777" w:rsidR="001E0C3C" w:rsidRPr="00157DE7" w:rsidRDefault="001E0C3C" w:rsidP="002A43F9">
                            <w:pPr>
                              <w:widowControl w:val="0"/>
                              <w:autoSpaceDE w:val="0"/>
                              <w:autoSpaceDN w:val="0"/>
                              <w:adjustRightInd w:val="0"/>
                              <w:spacing w:after="120"/>
                              <w:ind w:right="-186"/>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r w:rsidRPr="00157DE7">
                              <w:rPr>
                                <w:rFonts w:ascii="Times New Roman" w:hAnsi="Times New Roman" w:cs="Times New Roman"/>
                                <w:kern w:val="0"/>
                                <w:sz w:val="20"/>
                                <w:szCs w:val="20"/>
                              </w:rPr>
                              <w:t>, незараховано</w:t>
                            </w:r>
                          </w:p>
                        </w:tc>
                        <w:tc>
                          <w:tcPr>
                            <w:tcW w:w="1689" w:type="dxa"/>
                          </w:tcPr>
                          <w:p w14:paraId="04AD883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 xml:space="preserve">0, </w:t>
                            </w:r>
                            <w:r w:rsidRPr="00157DE7">
                              <w:rPr>
                                <w:rFonts w:ascii="Times New Roman" w:hAnsi="Times New Roman" w:cs="Times New Roman"/>
                                <w:kern w:val="0"/>
                                <w:sz w:val="20"/>
                                <w:szCs w:val="20"/>
                              </w:rPr>
                              <w:t>незараховано</w:t>
                            </w:r>
                          </w:p>
                        </w:tc>
                        <w:tc>
                          <w:tcPr>
                            <w:tcW w:w="1543" w:type="dxa"/>
                          </w:tcPr>
                          <w:p w14:paraId="104F8B96"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p>
                        </w:tc>
                        <w:tc>
                          <w:tcPr>
                            <w:tcW w:w="1603" w:type="dxa"/>
                          </w:tcPr>
                          <w:p w14:paraId="56AAB8A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 0-39</w:t>
                            </w:r>
                          </w:p>
                        </w:tc>
                        <w:tc>
                          <w:tcPr>
                            <w:tcW w:w="1604" w:type="dxa"/>
                          </w:tcPr>
                          <w:p w14:paraId="6E7AE397" w14:textId="00112D39"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rPr>
                              <w:t>0</w:t>
                            </w:r>
                          </w:p>
                        </w:tc>
                        <w:tc>
                          <w:tcPr>
                            <w:tcW w:w="1647" w:type="dxa"/>
                          </w:tcPr>
                          <w:p w14:paraId="7B79FA88" w14:textId="77777777" w:rsidR="001E0C3C" w:rsidRPr="00157DE7" w:rsidRDefault="001E0C3C" w:rsidP="001E0C3C">
                            <w:pPr>
                              <w:widowControl w:val="0"/>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157DE7">
                              <w:rPr>
                                <w:rFonts w:ascii="Times New Roman" w:hAnsi="Times New Roman" w:cs="Times New Roman"/>
                                <w:kern w:val="0"/>
                                <w:sz w:val="20"/>
                                <w:szCs w:val="20"/>
                                <w:lang w:val="en-US"/>
                              </w:rPr>
                              <w:t>F</w:t>
                            </w:r>
                            <w:r w:rsidRPr="00157DE7">
                              <w:rPr>
                                <w:rFonts w:ascii="Times New Roman" w:hAnsi="Times New Roman" w:cs="Times New Roman"/>
                                <w:kern w:val="0"/>
                                <w:sz w:val="20"/>
                                <w:szCs w:val="20"/>
                              </w:rPr>
                              <w:t>-незадовільно</w:t>
                            </w:r>
                          </w:p>
                        </w:tc>
                      </w:tr>
                    </w:tbl>
                    <w:p w14:paraId="400BD081" w14:textId="77777777" w:rsidR="00882F3F" w:rsidRPr="00157DE7" w:rsidRDefault="00882F3F" w:rsidP="00882F3F">
                      <w:pPr>
                        <w:pStyle w:val="Default"/>
                        <w:jc w:val="both"/>
                        <w:rPr>
                          <w:rFonts w:ascii="Times New Roman" w:hAnsi="Times New Roman" w:cs="Times New Roman"/>
                          <w:sz w:val="20"/>
                          <w:szCs w:val="20"/>
                        </w:rPr>
                      </w:pPr>
                    </w:p>
                    <w:p w14:paraId="004E5C71" w14:textId="7B321FA2" w:rsidR="001E0C3C" w:rsidRPr="00157DE7" w:rsidRDefault="001E0C3C" w:rsidP="00882F3F">
                      <w:pPr>
                        <w:pStyle w:val="Default"/>
                        <w:jc w:val="both"/>
                        <w:rPr>
                          <w:rFonts w:ascii="Times New Roman" w:hAnsi="Times New Roman" w:cs="Times New Roman"/>
                          <w:sz w:val="20"/>
                          <w:szCs w:val="20"/>
                        </w:rPr>
                      </w:pPr>
                      <w:r w:rsidRPr="00AB048F">
                        <w:rPr>
                          <w:rFonts w:ascii="Times New Roman" w:hAnsi="Times New Roman" w:cs="Times New Roman"/>
                          <w:i/>
                          <w:iCs/>
                          <w:sz w:val="20"/>
                          <w:szCs w:val="20"/>
                        </w:rPr>
                        <w:t>Примітка</w:t>
                      </w:r>
                      <w:r w:rsidRPr="00157DE7">
                        <w:rPr>
                          <w:rFonts w:ascii="Times New Roman" w:hAnsi="Times New Roman" w:cs="Times New Roman"/>
                          <w:sz w:val="20"/>
                          <w:szCs w:val="20"/>
                        </w:rPr>
                        <w:t>: програму NordSecMob пропону</w:t>
                      </w:r>
                      <w:r w:rsidR="00102D90">
                        <w:rPr>
                          <w:rFonts w:ascii="Times New Roman" w:hAnsi="Times New Roman" w:cs="Times New Roman"/>
                          <w:sz w:val="20"/>
                          <w:szCs w:val="20"/>
                        </w:rPr>
                        <w:t xml:space="preserve">вали </w:t>
                      </w:r>
                      <w:r w:rsidRPr="00157DE7">
                        <w:rPr>
                          <w:rFonts w:ascii="Times New Roman" w:hAnsi="Times New Roman" w:cs="Times New Roman"/>
                          <w:sz w:val="20"/>
                          <w:szCs w:val="20"/>
                        </w:rPr>
                        <w:t>п’ять університетів (</w:t>
                      </w:r>
                      <w:r w:rsidR="00882F3F" w:rsidRPr="00157DE7">
                        <w:rPr>
                          <w:rFonts w:ascii="Times New Roman" w:hAnsi="Times New Roman" w:cs="Times New Roman"/>
                          <w:sz w:val="20"/>
                          <w:szCs w:val="20"/>
                        </w:rPr>
                        <w:t>Aalto University School of Sciences</w:t>
                      </w:r>
                      <w:r w:rsidRPr="00157DE7">
                        <w:rPr>
                          <w:rFonts w:ascii="Times New Roman" w:hAnsi="Times New Roman" w:cs="Times New Roman"/>
                          <w:sz w:val="20"/>
                          <w:szCs w:val="20"/>
                        </w:rPr>
                        <w:t xml:space="preserve">, Фінляндія; </w:t>
                      </w:r>
                      <w:r w:rsidR="00882F3F" w:rsidRPr="00157DE7">
                        <w:rPr>
                          <w:rFonts w:ascii="Times New Roman" w:hAnsi="Times New Roman" w:cs="Times New Roman"/>
                          <w:sz w:val="20"/>
                          <w:szCs w:val="20"/>
                        </w:rPr>
                        <w:t>KTH Royal Institute of Technology</w:t>
                      </w:r>
                      <w:r w:rsidRPr="00157DE7">
                        <w:rPr>
                          <w:rFonts w:ascii="Times New Roman" w:hAnsi="Times New Roman" w:cs="Times New Roman"/>
                          <w:sz w:val="20"/>
                          <w:szCs w:val="20"/>
                        </w:rPr>
                        <w:t xml:space="preserve">, Швеція; </w:t>
                      </w:r>
                      <w:r w:rsidR="00882F3F" w:rsidRPr="00157DE7">
                        <w:rPr>
                          <w:rFonts w:ascii="Times New Roman" w:hAnsi="Times New Roman" w:cs="Times New Roman"/>
                          <w:sz w:val="20"/>
                          <w:szCs w:val="20"/>
                        </w:rPr>
                        <w:t>Norwegian University of Science and Technology</w:t>
                      </w:r>
                      <w:r w:rsidRPr="00157DE7">
                        <w:rPr>
                          <w:rFonts w:ascii="Times New Roman" w:hAnsi="Times New Roman" w:cs="Times New Roman"/>
                          <w:sz w:val="20"/>
                          <w:szCs w:val="20"/>
                        </w:rPr>
                        <w:t xml:space="preserve">, Норвегія; </w:t>
                      </w:r>
                      <w:r w:rsidR="00882F3F" w:rsidRPr="00157DE7">
                        <w:rPr>
                          <w:rFonts w:ascii="Times New Roman" w:hAnsi="Times New Roman" w:cs="Times New Roman"/>
                          <w:sz w:val="20"/>
                          <w:szCs w:val="20"/>
                        </w:rPr>
                        <w:t>Technical University of Denmark</w:t>
                      </w:r>
                      <w:r w:rsidRPr="00157DE7">
                        <w:rPr>
                          <w:rFonts w:ascii="Times New Roman" w:hAnsi="Times New Roman" w:cs="Times New Roman"/>
                          <w:sz w:val="20"/>
                          <w:szCs w:val="20"/>
                        </w:rPr>
                        <w:t xml:space="preserve">, Данія; </w:t>
                      </w:r>
                      <w:r w:rsidR="00882F3F" w:rsidRPr="00157DE7">
                        <w:rPr>
                          <w:rFonts w:ascii="Times New Roman" w:hAnsi="Times New Roman" w:cs="Times New Roman"/>
                          <w:sz w:val="20"/>
                          <w:szCs w:val="20"/>
                        </w:rPr>
                        <w:t>University of Tartu</w:t>
                      </w:r>
                      <w:r w:rsidRPr="00157DE7">
                        <w:rPr>
                          <w:rFonts w:ascii="Times New Roman" w:hAnsi="Times New Roman" w:cs="Times New Roman"/>
                          <w:sz w:val="20"/>
                          <w:szCs w:val="20"/>
                        </w:rPr>
                        <w:t>, Естонія).</w:t>
                      </w:r>
                    </w:p>
                  </w:txbxContent>
                </v:textbox>
                <w10:wrap type="square"/>
              </v:shape>
            </w:pict>
          </mc:Fallback>
        </mc:AlternateContent>
      </w:r>
      <w:r w:rsidR="001C1F18" w:rsidRPr="00F43628">
        <w:rPr>
          <w:rFonts w:ascii="Times New Roman" w:hAnsi="Times New Roman" w:cs="Times New Roman"/>
          <w:b/>
          <w:bCs/>
          <w:color w:val="365F91" w:themeColor="accent1" w:themeShade="BF"/>
          <w:kern w:val="0"/>
          <w:sz w:val="24"/>
          <w:szCs w:val="24"/>
        </w:rPr>
        <w:t xml:space="preserve">Приклад моделі переведення оцінок на спільній магістерській програмі, </w:t>
      </w:r>
    </w:p>
    <w:p w14:paraId="0589E976" w14:textId="2B2405AA" w:rsidR="001C1F18" w:rsidRPr="00F43628" w:rsidRDefault="001C1F18" w:rsidP="00F1650F">
      <w:pPr>
        <w:autoSpaceDE w:val="0"/>
        <w:autoSpaceDN w:val="0"/>
        <w:adjustRightInd w:val="0"/>
        <w:spacing w:after="0" w:line="240" w:lineRule="auto"/>
        <w:jc w:val="center"/>
        <w:rPr>
          <w:rFonts w:ascii="Times New Roman" w:hAnsi="Times New Roman" w:cs="Times New Roman"/>
          <w:color w:val="365F91" w:themeColor="accent1" w:themeShade="BF"/>
          <w:kern w:val="0"/>
          <w:sz w:val="24"/>
          <w:szCs w:val="24"/>
        </w:rPr>
      </w:pPr>
      <w:r w:rsidRPr="00F43628">
        <w:rPr>
          <w:rFonts w:ascii="Times New Roman" w:hAnsi="Times New Roman" w:cs="Times New Roman"/>
          <w:b/>
          <w:bCs/>
          <w:color w:val="365F91" w:themeColor="accent1" w:themeShade="BF"/>
          <w:kern w:val="0"/>
          <w:sz w:val="24"/>
          <w:szCs w:val="24"/>
        </w:rPr>
        <w:t xml:space="preserve">що </w:t>
      </w:r>
      <w:r w:rsidR="004F0A25" w:rsidRPr="00F43628">
        <w:rPr>
          <w:rFonts w:ascii="Times New Roman" w:hAnsi="Times New Roman" w:cs="Times New Roman"/>
          <w:b/>
          <w:bCs/>
          <w:color w:val="365F91" w:themeColor="accent1" w:themeShade="BF"/>
          <w:kern w:val="0"/>
          <w:sz w:val="24"/>
          <w:szCs w:val="24"/>
        </w:rPr>
        <w:t>нада</w:t>
      </w:r>
      <w:r w:rsidRPr="00F43628">
        <w:rPr>
          <w:rFonts w:ascii="Times New Roman" w:hAnsi="Times New Roman" w:cs="Times New Roman"/>
          <w:b/>
          <w:bCs/>
          <w:color w:val="365F91" w:themeColor="accent1" w:themeShade="BF"/>
          <w:kern w:val="0"/>
          <w:sz w:val="24"/>
          <w:szCs w:val="24"/>
        </w:rPr>
        <w:t>ється п</w:t>
      </w:r>
      <w:r w:rsidR="004F0A25" w:rsidRPr="00F43628">
        <w:rPr>
          <w:rFonts w:ascii="Times New Roman" w:hAnsi="Times New Roman" w:cs="Times New Roman"/>
          <w:b/>
          <w:bCs/>
          <w:color w:val="365F91" w:themeColor="accent1" w:themeShade="BF"/>
          <w:kern w:val="0"/>
          <w:sz w:val="24"/>
          <w:szCs w:val="24"/>
        </w:rPr>
        <w:t>’</w:t>
      </w:r>
      <w:r w:rsidRPr="00F43628">
        <w:rPr>
          <w:rFonts w:ascii="Times New Roman" w:hAnsi="Times New Roman" w:cs="Times New Roman"/>
          <w:b/>
          <w:bCs/>
          <w:color w:val="365F91" w:themeColor="accent1" w:themeShade="BF"/>
          <w:kern w:val="0"/>
          <w:sz w:val="24"/>
          <w:szCs w:val="24"/>
        </w:rPr>
        <w:t>ятьма університетами</w:t>
      </w:r>
    </w:p>
    <w:p w14:paraId="73123C25" w14:textId="750BB998" w:rsidR="001C1F18" w:rsidRPr="00F43A6A" w:rsidRDefault="001C1F18" w:rsidP="00F43A6A">
      <w:pPr>
        <w:autoSpaceDE w:val="0"/>
        <w:autoSpaceDN w:val="0"/>
        <w:adjustRightInd w:val="0"/>
        <w:spacing w:after="0" w:line="240" w:lineRule="auto"/>
        <w:rPr>
          <w:rFonts w:ascii="Times New Roman" w:hAnsi="Times New Roman" w:cs="Times New Roman"/>
          <w:kern w:val="0"/>
          <w:sz w:val="18"/>
          <w:szCs w:val="18"/>
        </w:rPr>
      </w:pPr>
    </w:p>
    <w:p w14:paraId="246E7BA0" w14:textId="77777777" w:rsidR="00F43A6A" w:rsidRDefault="00F43A6A" w:rsidP="00165FA3">
      <w:pPr>
        <w:autoSpaceDE w:val="0"/>
        <w:autoSpaceDN w:val="0"/>
        <w:adjustRightInd w:val="0"/>
        <w:spacing w:after="0" w:line="240" w:lineRule="auto"/>
        <w:jc w:val="both"/>
        <w:rPr>
          <w:rFonts w:ascii="Times New Roman" w:hAnsi="Times New Roman" w:cs="Times New Roman"/>
          <w:kern w:val="0"/>
          <w:sz w:val="24"/>
          <w:szCs w:val="24"/>
        </w:rPr>
      </w:pPr>
    </w:p>
    <w:p w14:paraId="1D9A4344" w14:textId="50A98139" w:rsidR="001C1F18" w:rsidRPr="00F43628" w:rsidRDefault="001C1F18"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Щоб забезпечити ясність для студентів, університети-</w:t>
      </w:r>
      <w:r w:rsidR="001A1CD6">
        <w:rPr>
          <w:rFonts w:ascii="Times New Roman" w:hAnsi="Times New Roman" w:cs="Times New Roman"/>
          <w:kern w:val="0"/>
          <w:sz w:val="24"/>
          <w:szCs w:val="24"/>
        </w:rPr>
        <w:t>партнери</w:t>
      </w:r>
      <w:r w:rsidRPr="00F43628">
        <w:rPr>
          <w:rFonts w:ascii="Times New Roman" w:hAnsi="Times New Roman" w:cs="Times New Roman"/>
          <w:kern w:val="0"/>
          <w:sz w:val="24"/>
          <w:szCs w:val="24"/>
        </w:rPr>
        <w:t xml:space="preserve"> повинні чітко </w:t>
      </w:r>
      <w:r w:rsidR="00B94C43" w:rsidRPr="00F43628">
        <w:rPr>
          <w:rFonts w:ascii="Times New Roman" w:hAnsi="Times New Roman" w:cs="Times New Roman"/>
          <w:kern w:val="0"/>
          <w:sz w:val="24"/>
          <w:szCs w:val="24"/>
        </w:rPr>
        <w:t>пояснити</w:t>
      </w:r>
      <w:r w:rsidRPr="00F43628">
        <w:rPr>
          <w:rFonts w:ascii="Times New Roman" w:hAnsi="Times New Roman" w:cs="Times New Roman"/>
          <w:kern w:val="0"/>
          <w:sz w:val="24"/>
          <w:szCs w:val="24"/>
        </w:rPr>
        <w:t xml:space="preserve"> свою модель конвертації оцінок у </w:t>
      </w:r>
      <w:r w:rsidR="0037508F" w:rsidRPr="00F43628">
        <w:rPr>
          <w:rFonts w:ascii="Times New Roman" w:hAnsi="Times New Roman" w:cs="Times New Roman"/>
          <w:kern w:val="0"/>
          <w:sz w:val="24"/>
          <w:szCs w:val="24"/>
        </w:rPr>
        <w:t>довід</w:t>
      </w:r>
      <w:r w:rsidRPr="00F43628">
        <w:rPr>
          <w:rFonts w:ascii="Times New Roman" w:hAnsi="Times New Roman" w:cs="Times New Roman"/>
          <w:kern w:val="0"/>
          <w:sz w:val="24"/>
          <w:szCs w:val="24"/>
        </w:rPr>
        <w:t>нику для студентів спільної програми.</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У </w:t>
      </w:r>
      <w:r w:rsidR="0037508F" w:rsidRPr="00F43628">
        <w:rPr>
          <w:rFonts w:ascii="Times New Roman" w:hAnsi="Times New Roman" w:cs="Times New Roman"/>
          <w:kern w:val="0"/>
          <w:sz w:val="24"/>
          <w:szCs w:val="24"/>
        </w:rPr>
        <w:t>довід</w:t>
      </w:r>
      <w:r w:rsidRPr="00F43628">
        <w:rPr>
          <w:rFonts w:ascii="Times New Roman" w:hAnsi="Times New Roman" w:cs="Times New Roman"/>
          <w:kern w:val="0"/>
          <w:sz w:val="24"/>
          <w:szCs w:val="24"/>
        </w:rPr>
        <w:t>нику також має бути чітко зазначено</w:t>
      </w:r>
      <w:r w:rsidRPr="00F43628">
        <w:rPr>
          <w:rFonts w:ascii="Times New Roman" w:hAnsi="Times New Roman" w:cs="Times New Roman"/>
          <w:color w:val="000000"/>
          <w:kern w:val="0"/>
          <w:sz w:val="24"/>
          <w:szCs w:val="24"/>
        </w:rPr>
        <w:t xml:space="preserve">, де </w:t>
      </w:r>
      <w:r w:rsidR="00C15611" w:rsidRPr="00F43628">
        <w:rPr>
          <w:rFonts w:ascii="Times New Roman" w:hAnsi="Times New Roman" w:cs="Times New Roman"/>
          <w:color w:val="000000"/>
          <w:kern w:val="0"/>
          <w:sz w:val="24"/>
          <w:szCs w:val="24"/>
        </w:rPr>
        <w:t>–</w:t>
      </w:r>
      <w:r w:rsidRPr="00F43628">
        <w:rPr>
          <w:rFonts w:ascii="Times New Roman" w:hAnsi="Times New Roman" w:cs="Times New Roman"/>
          <w:color w:val="000000"/>
          <w:kern w:val="0"/>
          <w:sz w:val="24"/>
          <w:szCs w:val="24"/>
        </w:rPr>
        <w:t xml:space="preserve"> в</w:t>
      </w:r>
      <w:r w:rsidR="00C15611" w:rsidRPr="00F43628">
        <w:rPr>
          <w:rFonts w:ascii="Times New Roman" w:hAnsi="Times New Roman" w:cs="Times New Roman"/>
          <w:color w:val="000000"/>
          <w:kern w:val="0"/>
          <w:sz w:val="24"/>
          <w:szCs w:val="24"/>
        </w:rPr>
        <w:t xml:space="preserve"> </w:t>
      </w:r>
      <w:r w:rsidRPr="00F43628">
        <w:rPr>
          <w:rFonts w:ascii="Times New Roman" w:hAnsi="Times New Roman" w:cs="Times New Roman"/>
          <w:color w:val="000000"/>
          <w:kern w:val="0"/>
          <w:sz w:val="24"/>
          <w:szCs w:val="24"/>
        </w:rPr>
        <w:t>кожному університеті-</w:t>
      </w:r>
      <w:r w:rsidR="001A1CD6">
        <w:rPr>
          <w:rFonts w:ascii="Times New Roman" w:hAnsi="Times New Roman" w:cs="Times New Roman"/>
          <w:color w:val="000000"/>
          <w:kern w:val="0"/>
          <w:sz w:val="24"/>
          <w:szCs w:val="24"/>
        </w:rPr>
        <w:t>партнері</w:t>
      </w:r>
      <w:r w:rsidRPr="00F43628">
        <w:rPr>
          <w:rFonts w:ascii="Times New Roman" w:hAnsi="Times New Roman" w:cs="Times New Roman"/>
          <w:color w:val="000000"/>
          <w:kern w:val="0"/>
          <w:sz w:val="24"/>
          <w:szCs w:val="24"/>
        </w:rPr>
        <w:t xml:space="preserve"> </w:t>
      </w:r>
      <w:r w:rsidR="00C15611" w:rsidRPr="00F43628">
        <w:rPr>
          <w:rFonts w:ascii="Times New Roman" w:hAnsi="Times New Roman" w:cs="Times New Roman"/>
          <w:color w:val="000000"/>
          <w:kern w:val="0"/>
          <w:sz w:val="24"/>
          <w:szCs w:val="24"/>
        </w:rPr>
        <w:t>–</w:t>
      </w:r>
      <w:r w:rsidRPr="00F43628">
        <w:rPr>
          <w:rFonts w:ascii="Times New Roman" w:hAnsi="Times New Roman" w:cs="Times New Roman"/>
          <w:color w:val="000000"/>
          <w:kern w:val="0"/>
          <w:sz w:val="24"/>
          <w:szCs w:val="24"/>
        </w:rPr>
        <w:t xml:space="preserve"> студенти</w:t>
      </w:r>
      <w:r w:rsidR="00C15611" w:rsidRPr="00F43628">
        <w:rPr>
          <w:rFonts w:ascii="Times New Roman" w:hAnsi="Times New Roman" w:cs="Times New Roman"/>
          <w:color w:val="000000"/>
          <w:kern w:val="0"/>
          <w:sz w:val="24"/>
          <w:szCs w:val="24"/>
        </w:rPr>
        <w:t xml:space="preserve"> </w:t>
      </w:r>
      <w:r w:rsidRPr="00F43628">
        <w:rPr>
          <w:rFonts w:ascii="Times New Roman" w:hAnsi="Times New Roman" w:cs="Times New Roman"/>
          <w:color w:val="000000"/>
          <w:kern w:val="0"/>
          <w:sz w:val="24"/>
          <w:szCs w:val="24"/>
        </w:rPr>
        <w:t xml:space="preserve">можуть замовити </w:t>
      </w:r>
      <w:r w:rsidR="00C15611" w:rsidRPr="00F43628">
        <w:rPr>
          <w:rFonts w:ascii="Times New Roman" w:hAnsi="Times New Roman" w:cs="Times New Roman"/>
          <w:color w:val="000000"/>
          <w:kern w:val="0"/>
          <w:sz w:val="24"/>
          <w:szCs w:val="24"/>
        </w:rPr>
        <w:t xml:space="preserve">витяг із </w:t>
      </w:r>
      <w:r w:rsidR="00F90BB6" w:rsidRPr="00F43628">
        <w:rPr>
          <w:rFonts w:ascii="Times New Roman" w:hAnsi="Times New Roman" w:cs="Times New Roman"/>
          <w:color w:val="000000"/>
          <w:kern w:val="0"/>
          <w:sz w:val="24"/>
          <w:szCs w:val="24"/>
        </w:rPr>
        <w:t xml:space="preserve">залікової відомості із зазначенням </w:t>
      </w:r>
      <w:r w:rsidR="001A1CD6">
        <w:rPr>
          <w:rFonts w:ascii="Times New Roman" w:hAnsi="Times New Roman" w:cs="Times New Roman"/>
          <w:color w:val="000000"/>
          <w:kern w:val="0"/>
          <w:sz w:val="24"/>
          <w:szCs w:val="24"/>
        </w:rPr>
        <w:t>оцінок</w:t>
      </w:r>
      <w:r w:rsidRPr="00F43628">
        <w:rPr>
          <w:rFonts w:ascii="Times New Roman" w:hAnsi="Times New Roman" w:cs="Times New Roman"/>
          <w:color w:val="000000"/>
          <w:kern w:val="0"/>
          <w:sz w:val="24"/>
          <w:szCs w:val="24"/>
        </w:rPr>
        <w:t>.</w:t>
      </w:r>
    </w:p>
    <w:p w14:paraId="64DA0C8F" w14:textId="4037A4B9" w:rsidR="001C1F18" w:rsidRPr="00F43628" w:rsidRDefault="001C1F18"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Найкращі результати досягаються тоді, коли виклада</w:t>
      </w:r>
      <w:r w:rsidR="00F90BB6" w:rsidRPr="00F43628">
        <w:rPr>
          <w:rFonts w:ascii="Times New Roman" w:hAnsi="Times New Roman" w:cs="Times New Roman"/>
          <w:kern w:val="0"/>
          <w:sz w:val="24"/>
          <w:szCs w:val="24"/>
        </w:rPr>
        <w:t>цький склад</w:t>
      </w:r>
      <w:r w:rsidRPr="00F43628">
        <w:rPr>
          <w:rFonts w:ascii="Times New Roman" w:hAnsi="Times New Roman" w:cs="Times New Roman"/>
          <w:kern w:val="0"/>
          <w:sz w:val="24"/>
          <w:szCs w:val="24"/>
        </w:rPr>
        <w:t xml:space="preserve"> регулярно зустріча</w:t>
      </w:r>
      <w:r w:rsidR="00947D92">
        <w:rPr>
          <w:rFonts w:ascii="Times New Roman" w:hAnsi="Times New Roman" w:cs="Times New Roman"/>
          <w:kern w:val="0"/>
          <w:sz w:val="24"/>
          <w:szCs w:val="24"/>
        </w:rPr>
        <w:t>є</w:t>
      </w:r>
      <w:r w:rsidRPr="00F43628">
        <w:rPr>
          <w:rFonts w:ascii="Times New Roman" w:hAnsi="Times New Roman" w:cs="Times New Roman"/>
          <w:kern w:val="0"/>
          <w:sz w:val="24"/>
          <w:szCs w:val="24"/>
        </w:rPr>
        <w:t xml:space="preserve">ться на заходах на рівні </w:t>
      </w:r>
      <w:r w:rsidR="000160C7">
        <w:rPr>
          <w:rFonts w:ascii="Times New Roman" w:hAnsi="Times New Roman" w:cs="Times New Roman"/>
          <w:kern w:val="0"/>
          <w:sz w:val="24"/>
          <w:szCs w:val="24"/>
        </w:rPr>
        <w:t xml:space="preserve">спільної </w:t>
      </w:r>
      <w:r w:rsidRPr="00F43628">
        <w:rPr>
          <w:rFonts w:ascii="Times New Roman" w:hAnsi="Times New Roman" w:cs="Times New Roman"/>
          <w:kern w:val="0"/>
          <w:sz w:val="24"/>
          <w:szCs w:val="24"/>
        </w:rPr>
        <w:t xml:space="preserve">програми, щоб обговорити зміст курсу, методи викладання та </w:t>
      </w:r>
      <w:r w:rsidR="00F90BB6" w:rsidRPr="00F43628">
        <w:rPr>
          <w:rFonts w:ascii="Times New Roman" w:hAnsi="Times New Roman" w:cs="Times New Roman"/>
          <w:kern w:val="0"/>
          <w:sz w:val="24"/>
          <w:szCs w:val="24"/>
        </w:rPr>
        <w:t>методи спільного нагляду за студентами,</w:t>
      </w:r>
      <w:r w:rsidRPr="00F43628">
        <w:rPr>
          <w:rFonts w:ascii="Times New Roman" w:hAnsi="Times New Roman" w:cs="Times New Roman"/>
          <w:kern w:val="0"/>
          <w:sz w:val="24"/>
          <w:szCs w:val="24"/>
        </w:rPr>
        <w:t xml:space="preserve"> а також практики оцінювання з метою досягнення більшої гармонізації в оцінюванні результатів навчання.</w:t>
      </w:r>
    </w:p>
    <w:p w14:paraId="65DE9E36" w14:textId="793C3F7D" w:rsidR="001C1F18" w:rsidRPr="00F43628" w:rsidRDefault="0084756E" w:rsidP="0094404A">
      <w:pPr>
        <w:autoSpaceDE w:val="0"/>
        <w:autoSpaceDN w:val="0"/>
        <w:adjustRightInd w:val="0"/>
        <w:spacing w:after="120"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Політика оцінювання повинна чітко визначати, що вважається незадовільним результатом</w:t>
      </w:r>
      <w:r w:rsidR="001C1F18"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Невиконання вимог може відрізнятися між закладами, і це має бути чітко доведено до відома </w:t>
      </w:r>
      <w:r w:rsidR="00DF4FAE">
        <w:rPr>
          <w:rFonts w:ascii="Times New Roman" w:hAnsi="Times New Roman" w:cs="Times New Roman"/>
          <w:kern w:val="0"/>
          <w:sz w:val="24"/>
          <w:szCs w:val="24"/>
        </w:rPr>
        <w:t>закладів-</w:t>
      </w:r>
      <w:r w:rsidRPr="00F43628">
        <w:rPr>
          <w:rFonts w:ascii="Times New Roman" w:hAnsi="Times New Roman" w:cs="Times New Roman"/>
          <w:kern w:val="0"/>
          <w:sz w:val="24"/>
          <w:szCs w:val="24"/>
        </w:rPr>
        <w:t xml:space="preserve">партнерів </w:t>
      </w:r>
      <w:r w:rsidR="00DF4FAE">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студентів</w:t>
      </w:r>
      <w:r w:rsidR="001C1F18"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Необхідно</w:t>
      </w:r>
      <w:r w:rsidR="001C1F18" w:rsidRPr="00F43628">
        <w:rPr>
          <w:rFonts w:ascii="Times New Roman" w:hAnsi="Times New Roman" w:cs="Times New Roman"/>
          <w:kern w:val="0"/>
          <w:sz w:val="24"/>
          <w:szCs w:val="24"/>
        </w:rPr>
        <w:t xml:space="preserve"> нада</w:t>
      </w:r>
      <w:r w:rsidRPr="00F43628">
        <w:rPr>
          <w:rFonts w:ascii="Times New Roman" w:hAnsi="Times New Roman" w:cs="Times New Roman"/>
          <w:kern w:val="0"/>
          <w:sz w:val="24"/>
          <w:szCs w:val="24"/>
        </w:rPr>
        <w:t>ти</w:t>
      </w:r>
      <w:r w:rsidR="001C1F18" w:rsidRPr="00F43628">
        <w:rPr>
          <w:rFonts w:ascii="Times New Roman" w:hAnsi="Times New Roman" w:cs="Times New Roman"/>
          <w:kern w:val="0"/>
          <w:sz w:val="24"/>
          <w:szCs w:val="24"/>
        </w:rPr>
        <w:t xml:space="preserve"> достатні можливості для перескладання </w:t>
      </w:r>
      <w:r w:rsidR="00DF4FAE">
        <w:rPr>
          <w:rFonts w:ascii="Times New Roman" w:hAnsi="Times New Roman" w:cs="Times New Roman"/>
          <w:kern w:val="0"/>
          <w:sz w:val="24"/>
          <w:szCs w:val="24"/>
        </w:rPr>
        <w:t>екзаменів, заліків</w:t>
      </w:r>
      <w:r w:rsidR="001C1F18" w:rsidRPr="00F43628">
        <w:rPr>
          <w:rFonts w:ascii="Times New Roman" w:hAnsi="Times New Roman" w:cs="Times New Roman"/>
          <w:kern w:val="0"/>
          <w:sz w:val="24"/>
          <w:szCs w:val="24"/>
        </w:rPr>
        <w:t xml:space="preserve"> і повторного проходження </w:t>
      </w:r>
      <w:r w:rsidR="00DF4FAE">
        <w:rPr>
          <w:rFonts w:ascii="Times New Roman" w:hAnsi="Times New Roman" w:cs="Times New Roman"/>
          <w:kern w:val="0"/>
          <w:sz w:val="24"/>
          <w:szCs w:val="24"/>
        </w:rPr>
        <w:t>навчання за навчальною дисципліною/модулем</w:t>
      </w:r>
      <w:r w:rsidR="00DF4FAE" w:rsidRPr="00F43628">
        <w:rPr>
          <w:rFonts w:ascii="Times New Roman" w:hAnsi="Times New Roman" w:cs="Times New Roman"/>
          <w:kern w:val="0"/>
          <w:sz w:val="24"/>
          <w:szCs w:val="24"/>
        </w:rPr>
        <w:t xml:space="preserve"> </w:t>
      </w:r>
      <w:r w:rsidR="001C1F18" w:rsidRPr="00F43628">
        <w:rPr>
          <w:rFonts w:ascii="Times New Roman" w:hAnsi="Times New Roman" w:cs="Times New Roman"/>
          <w:kern w:val="0"/>
          <w:sz w:val="24"/>
          <w:szCs w:val="24"/>
        </w:rPr>
        <w:t xml:space="preserve">за погодженням між </w:t>
      </w:r>
      <w:r w:rsidR="00C5279F">
        <w:rPr>
          <w:rFonts w:ascii="Times New Roman" w:hAnsi="Times New Roman" w:cs="Times New Roman"/>
          <w:kern w:val="0"/>
          <w:sz w:val="24"/>
          <w:szCs w:val="24"/>
        </w:rPr>
        <w:t>закладами-</w:t>
      </w:r>
      <w:r w:rsidR="001C1F18" w:rsidRPr="00F43628">
        <w:rPr>
          <w:rFonts w:ascii="Times New Roman" w:hAnsi="Times New Roman" w:cs="Times New Roman"/>
          <w:kern w:val="0"/>
          <w:sz w:val="24"/>
          <w:szCs w:val="24"/>
        </w:rPr>
        <w:t>партнерами. Заклади-партнери повинні узгодити правила відрахування у випадку, якщо студенти добре встигають в одному з них, але не в іншому. На деяких програмах відрахування одним партнером означає відрахування з усієї програми. Партнери також повинні обговорити політику повторного вступу.</w:t>
      </w:r>
    </w:p>
    <w:p w14:paraId="5409AB41" w14:textId="0598FCCA" w:rsidR="001C1F18" w:rsidRPr="00C5279F" w:rsidRDefault="001C1F18"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hyperlink r:id="rId37" w:history="1">
        <w:r w:rsidRPr="00F43628">
          <w:rPr>
            <w:rStyle w:val="a8"/>
            <w:rFonts w:ascii="Times New Roman" w:hAnsi="Times New Roman" w:cs="Times New Roman"/>
            <w:sz w:val="24"/>
            <w:szCs w:val="24"/>
          </w:rPr>
          <w:t>Інструмент EGRACONS</w:t>
        </w:r>
      </w:hyperlink>
      <w:r w:rsidR="004B52D6" w:rsidRPr="00F43628">
        <w:rPr>
          <w:rFonts w:ascii="Times New Roman" w:hAnsi="Times New Roman" w:cs="Times New Roman"/>
          <w:color w:val="000000"/>
          <w:kern w:val="0"/>
          <w:sz w:val="24"/>
          <w:szCs w:val="24"/>
        </w:rPr>
        <w:t xml:space="preserve"> – це веб-інструмент для переведення оцінок, доступний для закладів вищої освіти </w:t>
      </w:r>
      <w:r w:rsidRPr="00F43628">
        <w:rPr>
          <w:rFonts w:ascii="Times New Roman" w:hAnsi="Times New Roman" w:cs="Times New Roman"/>
          <w:color w:val="000000"/>
          <w:kern w:val="0"/>
          <w:sz w:val="24"/>
          <w:szCs w:val="24"/>
        </w:rPr>
        <w:t xml:space="preserve">(в Європі та за її межами), які надають таблиці розподілу оцінок за ступенями. </w:t>
      </w:r>
      <w:r w:rsidRPr="00C5279F">
        <w:rPr>
          <w:rFonts w:ascii="Times New Roman" w:hAnsi="Times New Roman" w:cs="Times New Roman"/>
          <w:color w:val="000000"/>
          <w:kern w:val="0"/>
          <w:sz w:val="24"/>
          <w:szCs w:val="24"/>
        </w:rPr>
        <w:lastRenderedPageBreak/>
        <w:t>Система була розроблена у тісному зв</w:t>
      </w:r>
      <w:r w:rsidR="004B52D6" w:rsidRPr="00C5279F">
        <w:rPr>
          <w:rFonts w:ascii="Times New Roman" w:hAnsi="Times New Roman" w:cs="Times New Roman"/>
          <w:color w:val="000000"/>
          <w:kern w:val="0"/>
          <w:sz w:val="24"/>
          <w:szCs w:val="24"/>
        </w:rPr>
        <w:t>’</w:t>
      </w:r>
      <w:r w:rsidRPr="00C5279F">
        <w:rPr>
          <w:rFonts w:ascii="Times New Roman" w:hAnsi="Times New Roman" w:cs="Times New Roman"/>
          <w:color w:val="000000"/>
          <w:kern w:val="0"/>
          <w:sz w:val="24"/>
          <w:szCs w:val="24"/>
        </w:rPr>
        <w:t>язку з рекомендаціями</w:t>
      </w:r>
      <w:r w:rsidR="00364F1E" w:rsidRPr="00C5279F">
        <w:rPr>
          <w:rFonts w:ascii="Times New Roman" w:hAnsi="Times New Roman" w:cs="Times New Roman"/>
          <w:color w:val="000000"/>
          <w:kern w:val="0"/>
          <w:sz w:val="24"/>
          <w:szCs w:val="24"/>
        </w:rPr>
        <w:t xml:space="preserve"> посібника</w:t>
      </w:r>
      <w:r w:rsidRPr="00C5279F">
        <w:rPr>
          <w:rFonts w:ascii="Times New Roman" w:hAnsi="Times New Roman" w:cs="Times New Roman"/>
          <w:color w:val="000000"/>
          <w:kern w:val="0"/>
          <w:sz w:val="24"/>
          <w:szCs w:val="24"/>
        </w:rPr>
        <w:t xml:space="preserve"> </w:t>
      </w:r>
      <w:r w:rsidR="00364F1E" w:rsidRPr="00C5279F">
        <w:rPr>
          <w:rFonts w:ascii="Times New Roman" w:hAnsi="Times New Roman" w:cs="Times New Roman"/>
          <w:color w:val="000000"/>
          <w:kern w:val="0"/>
          <w:sz w:val="24"/>
          <w:szCs w:val="24"/>
        </w:rPr>
        <w:t>ECTS Users’ Guide</w:t>
      </w:r>
      <w:r w:rsidRPr="00C5279F">
        <w:rPr>
          <w:rFonts w:ascii="Times New Roman" w:hAnsi="Times New Roman" w:cs="Times New Roman"/>
          <w:color w:val="000000"/>
          <w:kern w:val="0"/>
          <w:sz w:val="24"/>
          <w:szCs w:val="24"/>
        </w:rPr>
        <w:t xml:space="preserve"> і </w:t>
      </w:r>
      <w:r w:rsidR="005002CE" w:rsidRPr="00C5279F">
        <w:rPr>
          <w:rFonts w:ascii="Times New Roman" w:hAnsi="Times New Roman" w:cs="Times New Roman"/>
          <w:color w:val="000000"/>
          <w:kern w:val="0"/>
          <w:sz w:val="24"/>
          <w:szCs w:val="24"/>
        </w:rPr>
        <w:t>уможливлює</w:t>
      </w:r>
      <w:r w:rsidRPr="00C5279F">
        <w:rPr>
          <w:rFonts w:ascii="Times New Roman" w:hAnsi="Times New Roman" w:cs="Times New Roman"/>
          <w:color w:val="000000"/>
          <w:kern w:val="0"/>
          <w:sz w:val="24"/>
          <w:szCs w:val="24"/>
        </w:rPr>
        <w:t xml:space="preserve"> прозор</w:t>
      </w:r>
      <w:r w:rsidR="005002CE" w:rsidRPr="00C5279F">
        <w:rPr>
          <w:rFonts w:ascii="Times New Roman" w:hAnsi="Times New Roman" w:cs="Times New Roman"/>
          <w:color w:val="000000"/>
          <w:kern w:val="0"/>
          <w:sz w:val="24"/>
          <w:szCs w:val="24"/>
        </w:rPr>
        <w:t>е тлумачення</w:t>
      </w:r>
      <w:r w:rsidRPr="00C5279F">
        <w:rPr>
          <w:rFonts w:ascii="Times New Roman" w:hAnsi="Times New Roman" w:cs="Times New Roman"/>
          <w:color w:val="000000"/>
          <w:kern w:val="0"/>
          <w:sz w:val="24"/>
          <w:szCs w:val="24"/>
        </w:rPr>
        <w:t xml:space="preserve"> досягнен</w:t>
      </w:r>
      <w:r w:rsidR="005002CE" w:rsidRPr="00C5279F">
        <w:rPr>
          <w:rFonts w:ascii="Times New Roman" w:hAnsi="Times New Roman" w:cs="Times New Roman"/>
          <w:color w:val="000000"/>
          <w:kern w:val="0"/>
          <w:sz w:val="24"/>
          <w:szCs w:val="24"/>
        </w:rPr>
        <w:t>ь</w:t>
      </w:r>
      <w:r w:rsidRPr="00C5279F">
        <w:rPr>
          <w:rFonts w:ascii="Times New Roman" w:hAnsi="Times New Roman" w:cs="Times New Roman"/>
          <w:color w:val="000000"/>
          <w:kern w:val="0"/>
          <w:sz w:val="24"/>
          <w:szCs w:val="24"/>
        </w:rPr>
        <w:t xml:space="preserve"> студентів за кордоном.</w:t>
      </w:r>
    </w:p>
    <w:p w14:paraId="32E19167" w14:textId="11A28430" w:rsidR="001C1F18" w:rsidRPr="009967C4" w:rsidRDefault="009967C4" w:rsidP="00C5279F">
      <w:pPr>
        <w:keepNext/>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sidRPr="009967C4">
        <w:rPr>
          <w:rFonts w:ascii="Times New Roman" w:hAnsi="Times New Roman" w:cs="Times New Roman"/>
          <w:b/>
          <w:bCs/>
          <w:color w:val="365F91" w:themeColor="accent1" w:themeShade="BF"/>
          <w:kern w:val="0"/>
          <w:sz w:val="24"/>
          <w:szCs w:val="24"/>
        </w:rPr>
        <w:t xml:space="preserve">8.4. </w:t>
      </w:r>
      <w:r w:rsidR="001C1F18" w:rsidRPr="009967C4">
        <w:rPr>
          <w:rFonts w:ascii="Times New Roman" w:hAnsi="Times New Roman" w:cs="Times New Roman"/>
          <w:b/>
          <w:bCs/>
          <w:color w:val="365F91" w:themeColor="accent1" w:themeShade="BF"/>
          <w:kern w:val="0"/>
          <w:sz w:val="24"/>
          <w:szCs w:val="24"/>
        </w:rPr>
        <w:t>Накопичення кредит</w:t>
      </w:r>
      <w:r w:rsidR="005002CE" w:rsidRPr="009967C4">
        <w:rPr>
          <w:rFonts w:ascii="Times New Roman" w:hAnsi="Times New Roman" w:cs="Times New Roman"/>
          <w:b/>
          <w:bCs/>
          <w:color w:val="365F91" w:themeColor="accent1" w:themeShade="BF"/>
          <w:kern w:val="0"/>
          <w:sz w:val="24"/>
          <w:szCs w:val="24"/>
        </w:rPr>
        <w:t>ів</w:t>
      </w:r>
      <w:r>
        <w:rPr>
          <w:rFonts w:ascii="Times New Roman" w:hAnsi="Times New Roman" w:cs="Times New Roman"/>
          <w:b/>
          <w:bCs/>
          <w:color w:val="365F91" w:themeColor="accent1" w:themeShade="BF"/>
          <w:kern w:val="0"/>
          <w:sz w:val="24"/>
          <w:szCs w:val="24"/>
        </w:rPr>
        <w:t xml:space="preserve"> ЄКТС</w:t>
      </w:r>
    </w:p>
    <w:p w14:paraId="4E7B34C1" w14:textId="53BEB64D" w:rsidR="001C1F18" w:rsidRPr="00C5279F" w:rsidRDefault="001C1F18"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Підхід подвійного або потрійного зарахування одного й того ж навчального навантаження студента (тобто зарахування </w:t>
      </w:r>
      <w:r w:rsidR="00FB7B6B" w:rsidRPr="00C5279F">
        <w:rPr>
          <w:rFonts w:ascii="Times New Roman" w:hAnsi="Times New Roman" w:cs="Times New Roman"/>
          <w:kern w:val="0"/>
          <w:sz w:val="24"/>
          <w:szCs w:val="24"/>
        </w:rPr>
        <w:t>тих самих</w:t>
      </w:r>
      <w:r w:rsidRPr="00C5279F">
        <w:rPr>
          <w:rFonts w:ascii="Times New Roman" w:hAnsi="Times New Roman" w:cs="Times New Roman"/>
          <w:kern w:val="0"/>
          <w:sz w:val="24"/>
          <w:szCs w:val="24"/>
        </w:rPr>
        <w:t xml:space="preserve"> кредитів у різних університетах консорціуму) може поставити під загрозу академічну доброчесність програми.</w:t>
      </w:r>
      <w:r w:rsidR="00FC4D59" w:rsidRPr="00C5279F">
        <w:rPr>
          <w:rFonts w:ascii="Times New Roman" w:hAnsi="Times New Roman" w:cs="Times New Roman"/>
          <w:kern w:val="0"/>
          <w:sz w:val="24"/>
          <w:szCs w:val="24"/>
        </w:rPr>
        <w:t xml:space="preserve"> </w:t>
      </w:r>
      <w:r w:rsidR="00C5279F" w:rsidRPr="00C5279F">
        <w:rPr>
          <w:rFonts w:ascii="Times New Roman" w:hAnsi="Times New Roman" w:cs="Times New Roman"/>
          <w:kern w:val="0"/>
          <w:sz w:val="24"/>
          <w:szCs w:val="24"/>
        </w:rPr>
        <w:t>К</w:t>
      </w:r>
      <w:r w:rsidRPr="00C5279F">
        <w:rPr>
          <w:rFonts w:ascii="Times New Roman" w:hAnsi="Times New Roman" w:cs="Times New Roman"/>
          <w:kern w:val="0"/>
          <w:sz w:val="24"/>
          <w:szCs w:val="24"/>
        </w:rPr>
        <w:t>онсорціум</w:t>
      </w:r>
      <w:r w:rsidR="00C5279F" w:rsidRPr="00C5279F">
        <w:rPr>
          <w:rFonts w:ascii="Times New Roman" w:hAnsi="Times New Roman" w:cs="Times New Roman"/>
          <w:kern w:val="0"/>
          <w:sz w:val="24"/>
          <w:szCs w:val="24"/>
        </w:rPr>
        <w:t>и</w:t>
      </w:r>
      <w:r w:rsidRPr="00C5279F">
        <w:rPr>
          <w:rFonts w:ascii="Times New Roman" w:hAnsi="Times New Roman" w:cs="Times New Roman"/>
          <w:kern w:val="0"/>
          <w:sz w:val="24"/>
          <w:szCs w:val="24"/>
        </w:rPr>
        <w:t xml:space="preserve"> спільних програм </w:t>
      </w:r>
      <w:r w:rsidR="00C5279F" w:rsidRPr="00C5279F">
        <w:rPr>
          <w:rFonts w:ascii="Times New Roman" w:hAnsi="Times New Roman" w:cs="Times New Roman"/>
          <w:kern w:val="0"/>
          <w:sz w:val="24"/>
          <w:szCs w:val="24"/>
        </w:rPr>
        <w:t xml:space="preserve">мають </w:t>
      </w:r>
      <w:r w:rsidRPr="00C5279F">
        <w:rPr>
          <w:rFonts w:ascii="Times New Roman" w:hAnsi="Times New Roman" w:cs="Times New Roman"/>
          <w:kern w:val="0"/>
          <w:sz w:val="24"/>
          <w:szCs w:val="24"/>
        </w:rPr>
        <w:t xml:space="preserve">регулювати та уникати подвійного зарахування кредитів, чітко вказуючи в Додатку до диплома </w:t>
      </w:r>
      <w:r w:rsidR="00C5279F" w:rsidRPr="00C5279F">
        <w:rPr>
          <w:rFonts w:ascii="Times New Roman" w:hAnsi="Times New Roman" w:cs="Times New Roman"/>
          <w:kern w:val="0"/>
          <w:sz w:val="24"/>
          <w:szCs w:val="24"/>
        </w:rPr>
        <w:t>навчальні дисципліни/</w:t>
      </w:r>
      <w:r w:rsidRPr="00C5279F">
        <w:rPr>
          <w:rFonts w:ascii="Times New Roman" w:hAnsi="Times New Roman" w:cs="Times New Roman"/>
          <w:kern w:val="0"/>
          <w:sz w:val="24"/>
          <w:szCs w:val="24"/>
        </w:rPr>
        <w:t xml:space="preserve">модулі та </w:t>
      </w:r>
      <w:r w:rsidR="00C5279F" w:rsidRPr="00C5279F">
        <w:rPr>
          <w:rFonts w:ascii="Times New Roman" w:hAnsi="Times New Roman" w:cs="Times New Roman"/>
          <w:kern w:val="0"/>
          <w:sz w:val="24"/>
          <w:szCs w:val="24"/>
        </w:rPr>
        <w:t>екзамени</w:t>
      </w:r>
      <w:r w:rsidRPr="00C5279F">
        <w:rPr>
          <w:rFonts w:ascii="Times New Roman" w:hAnsi="Times New Roman" w:cs="Times New Roman"/>
          <w:kern w:val="0"/>
          <w:sz w:val="24"/>
          <w:szCs w:val="24"/>
        </w:rPr>
        <w:t xml:space="preserve">, які склав студент, а також період часу, який студент провів у кожному </w:t>
      </w:r>
      <w:r w:rsidR="00C5279F" w:rsidRPr="00C5279F">
        <w:rPr>
          <w:rFonts w:ascii="Times New Roman" w:hAnsi="Times New Roman" w:cs="Times New Roman"/>
          <w:kern w:val="0"/>
          <w:sz w:val="24"/>
          <w:szCs w:val="24"/>
        </w:rPr>
        <w:t>закладі</w:t>
      </w:r>
      <w:r w:rsidRPr="00C5279F">
        <w:rPr>
          <w:rFonts w:ascii="Times New Roman" w:hAnsi="Times New Roman" w:cs="Times New Roman"/>
          <w:kern w:val="0"/>
          <w:sz w:val="24"/>
          <w:szCs w:val="24"/>
        </w:rPr>
        <w:t>-партнері.</w:t>
      </w:r>
    </w:p>
    <w:p w14:paraId="75C8800E" w14:textId="36FBA769" w:rsidR="001C1F18" w:rsidRPr="009967C4" w:rsidRDefault="001C1F18" w:rsidP="00C5279F">
      <w:pPr>
        <w:pStyle w:val="2"/>
        <w:spacing w:before="100" w:beforeAutospacing="1" w:after="100" w:afterAutospacing="1" w:line="240" w:lineRule="auto"/>
        <w:rPr>
          <w:rFonts w:ascii="Times New Roman" w:hAnsi="Times New Roman" w:cs="Times New Roman"/>
          <w:b/>
          <w:bCs/>
          <w:sz w:val="24"/>
          <w:szCs w:val="24"/>
        </w:rPr>
      </w:pPr>
      <w:bookmarkStart w:id="24" w:name="_Toc188337432"/>
      <w:r w:rsidRPr="009967C4">
        <w:rPr>
          <w:rFonts w:ascii="Times New Roman" w:hAnsi="Times New Roman" w:cs="Times New Roman"/>
          <w:b/>
          <w:bCs/>
          <w:sz w:val="24"/>
          <w:szCs w:val="24"/>
        </w:rPr>
        <w:t>8.</w:t>
      </w:r>
      <w:r w:rsidR="009967C4">
        <w:rPr>
          <w:rFonts w:ascii="Times New Roman" w:hAnsi="Times New Roman" w:cs="Times New Roman"/>
          <w:b/>
          <w:bCs/>
          <w:sz w:val="24"/>
          <w:szCs w:val="24"/>
        </w:rPr>
        <w:t>5</w:t>
      </w:r>
      <w:r w:rsidRPr="009967C4">
        <w:rPr>
          <w:rFonts w:ascii="Times New Roman" w:hAnsi="Times New Roman" w:cs="Times New Roman"/>
          <w:b/>
          <w:bCs/>
          <w:sz w:val="24"/>
          <w:szCs w:val="24"/>
        </w:rPr>
        <w:t>.</w:t>
      </w:r>
      <w:r w:rsidR="00DD313D" w:rsidRPr="009967C4">
        <w:rPr>
          <w:rFonts w:ascii="Times New Roman" w:hAnsi="Times New Roman" w:cs="Times New Roman"/>
          <w:b/>
          <w:bCs/>
          <w:sz w:val="24"/>
          <w:szCs w:val="24"/>
        </w:rPr>
        <w:t xml:space="preserve"> </w:t>
      </w:r>
      <w:r w:rsidR="00FB7B6B" w:rsidRPr="009967C4">
        <w:rPr>
          <w:rFonts w:ascii="Times New Roman" w:hAnsi="Times New Roman" w:cs="Times New Roman"/>
          <w:b/>
          <w:bCs/>
          <w:sz w:val="24"/>
          <w:szCs w:val="24"/>
        </w:rPr>
        <w:t>Послуги для с</w:t>
      </w:r>
      <w:r w:rsidRPr="009967C4">
        <w:rPr>
          <w:rFonts w:ascii="Times New Roman" w:hAnsi="Times New Roman" w:cs="Times New Roman"/>
          <w:b/>
          <w:bCs/>
          <w:sz w:val="24"/>
          <w:szCs w:val="24"/>
        </w:rPr>
        <w:t>тудент</w:t>
      </w:r>
      <w:r w:rsidR="00FB7B6B" w:rsidRPr="009967C4">
        <w:rPr>
          <w:rFonts w:ascii="Times New Roman" w:hAnsi="Times New Roman" w:cs="Times New Roman"/>
          <w:b/>
          <w:bCs/>
          <w:sz w:val="24"/>
          <w:szCs w:val="24"/>
        </w:rPr>
        <w:t>ів</w:t>
      </w:r>
      <w:bookmarkEnd w:id="24"/>
    </w:p>
    <w:p w14:paraId="1E81CA5C" w14:textId="1309CEC2" w:rsidR="001C1F18" w:rsidRPr="00C5279F" w:rsidRDefault="001C1F18"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На початку спільної програми корисно надіслати студентам необхідну академічну, практичну та соціокультурну інформацію. </w:t>
      </w:r>
      <w:r w:rsidR="009967C4">
        <w:rPr>
          <w:rFonts w:ascii="Times New Roman" w:hAnsi="Times New Roman" w:cs="Times New Roman"/>
          <w:kern w:val="0"/>
          <w:sz w:val="24"/>
          <w:szCs w:val="24"/>
        </w:rPr>
        <w:t>П</w:t>
      </w:r>
      <w:r w:rsidRPr="00C5279F">
        <w:rPr>
          <w:rFonts w:ascii="Times New Roman" w:hAnsi="Times New Roman" w:cs="Times New Roman"/>
          <w:kern w:val="0"/>
          <w:sz w:val="24"/>
          <w:szCs w:val="24"/>
        </w:rPr>
        <w:t xml:space="preserve">ослуги, </w:t>
      </w:r>
      <w:r w:rsidR="006A66F0" w:rsidRPr="00C5279F">
        <w:rPr>
          <w:rFonts w:ascii="Times New Roman" w:hAnsi="Times New Roman" w:cs="Times New Roman"/>
          <w:kern w:val="0"/>
          <w:sz w:val="24"/>
          <w:szCs w:val="24"/>
        </w:rPr>
        <w:t>призначені для</w:t>
      </w:r>
      <w:r w:rsidRPr="00C5279F">
        <w:rPr>
          <w:rFonts w:ascii="Times New Roman" w:hAnsi="Times New Roman" w:cs="Times New Roman"/>
          <w:kern w:val="0"/>
          <w:sz w:val="24"/>
          <w:szCs w:val="24"/>
        </w:rPr>
        <w:t xml:space="preserve"> студент</w:t>
      </w:r>
      <w:r w:rsidR="006A66F0" w:rsidRPr="00C5279F">
        <w:rPr>
          <w:rFonts w:ascii="Times New Roman" w:hAnsi="Times New Roman" w:cs="Times New Roman"/>
          <w:kern w:val="0"/>
          <w:sz w:val="24"/>
          <w:szCs w:val="24"/>
        </w:rPr>
        <w:t>ів</w:t>
      </w:r>
      <w:r w:rsidRPr="00C5279F">
        <w:rPr>
          <w:rFonts w:ascii="Times New Roman" w:hAnsi="Times New Roman" w:cs="Times New Roman"/>
          <w:kern w:val="0"/>
          <w:sz w:val="24"/>
          <w:szCs w:val="24"/>
        </w:rPr>
        <w:t xml:space="preserve"> спільних програм, мають бути інтегровані в загальн</w:t>
      </w:r>
      <w:r w:rsidR="006A66F0" w:rsidRPr="00C5279F">
        <w:rPr>
          <w:rFonts w:ascii="Times New Roman" w:hAnsi="Times New Roman" w:cs="Times New Roman"/>
          <w:kern w:val="0"/>
          <w:sz w:val="24"/>
          <w:szCs w:val="24"/>
        </w:rPr>
        <w:t>і послуги</w:t>
      </w:r>
      <w:r w:rsidRPr="00C5279F">
        <w:rPr>
          <w:rFonts w:ascii="Times New Roman" w:hAnsi="Times New Roman" w:cs="Times New Roman"/>
          <w:kern w:val="0"/>
          <w:sz w:val="24"/>
          <w:szCs w:val="24"/>
        </w:rPr>
        <w:t>, що нада</w:t>
      </w:r>
      <w:r w:rsidR="006A66F0" w:rsidRPr="00C5279F">
        <w:rPr>
          <w:rFonts w:ascii="Times New Roman" w:hAnsi="Times New Roman" w:cs="Times New Roman"/>
          <w:kern w:val="0"/>
          <w:sz w:val="24"/>
          <w:szCs w:val="24"/>
        </w:rPr>
        <w:t>ю</w:t>
      </w:r>
      <w:r w:rsidRPr="00C5279F">
        <w:rPr>
          <w:rFonts w:ascii="Times New Roman" w:hAnsi="Times New Roman" w:cs="Times New Roman"/>
          <w:kern w:val="0"/>
          <w:sz w:val="24"/>
          <w:szCs w:val="24"/>
        </w:rPr>
        <w:t>ться всім студентам</w:t>
      </w:r>
      <w:r w:rsidR="006A66F0" w:rsidRPr="00C5279F">
        <w:rPr>
          <w:rFonts w:ascii="Times New Roman" w:hAnsi="Times New Roman" w:cs="Times New Roman"/>
          <w:kern w:val="0"/>
          <w:sz w:val="24"/>
          <w:szCs w:val="24"/>
        </w:rPr>
        <w:t>.</w:t>
      </w:r>
    </w:p>
    <w:p w14:paraId="743CE916" w14:textId="06356F69" w:rsidR="001C1F18" w:rsidRPr="00C5279F" w:rsidRDefault="006A66F0"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Оскільки багато </w:t>
      </w:r>
      <w:r w:rsidR="001F7840">
        <w:rPr>
          <w:rFonts w:ascii="Times New Roman" w:hAnsi="Times New Roman" w:cs="Times New Roman"/>
          <w:kern w:val="0"/>
          <w:sz w:val="24"/>
          <w:szCs w:val="24"/>
        </w:rPr>
        <w:t xml:space="preserve">міжнародних </w:t>
      </w:r>
      <w:r w:rsidRPr="00C5279F">
        <w:rPr>
          <w:rFonts w:ascii="Times New Roman" w:hAnsi="Times New Roman" w:cs="Times New Roman"/>
          <w:kern w:val="0"/>
          <w:sz w:val="24"/>
          <w:szCs w:val="24"/>
        </w:rPr>
        <w:t>спільних програм підтримуються конкурентними стипенді</w:t>
      </w:r>
      <w:r w:rsidR="00B20B4D" w:rsidRPr="00C5279F">
        <w:rPr>
          <w:rFonts w:ascii="Times New Roman" w:hAnsi="Times New Roman" w:cs="Times New Roman"/>
          <w:kern w:val="0"/>
          <w:sz w:val="24"/>
          <w:szCs w:val="24"/>
        </w:rPr>
        <w:t>аль</w:t>
      </w:r>
      <w:r w:rsidRPr="00C5279F">
        <w:rPr>
          <w:rFonts w:ascii="Times New Roman" w:hAnsi="Times New Roman" w:cs="Times New Roman"/>
          <w:kern w:val="0"/>
          <w:sz w:val="24"/>
          <w:szCs w:val="24"/>
        </w:rPr>
        <w:t xml:space="preserve">ними схемами, у вітальній інформації слід вказати строки подання заявок на відповідні </w:t>
      </w:r>
      <w:r w:rsidRPr="009967C4">
        <w:rPr>
          <w:rFonts w:ascii="Times New Roman" w:hAnsi="Times New Roman" w:cs="Times New Roman"/>
          <w:i/>
          <w:iCs/>
          <w:kern w:val="0"/>
          <w:sz w:val="24"/>
          <w:szCs w:val="24"/>
        </w:rPr>
        <w:t>стипендії</w:t>
      </w:r>
      <w:r w:rsidRPr="00C5279F">
        <w:rPr>
          <w:rFonts w:ascii="Times New Roman" w:hAnsi="Times New Roman" w:cs="Times New Roman"/>
          <w:kern w:val="0"/>
          <w:sz w:val="24"/>
          <w:szCs w:val="24"/>
        </w:rPr>
        <w:t>. Це дозволить студентам своєчасно подати заявки</w:t>
      </w:r>
      <w:r w:rsidR="001C1F18" w:rsidRPr="00C5279F">
        <w:rPr>
          <w:rFonts w:ascii="Times New Roman" w:hAnsi="Times New Roman" w:cs="Times New Roman"/>
          <w:kern w:val="0"/>
          <w:sz w:val="24"/>
          <w:szCs w:val="24"/>
        </w:rPr>
        <w:t>.</w:t>
      </w:r>
    </w:p>
    <w:p w14:paraId="10AD235C" w14:textId="5C6D81C6" w:rsidR="001C1F18" w:rsidRPr="00C5279F" w:rsidRDefault="00BA6B0B"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sz w:val="24"/>
          <w:szCs w:val="24"/>
        </w:rPr>
        <w:t>П</w:t>
      </w:r>
      <w:r w:rsidR="00A22CF8" w:rsidRPr="00C5279F">
        <w:rPr>
          <w:rFonts w:ascii="Times New Roman" w:hAnsi="Times New Roman" w:cs="Times New Roman"/>
          <w:kern w:val="0"/>
          <w:sz w:val="24"/>
          <w:szCs w:val="24"/>
        </w:rPr>
        <w:t xml:space="preserve">итання </w:t>
      </w:r>
      <w:r w:rsidR="00A22CF8" w:rsidRPr="009967C4">
        <w:rPr>
          <w:rFonts w:ascii="Times New Roman" w:hAnsi="Times New Roman" w:cs="Times New Roman"/>
          <w:i/>
          <w:iCs/>
          <w:kern w:val="0"/>
          <w:sz w:val="24"/>
          <w:szCs w:val="24"/>
        </w:rPr>
        <w:t>житла</w:t>
      </w:r>
      <w:r w:rsidR="00A22CF8" w:rsidRPr="00C5279F">
        <w:rPr>
          <w:rFonts w:ascii="Times New Roman" w:hAnsi="Times New Roman" w:cs="Times New Roman"/>
          <w:kern w:val="0"/>
          <w:sz w:val="24"/>
          <w:szCs w:val="24"/>
        </w:rPr>
        <w:t xml:space="preserve"> є одним з найбільш проблематичних для студентів </w:t>
      </w:r>
      <w:r w:rsidR="000173E0">
        <w:rPr>
          <w:rFonts w:ascii="Times New Roman" w:hAnsi="Times New Roman" w:cs="Times New Roman"/>
          <w:kern w:val="0"/>
          <w:sz w:val="24"/>
          <w:szCs w:val="24"/>
        </w:rPr>
        <w:t xml:space="preserve">міжнародних </w:t>
      </w:r>
      <w:r w:rsidR="00A22CF8" w:rsidRPr="00C5279F">
        <w:rPr>
          <w:rFonts w:ascii="Times New Roman" w:hAnsi="Times New Roman" w:cs="Times New Roman"/>
          <w:kern w:val="0"/>
          <w:sz w:val="24"/>
          <w:szCs w:val="24"/>
        </w:rPr>
        <w:t>спільних програм</w:t>
      </w:r>
      <w:r w:rsidR="001C1F18" w:rsidRPr="00C5279F">
        <w:rPr>
          <w:rFonts w:ascii="Times New Roman" w:hAnsi="Times New Roman" w:cs="Times New Roman"/>
          <w:kern w:val="0"/>
          <w:sz w:val="24"/>
          <w:szCs w:val="24"/>
        </w:rPr>
        <w:t xml:space="preserve">, оскільки </w:t>
      </w:r>
      <w:r w:rsidR="00A22CF8" w:rsidRPr="00C5279F">
        <w:rPr>
          <w:rFonts w:ascii="Times New Roman" w:hAnsi="Times New Roman" w:cs="Times New Roman"/>
          <w:kern w:val="0"/>
          <w:sz w:val="24"/>
          <w:szCs w:val="24"/>
        </w:rPr>
        <w:t>вони</w:t>
      </w:r>
      <w:r w:rsidR="001C1F18" w:rsidRPr="00C5279F">
        <w:rPr>
          <w:rFonts w:ascii="Times New Roman" w:hAnsi="Times New Roman" w:cs="Times New Roman"/>
          <w:kern w:val="0"/>
          <w:sz w:val="24"/>
          <w:szCs w:val="24"/>
        </w:rPr>
        <w:t xml:space="preserve"> переїжджають з країни в країну під час навчання. </w:t>
      </w:r>
      <w:r w:rsidR="00A22CF8" w:rsidRPr="00C5279F">
        <w:rPr>
          <w:rFonts w:ascii="Times New Roman" w:hAnsi="Times New Roman" w:cs="Times New Roman"/>
          <w:kern w:val="0"/>
          <w:sz w:val="24"/>
          <w:szCs w:val="24"/>
        </w:rPr>
        <w:t xml:space="preserve">Рекомендованою практикою є гарантування житла для студентів, оскільки більшість спільних програм мають відносно фіксований навчальний план із наперед визначеною інтенсивною структурою мобільності. Підтримка з житлом зазвичай надається в </w:t>
      </w:r>
      <w:r w:rsidR="000173E0">
        <w:rPr>
          <w:rFonts w:ascii="Times New Roman" w:hAnsi="Times New Roman" w:cs="Times New Roman"/>
          <w:kern w:val="0"/>
          <w:sz w:val="24"/>
          <w:szCs w:val="24"/>
        </w:rPr>
        <w:t>межах</w:t>
      </w:r>
      <w:r w:rsidR="00A22CF8" w:rsidRPr="00C5279F">
        <w:rPr>
          <w:rFonts w:ascii="Times New Roman" w:hAnsi="Times New Roman" w:cs="Times New Roman"/>
          <w:kern w:val="0"/>
          <w:sz w:val="24"/>
          <w:szCs w:val="24"/>
        </w:rPr>
        <w:t xml:space="preserve"> загальних студентських послуг.</w:t>
      </w:r>
      <w:r w:rsidR="006560A9">
        <w:rPr>
          <w:rFonts w:ascii="Times New Roman" w:hAnsi="Times New Roman" w:cs="Times New Roman"/>
          <w:kern w:val="0"/>
          <w:sz w:val="24"/>
          <w:szCs w:val="24"/>
        </w:rPr>
        <w:t xml:space="preserve"> </w:t>
      </w:r>
      <w:r w:rsidR="001C1F18" w:rsidRPr="00C5279F">
        <w:rPr>
          <w:rFonts w:ascii="Times New Roman" w:hAnsi="Times New Roman" w:cs="Times New Roman"/>
          <w:kern w:val="0"/>
          <w:sz w:val="24"/>
          <w:szCs w:val="24"/>
        </w:rPr>
        <w:t xml:space="preserve">Важливо чітко пояснити студентам, що в багатьох університетських містах студентам важко і дорого отримати </w:t>
      </w:r>
      <w:r w:rsidR="00A22CF8" w:rsidRPr="00C5279F">
        <w:rPr>
          <w:rFonts w:ascii="Times New Roman" w:hAnsi="Times New Roman" w:cs="Times New Roman"/>
          <w:kern w:val="0"/>
          <w:sz w:val="24"/>
          <w:szCs w:val="24"/>
        </w:rPr>
        <w:t>житло на короткий термін</w:t>
      </w:r>
      <w:r w:rsidR="001C1F18" w:rsidRPr="00C5279F">
        <w:rPr>
          <w:rFonts w:ascii="Times New Roman" w:hAnsi="Times New Roman" w:cs="Times New Roman"/>
          <w:kern w:val="0"/>
          <w:sz w:val="24"/>
          <w:szCs w:val="24"/>
        </w:rPr>
        <w:t>, наприклад, на чотири місяці.</w:t>
      </w:r>
      <w:r w:rsidR="00FC4D59" w:rsidRPr="00C5279F">
        <w:rPr>
          <w:rFonts w:ascii="Times New Roman" w:hAnsi="Times New Roman" w:cs="Times New Roman"/>
          <w:kern w:val="0"/>
          <w:sz w:val="24"/>
          <w:szCs w:val="24"/>
        </w:rPr>
        <w:t xml:space="preserve"> </w:t>
      </w:r>
      <w:r w:rsidR="005415E0">
        <w:rPr>
          <w:rFonts w:ascii="Times New Roman" w:hAnsi="Times New Roman" w:cs="Times New Roman"/>
          <w:kern w:val="0"/>
          <w:sz w:val="24"/>
          <w:szCs w:val="24"/>
        </w:rPr>
        <w:t>Необхідно</w:t>
      </w:r>
      <w:r w:rsidR="001C1F18" w:rsidRPr="00C5279F">
        <w:rPr>
          <w:rFonts w:ascii="Times New Roman" w:hAnsi="Times New Roman" w:cs="Times New Roman"/>
          <w:kern w:val="0"/>
          <w:sz w:val="24"/>
          <w:szCs w:val="24"/>
        </w:rPr>
        <w:t xml:space="preserve"> опублікувати на веб-сайті спільної програми інформацію про можливості та процедури короткострокового проживання, а також про середньомісячну вартість оренди житла в кожному університеті-партнері</w:t>
      </w:r>
      <w:r w:rsidR="005415E0">
        <w:rPr>
          <w:rFonts w:ascii="Times New Roman" w:hAnsi="Times New Roman" w:cs="Times New Roman"/>
          <w:kern w:val="0"/>
          <w:sz w:val="24"/>
          <w:szCs w:val="24"/>
        </w:rPr>
        <w:t>.</w:t>
      </w:r>
    </w:p>
    <w:p w14:paraId="3E423B5F" w14:textId="260685EA" w:rsidR="001C1F18" w:rsidRDefault="00A22CF8"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Завдяки спільно розробленим та відносно фіксованим навчальним планам з інтегрованою мобільністю, рекомендовано забезпечити якісне </w:t>
      </w:r>
      <w:r w:rsidRPr="00D93271">
        <w:rPr>
          <w:rFonts w:ascii="Times New Roman" w:hAnsi="Times New Roman" w:cs="Times New Roman"/>
          <w:i/>
          <w:iCs/>
          <w:kern w:val="0"/>
          <w:sz w:val="24"/>
          <w:szCs w:val="24"/>
        </w:rPr>
        <w:t>консультування</w:t>
      </w:r>
      <w:r w:rsidRPr="00C5279F">
        <w:rPr>
          <w:rFonts w:ascii="Times New Roman" w:hAnsi="Times New Roman" w:cs="Times New Roman"/>
          <w:kern w:val="0"/>
          <w:sz w:val="24"/>
          <w:szCs w:val="24"/>
        </w:rPr>
        <w:t xml:space="preserve"> та підтримку студентів під час навчання, бажано на рівні кафедри. Студенти можуть отримувати допомогу від молодших наставників</w:t>
      </w:r>
      <w:r w:rsidR="00454E36">
        <w:rPr>
          <w:rFonts w:ascii="Times New Roman" w:hAnsi="Times New Roman" w:cs="Times New Roman"/>
          <w:kern w:val="0"/>
          <w:sz w:val="24"/>
          <w:szCs w:val="24"/>
        </w:rPr>
        <w:t xml:space="preserve"> (старшокурсників, асистентів кафедри)</w:t>
      </w:r>
      <w:r w:rsidRPr="00C5279F">
        <w:rPr>
          <w:rFonts w:ascii="Times New Roman" w:hAnsi="Times New Roman" w:cs="Times New Roman"/>
          <w:kern w:val="0"/>
          <w:sz w:val="24"/>
          <w:szCs w:val="24"/>
        </w:rPr>
        <w:t xml:space="preserve">, проте також важливо організувати регулярні зустрічі зі </w:t>
      </w:r>
      <w:r w:rsidR="00454E36">
        <w:rPr>
          <w:rFonts w:ascii="Times New Roman" w:hAnsi="Times New Roman" w:cs="Times New Roman"/>
          <w:kern w:val="0"/>
          <w:sz w:val="24"/>
          <w:szCs w:val="24"/>
        </w:rPr>
        <w:t>професорами</w:t>
      </w:r>
      <w:r w:rsidR="00454E36" w:rsidRPr="00C5279F">
        <w:rPr>
          <w:rFonts w:ascii="Times New Roman" w:hAnsi="Times New Roman" w:cs="Times New Roman"/>
          <w:kern w:val="0"/>
          <w:sz w:val="24"/>
          <w:szCs w:val="24"/>
        </w:rPr>
        <w:t xml:space="preserve">, </w:t>
      </w:r>
      <w:r w:rsidRPr="00C5279F">
        <w:rPr>
          <w:rFonts w:ascii="Times New Roman" w:hAnsi="Times New Roman" w:cs="Times New Roman"/>
          <w:kern w:val="0"/>
          <w:sz w:val="24"/>
          <w:szCs w:val="24"/>
        </w:rPr>
        <w:t xml:space="preserve">старшими </w:t>
      </w:r>
      <w:r w:rsidR="00454E36">
        <w:rPr>
          <w:rFonts w:ascii="Times New Roman" w:hAnsi="Times New Roman" w:cs="Times New Roman"/>
          <w:kern w:val="0"/>
          <w:sz w:val="24"/>
          <w:szCs w:val="24"/>
        </w:rPr>
        <w:t xml:space="preserve">викладачами, </w:t>
      </w:r>
      <w:r w:rsidRPr="00C5279F">
        <w:rPr>
          <w:rFonts w:ascii="Times New Roman" w:hAnsi="Times New Roman" w:cs="Times New Roman"/>
          <w:kern w:val="0"/>
          <w:sz w:val="24"/>
          <w:szCs w:val="24"/>
        </w:rPr>
        <w:t>які контролюють успішність студентів і надають необхідну підтримку.</w:t>
      </w:r>
    </w:p>
    <w:p w14:paraId="51B5BB98" w14:textId="77777777" w:rsidR="00D7493A" w:rsidRDefault="00D7493A" w:rsidP="00D7493A">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На етапі вступу добре оцінити рівень володіння мовою, щоб забезпечити безперешкодний </w:t>
      </w:r>
      <w:r>
        <w:rPr>
          <w:rFonts w:ascii="Times New Roman" w:hAnsi="Times New Roman" w:cs="Times New Roman"/>
          <w:kern w:val="0"/>
          <w:sz w:val="24"/>
          <w:szCs w:val="24"/>
        </w:rPr>
        <w:t>прогрес у навчанні</w:t>
      </w:r>
      <w:r w:rsidRPr="00C5279F">
        <w:rPr>
          <w:rFonts w:ascii="Times New Roman" w:hAnsi="Times New Roman" w:cs="Times New Roman"/>
          <w:kern w:val="0"/>
          <w:sz w:val="24"/>
          <w:szCs w:val="24"/>
        </w:rPr>
        <w:t xml:space="preserve">. Можна запропонувати </w:t>
      </w:r>
      <w:r w:rsidRPr="00D7493A">
        <w:rPr>
          <w:rFonts w:ascii="Times New Roman" w:hAnsi="Times New Roman" w:cs="Times New Roman"/>
          <w:i/>
          <w:iCs/>
          <w:kern w:val="0"/>
          <w:sz w:val="24"/>
          <w:szCs w:val="24"/>
        </w:rPr>
        <w:t>мовну підтримку</w:t>
      </w:r>
      <w:r w:rsidRPr="00C5279F">
        <w:rPr>
          <w:rFonts w:ascii="Times New Roman" w:hAnsi="Times New Roman" w:cs="Times New Roman"/>
          <w:kern w:val="0"/>
          <w:sz w:val="24"/>
          <w:szCs w:val="24"/>
        </w:rPr>
        <w:t xml:space="preserve"> та курси з академічного письма та методології.</w:t>
      </w:r>
      <w:r>
        <w:rPr>
          <w:rFonts w:ascii="Times New Roman" w:hAnsi="Times New Roman" w:cs="Times New Roman"/>
          <w:kern w:val="0"/>
          <w:sz w:val="24"/>
          <w:szCs w:val="24"/>
        </w:rPr>
        <w:t xml:space="preserve"> М</w:t>
      </w:r>
      <w:r w:rsidRPr="00C5279F">
        <w:rPr>
          <w:rFonts w:ascii="Times New Roman" w:hAnsi="Times New Roman" w:cs="Times New Roman"/>
          <w:kern w:val="0"/>
          <w:sz w:val="24"/>
          <w:szCs w:val="24"/>
        </w:rPr>
        <w:t xml:space="preserve">овна підтримка, яку </w:t>
      </w:r>
      <w:r>
        <w:rPr>
          <w:rFonts w:ascii="Times New Roman" w:hAnsi="Times New Roman" w:cs="Times New Roman"/>
          <w:kern w:val="0"/>
          <w:sz w:val="24"/>
          <w:szCs w:val="24"/>
        </w:rPr>
        <w:t xml:space="preserve">зазвичай </w:t>
      </w:r>
      <w:r w:rsidRPr="00C5279F">
        <w:rPr>
          <w:rFonts w:ascii="Times New Roman" w:hAnsi="Times New Roman" w:cs="Times New Roman"/>
          <w:kern w:val="0"/>
          <w:sz w:val="24"/>
          <w:szCs w:val="24"/>
        </w:rPr>
        <w:t>отримують</w:t>
      </w:r>
      <w:r w:rsidRPr="00EC58EC">
        <w:rPr>
          <w:rFonts w:ascii="Times New Roman" w:hAnsi="Times New Roman" w:cs="Times New Roman"/>
          <w:kern w:val="0"/>
          <w:sz w:val="24"/>
          <w:szCs w:val="24"/>
        </w:rPr>
        <w:t xml:space="preserve"> </w:t>
      </w:r>
      <w:r w:rsidRPr="00C5279F">
        <w:rPr>
          <w:rFonts w:ascii="Times New Roman" w:hAnsi="Times New Roman" w:cs="Times New Roman"/>
          <w:kern w:val="0"/>
          <w:sz w:val="24"/>
          <w:szCs w:val="24"/>
        </w:rPr>
        <w:t>студент</w:t>
      </w:r>
      <w:r>
        <w:rPr>
          <w:rFonts w:ascii="Times New Roman" w:hAnsi="Times New Roman" w:cs="Times New Roman"/>
          <w:kern w:val="0"/>
          <w:sz w:val="24"/>
          <w:szCs w:val="24"/>
        </w:rPr>
        <w:t>и</w:t>
      </w:r>
      <w:r w:rsidRPr="00C5279F">
        <w:rPr>
          <w:rFonts w:ascii="Times New Roman" w:hAnsi="Times New Roman" w:cs="Times New Roman"/>
          <w:kern w:val="0"/>
          <w:sz w:val="24"/>
          <w:szCs w:val="24"/>
        </w:rPr>
        <w:t xml:space="preserve"> спільних програм, є частиною загальної мовної підтримки для міжнародних студентів.</w:t>
      </w:r>
    </w:p>
    <w:p w14:paraId="2C4ED427" w14:textId="77777777" w:rsidR="006560A9" w:rsidRPr="00C5279F" w:rsidRDefault="006560A9" w:rsidP="006560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 xml:space="preserve">Консорціум повинен розглянути, як і через які </w:t>
      </w:r>
      <w:r>
        <w:rPr>
          <w:rFonts w:ascii="Times New Roman" w:hAnsi="Times New Roman" w:cs="Times New Roman"/>
          <w:kern w:val="0"/>
          <w:sz w:val="24"/>
          <w:szCs w:val="24"/>
        </w:rPr>
        <w:t>компанії</w:t>
      </w:r>
      <w:r w:rsidRPr="00C5279F">
        <w:rPr>
          <w:rFonts w:ascii="Times New Roman" w:hAnsi="Times New Roman" w:cs="Times New Roman"/>
          <w:kern w:val="0"/>
          <w:sz w:val="24"/>
          <w:szCs w:val="24"/>
        </w:rPr>
        <w:t xml:space="preserve"> студенти будуть застраховані на весь період </w:t>
      </w:r>
      <w:r>
        <w:rPr>
          <w:rFonts w:ascii="Times New Roman" w:hAnsi="Times New Roman" w:cs="Times New Roman"/>
          <w:kern w:val="0"/>
          <w:sz w:val="24"/>
          <w:szCs w:val="24"/>
        </w:rPr>
        <w:t>навчання за спільною</w:t>
      </w:r>
      <w:r w:rsidRPr="00C5279F">
        <w:rPr>
          <w:rFonts w:ascii="Times New Roman" w:hAnsi="Times New Roman" w:cs="Times New Roman"/>
          <w:kern w:val="0"/>
          <w:sz w:val="24"/>
          <w:szCs w:val="24"/>
        </w:rPr>
        <w:t xml:space="preserve"> програм</w:t>
      </w:r>
      <w:r>
        <w:rPr>
          <w:rFonts w:ascii="Times New Roman" w:hAnsi="Times New Roman" w:cs="Times New Roman"/>
          <w:kern w:val="0"/>
          <w:sz w:val="24"/>
          <w:szCs w:val="24"/>
        </w:rPr>
        <w:t>ою</w:t>
      </w:r>
      <w:r w:rsidRPr="00C5279F">
        <w:rPr>
          <w:rFonts w:ascii="Times New Roman" w:hAnsi="Times New Roman" w:cs="Times New Roman"/>
          <w:kern w:val="0"/>
          <w:sz w:val="24"/>
          <w:szCs w:val="24"/>
        </w:rPr>
        <w:t xml:space="preserve">. Деякі національні системи </w:t>
      </w:r>
      <w:r w:rsidRPr="006560A9">
        <w:rPr>
          <w:rFonts w:ascii="Times New Roman" w:hAnsi="Times New Roman" w:cs="Times New Roman"/>
          <w:i/>
          <w:iCs/>
          <w:kern w:val="0"/>
          <w:sz w:val="24"/>
          <w:szCs w:val="24"/>
        </w:rPr>
        <w:t>медичного страхування</w:t>
      </w:r>
      <w:r w:rsidRPr="00C5279F">
        <w:rPr>
          <w:rFonts w:ascii="Times New Roman" w:hAnsi="Times New Roman" w:cs="Times New Roman"/>
          <w:kern w:val="0"/>
          <w:sz w:val="24"/>
          <w:szCs w:val="24"/>
        </w:rPr>
        <w:t xml:space="preserve"> повністю покривають </w:t>
      </w:r>
      <w:r>
        <w:rPr>
          <w:rFonts w:ascii="Times New Roman" w:hAnsi="Times New Roman" w:cs="Times New Roman"/>
          <w:kern w:val="0"/>
          <w:sz w:val="24"/>
          <w:szCs w:val="24"/>
        </w:rPr>
        <w:t>потреби іноземних</w:t>
      </w:r>
      <w:r w:rsidRPr="00C5279F">
        <w:rPr>
          <w:rFonts w:ascii="Times New Roman" w:hAnsi="Times New Roman" w:cs="Times New Roman"/>
          <w:kern w:val="0"/>
          <w:sz w:val="24"/>
          <w:szCs w:val="24"/>
        </w:rPr>
        <w:t xml:space="preserve"> студентів.</w:t>
      </w:r>
      <w:r>
        <w:rPr>
          <w:rFonts w:ascii="Times New Roman" w:hAnsi="Times New Roman" w:cs="Times New Roman"/>
          <w:kern w:val="0"/>
          <w:sz w:val="24"/>
          <w:szCs w:val="24"/>
        </w:rPr>
        <w:t xml:space="preserve"> </w:t>
      </w:r>
      <w:r w:rsidRPr="00C5279F">
        <w:rPr>
          <w:rFonts w:ascii="Times New Roman" w:hAnsi="Times New Roman" w:cs="Times New Roman"/>
          <w:kern w:val="0"/>
          <w:sz w:val="24"/>
          <w:szCs w:val="24"/>
        </w:rPr>
        <w:t xml:space="preserve">Іноді </w:t>
      </w:r>
      <w:r>
        <w:rPr>
          <w:rFonts w:ascii="Times New Roman" w:hAnsi="Times New Roman" w:cs="Times New Roman"/>
          <w:kern w:val="0"/>
          <w:sz w:val="24"/>
          <w:szCs w:val="24"/>
        </w:rPr>
        <w:t>закладам-</w:t>
      </w:r>
      <w:r w:rsidRPr="00C5279F">
        <w:rPr>
          <w:rFonts w:ascii="Times New Roman" w:hAnsi="Times New Roman" w:cs="Times New Roman"/>
          <w:kern w:val="0"/>
          <w:sz w:val="24"/>
          <w:szCs w:val="24"/>
        </w:rPr>
        <w:t>партнерам доведеться знайти страхову компанію, яка може забезпечити глобальне страхове покриття.</w:t>
      </w:r>
    </w:p>
    <w:p w14:paraId="60151BC6" w14:textId="6C4BAC74" w:rsidR="001C1F18" w:rsidRPr="00C5279F" w:rsidRDefault="00481BE8" w:rsidP="00C5279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C5279F">
        <w:rPr>
          <w:rFonts w:ascii="Times New Roman" w:hAnsi="Times New Roman" w:cs="Times New Roman"/>
          <w:kern w:val="0"/>
          <w:sz w:val="24"/>
          <w:szCs w:val="24"/>
        </w:rPr>
        <w:t>Уже на ранній стадії розроб</w:t>
      </w:r>
      <w:r w:rsidR="008B2F05" w:rsidRPr="00C5279F">
        <w:rPr>
          <w:rFonts w:ascii="Times New Roman" w:hAnsi="Times New Roman" w:cs="Times New Roman"/>
          <w:kern w:val="0"/>
          <w:sz w:val="24"/>
          <w:szCs w:val="24"/>
        </w:rPr>
        <w:t>лення</w:t>
      </w:r>
      <w:r w:rsidRPr="00C5279F">
        <w:rPr>
          <w:rFonts w:ascii="Times New Roman" w:hAnsi="Times New Roman" w:cs="Times New Roman"/>
          <w:kern w:val="0"/>
          <w:sz w:val="24"/>
          <w:szCs w:val="24"/>
        </w:rPr>
        <w:t xml:space="preserve"> та управління </w:t>
      </w:r>
      <w:r w:rsidR="00184F32">
        <w:rPr>
          <w:rFonts w:ascii="Times New Roman" w:hAnsi="Times New Roman" w:cs="Times New Roman"/>
          <w:kern w:val="0"/>
          <w:sz w:val="24"/>
          <w:szCs w:val="24"/>
        </w:rPr>
        <w:t xml:space="preserve">міжнародною </w:t>
      </w:r>
      <w:r w:rsidRPr="00C5279F">
        <w:rPr>
          <w:rFonts w:ascii="Times New Roman" w:hAnsi="Times New Roman" w:cs="Times New Roman"/>
          <w:kern w:val="0"/>
          <w:sz w:val="24"/>
          <w:szCs w:val="24"/>
        </w:rPr>
        <w:t>спільною програмою в</w:t>
      </w:r>
      <w:r w:rsidR="001C1F18" w:rsidRPr="00C5279F">
        <w:rPr>
          <w:rFonts w:ascii="Times New Roman" w:hAnsi="Times New Roman" w:cs="Times New Roman"/>
          <w:kern w:val="0"/>
          <w:sz w:val="24"/>
          <w:szCs w:val="24"/>
        </w:rPr>
        <w:t xml:space="preserve">ажливо ознайомитися з </w:t>
      </w:r>
      <w:r w:rsidR="001C1F18" w:rsidRPr="006560A9">
        <w:rPr>
          <w:rFonts w:ascii="Times New Roman" w:hAnsi="Times New Roman" w:cs="Times New Roman"/>
          <w:i/>
          <w:iCs/>
          <w:kern w:val="0"/>
          <w:sz w:val="24"/>
          <w:szCs w:val="24"/>
        </w:rPr>
        <w:t>візовими правилами та правилами перебування</w:t>
      </w:r>
      <w:r w:rsidRPr="00C5279F">
        <w:rPr>
          <w:rFonts w:ascii="Times New Roman" w:hAnsi="Times New Roman" w:cs="Times New Roman"/>
          <w:kern w:val="0"/>
          <w:sz w:val="24"/>
          <w:szCs w:val="24"/>
        </w:rPr>
        <w:t xml:space="preserve"> в країні</w:t>
      </w:r>
      <w:r w:rsidR="001C1F18" w:rsidRPr="00C5279F">
        <w:rPr>
          <w:rFonts w:ascii="Times New Roman" w:hAnsi="Times New Roman" w:cs="Times New Roman"/>
          <w:kern w:val="0"/>
          <w:sz w:val="24"/>
          <w:szCs w:val="24"/>
        </w:rPr>
        <w:t>. Знання цих правил має вирішальне значення для надання якісних консультацій студентам, а самі правила можуть впли</w:t>
      </w:r>
      <w:r w:rsidRPr="00C5279F">
        <w:rPr>
          <w:rFonts w:ascii="Times New Roman" w:hAnsi="Times New Roman" w:cs="Times New Roman"/>
          <w:kern w:val="0"/>
          <w:sz w:val="24"/>
          <w:szCs w:val="24"/>
        </w:rPr>
        <w:t>ну</w:t>
      </w:r>
      <w:r w:rsidR="001C1F18" w:rsidRPr="00C5279F">
        <w:rPr>
          <w:rFonts w:ascii="Times New Roman" w:hAnsi="Times New Roman" w:cs="Times New Roman"/>
          <w:kern w:val="0"/>
          <w:sz w:val="24"/>
          <w:szCs w:val="24"/>
        </w:rPr>
        <w:t>ти на розроб</w:t>
      </w:r>
      <w:r w:rsidR="0042296D">
        <w:rPr>
          <w:rFonts w:ascii="Times New Roman" w:hAnsi="Times New Roman" w:cs="Times New Roman"/>
          <w:kern w:val="0"/>
          <w:sz w:val="24"/>
          <w:szCs w:val="24"/>
        </w:rPr>
        <w:t xml:space="preserve">лення моделей </w:t>
      </w:r>
      <w:r w:rsidR="001C1F18" w:rsidRPr="00C5279F">
        <w:rPr>
          <w:rFonts w:ascii="Times New Roman" w:hAnsi="Times New Roman" w:cs="Times New Roman"/>
          <w:kern w:val="0"/>
          <w:sz w:val="24"/>
          <w:szCs w:val="24"/>
        </w:rPr>
        <w:t xml:space="preserve">мобільності в </w:t>
      </w:r>
      <w:r w:rsidR="0042296D">
        <w:rPr>
          <w:rFonts w:ascii="Times New Roman" w:hAnsi="Times New Roman" w:cs="Times New Roman"/>
          <w:kern w:val="0"/>
          <w:sz w:val="24"/>
          <w:szCs w:val="24"/>
        </w:rPr>
        <w:t>спільній</w:t>
      </w:r>
      <w:r w:rsidR="001C1F18" w:rsidRPr="00C5279F">
        <w:rPr>
          <w:rFonts w:ascii="Times New Roman" w:hAnsi="Times New Roman" w:cs="Times New Roman"/>
          <w:kern w:val="0"/>
          <w:sz w:val="24"/>
          <w:szCs w:val="24"/>
        </w:rPr>
        <w:t xml:space="preserve"> програмі</w:t>
      </w:r>
      <w:r w:rsidR="001C1F18" w:rsidRPr="00C5279F">
        <w:rPr>
          <w:rFonts w:ascii="Times New Roman" w:hAnsi="Times New Roman" w:cs="Times New Roman"/>
          <w:color w:val="000000"/>
          <w:kern w:val="0"/>
          <w:sz w:val="24"/>
          <w:szCs w:val="24"/>
        </w:rPr>
        <w:t>.</w:t>
      </w:r>
    </w:p>
    <w:p w14:paraId="4C20D3D0" w14:textId="26E7AAAD" w:rsidR="001C1F18" w:rsidRDefault="001C1F18"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hyperlink r:id="rId38" w:history="1">
        <w:r w:rsidRPr="00C5279F">
          <w:rPr>
            <w:rStyle w:val="a8"/>
            <w:rFonts w:ascii="Times New Roman" w:hAnsi="Times New Roman" w:cs="Times New Roman"/>
            <w:sz w:val="24"/>
            <w:szCs w:val="24"/>
          </w:rPr>
          <w:t>Директива ЄС 2016/801</w:t>
        </w:r>
      </w:hyperlink>
      <w:r w:rsidR="00481BE8" w:rsidRPr="00C5279F">
        <w:rPr>
          <w:rFonts w:ascii="Times New Roman" w:hAnsi="Times New Roman" w:cs="Times New Roman"/>
          <w:color w:val="000000"/>
          <w:kern w:val="0"/>
          <w:sz w:val="24"/>
          <w:szCs w:val="24"/>
        </w:rPr>
        <w:t>, прийнята 25 країнами-членами ЄС у травні 2016 р</w:t>
      </w:r>
      <w:r w:rsidR="0042296D">
        <w:rPr>
          <w:rFonts w:ascii="Times New Roman" w:hAnsi="Times New Roman" w:cs="Times New Roman"/>
          <w:color w:val="000000"/>
          <w:kern w:val="0"/>
          <w:sz w:val="24"/>
          <w:szCs w:val="24"/>
        </w:rPr>
        <w:t>.</w:t>
      </w:r>
      <w:r w:rsidR="00481BE8" w:rsidRPr="00C5279F">
        <w:rPr>
          <w:rFonts w:ascii="Times New Roman" w:hAnsi="Times New Roman" w:cs="Times New Roman"/>
          <w:color w:val="000000"/>
          <w:kern w:val="0"/>
          <w:sz w:val="24"/>
          <w:szCs w:val="24"/>
        </w:rPr>
        <w:t xml:space="preserve">, в принципі </w:t>
      </w:r>
      <w:r w:rsidRPr="00C5279F">
        <w:rPr>
          <w:rFonts w:ascii="Times New Roman" w:hAnsi="Times New Roman" w:cs="Times New Roman"/>
          <w:color w:val="000000"/>
          <w:kern w:val="0"/>
          <w:sz w:val="24"/>
          <w:szCs w:val="24"/>
        </w:rPr>
        <w:t xml:space="preserve">дозволяє студентам з країн, що не входять до ЄС/ЄЕЗ, перебувати </w:t>
      </w:r>
      <w:r w:rsidR="00481BE8" w:rsidRPr="00C5279F">
        <w:rPr>
          <w:rFonts w:ascii="Times New Roman" w:hAnsi="Times New Roman" w:cs="Times New Roman"/>
          <w:color w:val="000000"/>
          <w:kern w:val="0"/>
          <w:sz w:val="24"/>
          <w:szCs w:val="24"/>
        </w:rPr>
        <w:t xml:space="preserve">більш ніж в одній </w:t>
      </w:r>
      <w:r w:rsidRPr="00C5279F">
        <w:rPr>
          <w:rFonts w:ascii="Times New Roman" w:hAnsi="Times New Roman" w:cs="Times New Roman"/>
          <w:color w:val="000000"/>
          <w:kern w:val="0"/>
          <w:sz w:val="24"/>
          <w:szCs w:val="24"/>
        </w:rPr>
        <w:t>країн</w:t>
      </w:r>
      <w:r w:rsidR="00481BE8" w:rsidRPr="00C5279F">
        <w:rPr>
          <w:rFonts w:ascii="Times New Roman" w:hAnsi="Times New Roman" w:cs="Times New Roman"/>
          <w:color w:val="000000"/>
          <w:kern w:val="0"/>
          <w:sz w:val="24"/>
          <w:szCs w:val="24"/>
        </w:rPr>
        <w:t>і</w:t>
      </w:r>
      <w:r w:rsidRPr="00C5279F">
        <w:rPr>
          <w:rFonts w:ascii="Times New Roman" w:hAnsi="Times New Roman" w:cs="Times New Roman"/>
          <w:color w:val="000000"/>
          <w:kern w:val="0"/>
          <w:sz w:val="24"/>
          <w:szCs w:val="24"/>
        </w:rPr>
        <w:t xml:space="preserve"> ЄС </w:t>
      </w:r>
      <w:r w:rsidRPr="00C5279F">
        <w:rPr>
          <w:rFonts w:ascii="Times New Roman" w:hAnsi="Times New Roman" w:cs="Times New Roman"/>
          <w:color w:val="000000"/>
          <w:kern w:val="0"/>
          <w:sz w:val="24"/>
          <w:szCs w:val="24"/>
        </w:rPr>
        <w:lastRenderedPageBreak/>
        <w:t>з метою отримання вищої освіти за однією візою.</w:t>
      </w:r>
      <w:r w:rsidR="00FC4D59" w:rsidRPr="00C5279F">
        <w:rPr>
          <w:rFonts w:ascii="Times New Roman" w:hAnsi="Times New Roman" w:cs="Times New Roman"/>
          <w:color w:val="000000"/>
          <w:kern w:val="0"/>
          <w:sz w:val="24"/>
          <w:szCs w:val="24"/>
        </w:rPr>
        <w:t xml:space="preserve"> </w:t>
      </w:r>
      <w:r w:rsidRPr="00C5279F">
        <w:rPr>
          <w:rFonts w:ascii="Times New Roman" w:hAnsi="Times New Roman" w:cs="Times New Roman"/>
          <w:color w:val="000000"/>
          <w:kern w:val="0"/>
          <w:sz w:val="24"/>
          <w:szCs w:val="24"/>
        </w:rPr>
        <w:t xml:space="preserve">Ця Директива корисна для студентів з країн, що не входять до ЄС/ЄЕЗ, які навчаються на спільних програмах в ЄС, оскільки вона дозволяє їм </w:t>
      </w:r>
      <w:r w:rsidR="00481BE8" w:rsidRPr="00C5279F">
        <w:rPr>
          <w:rFonts w:ascii="Times New Roman" w:hAnsi="Times New Roman" w:cs="Times New Roman"/>
          <w:color w:val="000000"/>
          <w:kern w:val="0"/>
          <w:sz w:val="24"/>
          <w:szCs w:val="24"/>
        </w:rPr>
        <w:t xml:space="preserve">протягом декількох місяців </w:t>
      </w:r>
      <w:r w:rsidRPr="00C5279F">
        <w:rPr>
          <w:rFonts w:ascii="Times New Roman" w:hAnsi="Times New Roman" w:cs="Times New Roman"/>
          <w:color w:val="000000"/>
          <w:kern w:val="0"/>
          <w:sz w:val="24"/>
          <w:szCs w:val="24"/>
        </w:rPr>
        <w:t>навчатися в одній країні ЄС, а потім в іншій без необхідності подавати заяву на отримання нової студентської візи. Директива встановлює умови в</w:t>
      </w:r>
      <w:r w:rsidR="00481BE8" w:rsidRPr="00C5279F">
        <w:rPr>
          <w:rFonts w:ascii="Times New Roman" w:hAnsi="Times New Roman" w:cs="Times New Roman"/>
          <w:color w:val="000000"/>
          <w:kern w:val="0"/>
          <w:sz w:val="24"/>
          <w:szCs w:val="24"/>
        </w:rPr>
        <w:t>’</w:t>
      </w:r>
      <w:r w:rsidRPr="00C5279F">
        <w:rPr>
          <w:rFonts w:ascii="Times New Roman" w:hAnsi="Times New Roman" w:cs="Times New Roman"/>
          <w:color w:val="000000"/>
          <w:kern w:val="0"/>
          <w:sz w:val="24"/>
          <w:szCs w:val="24"/>
        </w:rPr>
        <w:t>їзду та перебування громадян третіх країн з метою проведення досліджень, навчання, стажування або реалізації освітніх проектів в ЄС</w:t>
      </w:r>
      <w:r w:rsidRPr="00C5279F">
        <w:rPr>
          <w:rFonts w:ascii="Times New Roman" w:hAnsi="Times New Roman" w:cs="Times New Roman"/>
          <w:kern w:val="0"/>
          <w:sz w:val="24"/>
          <w:szCs w:val="24"/>
        </w:rPr>
        <w:t>.</w:t>
      </w:r>
    </w:p>
    <w:p w14:paraId="7975C823" w14:textId="77777777" w:rsidR="003B5817" w:rsidRPr="00C5279F" w:rsidRDefault="003B5817"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5391C2F5" w14:textId="6A55E92A" w:rsidR="001C1F18" w:rsidRPr="003B5817" w:rsidRDefault="002557CF" w:rsidP="00D041A9">
      <w:pPr>
        <w:pStyle w:val="1"/>
        <w:spacing w:before="100" w:beforeAutospacing="1" w:after="100" w:afterAutospacing="1" w:line="240" w:lineRule="auto"/>
        <w:rPr>
          <w:rFonts w:ascii="Times New Roman" w:hAnsi="Times New Roman" w:cs="Times New Roman"/>
          <w:b/>
          <w:bCs/>
          <w:sz w:val="24"/>
          <w:szCs w:val="24"/>
        </w:rPr>
      </w:pPr>
      <w:bookmarkStart w:id="25" w:name="_Toc188337434"/>
      <w:r w:rsidRPr="00AE114B">
        <w:rPr>
          <w:rFonts w:ascii="Times New Roman" w:hAnsi="Times New Roman" w:cs="Times New Roman"/>
          <w:b/>
          <w:bCs/>
          <w:sz w:val="24"/>
          <w:szCs w:val="24"/>
        </w:rPr>
        <w:t>9. МОДЕЛ</w:t>
      </w:r>
      <w:r w:rsidR="00F46682" w:rsidRPr="00AE114B">
        <w:rPr>
          <w:rFonts w:ascii="Times New Roman" w:hAnsi="Times New Roman" w:cs="Times New Roman"/>
          <w:b/>
          <w:bCs/>
          <w:sz w:val="24"/>
          <w:szCs w:val="24"/>
        </w:rPr>
        <w:t>І</w:t>
      </w:r>
      <w:r w:rsidRPr="00AE114B">
        <w:rPr>
          <w:rFonts w:ascii="Times New Roman" w:hAnsi="Times New Roman" w:cs="Times New Roman"/>
          <w:b/>
          <w:bCs/>
          <w:sz w:val="24"/>
          <w:szCs w:val="24"/>
        </w:rPr>
        <w:t xml:space="preserve"> УПРАВЛІННЯ</w:t>
      </w:r>
      <w:bookmarkEnd w:id="25"/>
    </w:p>
    <w:p w14:paraId="45B8C266" w14:textId="77777777" w:rsidR="00556A64" w:rsidRDefault="00374796"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kern w:val="0"/>
          <w:sz w:val="24"/>
          <w:szCs w:val="24"/>
        </w:rPr>
        <w:t>Не існує заздалегідь визначених моделей управління</w:t>
      </w:r>
      <w:r w:rsidR="00556A64">
        <w:rPr>
          <w:rFonts w:ascii="Times New Roman" w:hAnsi="Times New Roman" w:cs="Times New Roman"/>
          <w:kern w:val="0"/>
          <w:sz w:val="24"/>
          <w:szCs w:val="24"/>
        </w:rPr>
        <w:t xml:space="preserve"> реалізацією спільних програм, тож</w:t>
      </w:r>
      <w:r w:rsidRPr="003B5817">
        <w:rPr>
          <w:rFonts w:ascii="Times New Roman" w:hAnsi="Times New Roman" w:cs="Times New Roman"/>
          <w:kern w:val="0"/>
          <w:sz w:val="24"/>
          <w:szCs w:val="24"/>
        </w:rPr>
        <w:t xml:space="preserve"> </w:t>
      </w:r>
      <w:r w:rsidR="00556A64">
        <w:rPr>
          <w:rFonts w:ascii="Times New Roman" w:hAnsi="Times New Roman" w:cs="Times New Roman"/>
          <w:kern w:val="0"/>
          <w:sz w:val="24"/>
          <w:szCs w:val="24"/>
        </w:rPr>
        <w:t>у</w:t>
      </w:r>
      <w:r w:rsidRPr="003B5817">
        <w:rPr>
          <w:rFonts w:ascii="Times New Roman" w:hAnsi="Times New Roman" w:cs="Times New Roman"/>
          <w:kern w:val="0"/>
          <w:sz w:val="24"/>
          <w:szCs w:val="24"/>
        </w:rPr>
        <w:t>сі координатори</w:t>
      </w:r>
      <w:r w:rsidR="00556A64">
        <w:rPr>
          <w:rFonts w:ascii="Times New Roman" w:hAnsi="Times New Roman" w:cs="Times New Roman"/>
          <w:kern w:val="0"/>
          <w:sz w:val="24"/>
          <w:szCs w:val="24"/>
        </w:rPr>
        <w:t>/гаранти</w:t>
      </w:r>
      <w:r w:rsidRPr="003B5817">
        <w:rPr>
          <w:rFonts w:ascii="Times New Roman" w:hAnsi="Times New Roman" w:cs="Times New Roman"/>
          <w:kern w:val="0"/>
          <w:sz w:val="24"/>
          <w:szCs w:val="24"/>
        </w:rPr>
        <w:t xml:space="preserve"> спільних програм повинні враховувати свій конкретний контекст і розробити </w:t>
      </w:r>
      <w:r w:rsidR="00556A64" w:rsidRPr="003B5817">
        <w:rPr>
          <w:rFonts w:ascii="Times New Roman" w:hAnsi="Times New Roman" w:cs="Times New Roman"/>
          <w:kern w:val="0"/>
          <w:sz w:val="24"/>
          <w:szCs w:val="24"/>
        </w:rPr>
        <w:t xml:space="preserve">відповідну </w:t>
      </w:r>
      <w:r w:rsidRPr="003B5817">
        <w:rPr>
          <w:rFonts w:ascii="Times New Roman" w:hAnsi="Times New Roman" w:cs="Times New Roman"/>
          <w:kern w:val="0"/>
          <w:sz w:val="24"/>
          <w:szCs w:val="24"/>
        </w:rPr>
        <w:t xml:space="preserve">власну модель. </w:t>
      </w:r>
    </w:p>
    <w:p w14:paraId="05828EE8" w14:textId="4B6269F7" w:rsidR="00374796" w:rsidRPr="003B5817" w:rsidRDefault="00374796"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kern w:val="0"/>
          <w:sz w:val="24"/>
          <w:szCs w:val="24"/>
        </w:rPr>
        <w:t xml:space="preserve">Визначте </w:t>
      </w:r>
      <w:r w:rsidR="00A44A31" w:rsidRPr="003B5817">
        <w:rPr>
          <w:rFonts w:ascii="Times New Roman" w:hAnsi="Times New Roman" w:cs="Times New Roman"/>
          <w:kern w:val="0"/>
          <w:sz w:val="24"/>
          <w:szCs w:val="24"/>
        </w:rPr>
        <w:t>ролі, повноваження</w:t>
      </w:r>
      <w:r w:rsidR="00A44A31">
        <w:rPr>
          <w:rFonts w:ascii="Times New Roman" w:hAnsi="Times New Roman" w:cs="Times New Roman"/>
          <w:kern w:val="0"/>
          <w:sz w:val="24"/>
          <w:szCs w:val="24"/>
        </w:rPr>
        <w:t xml:space="preserve">, </w:t>
      </w:r>
      <w:r w:rsidR="00556A64" w:rsidRPr="003B5817">
        <w:rPr>
          <w:rFonts w:ascii="Times New Roman" w:hAnsi="Times New Roman" w:cs="Times New Roman"/>
          <w:kern w:val="0"/>
          <w:sz w:val="24"/>
          <w:szCs w:val="24"/>
        </w:rPr>
        <w:t>завдання та обов'язки</w:t>
      </w:r>
      <w:r w:rsidR="00556A64" w:rsidRPr="003B5817">
        <w:rPr>
          <w:rFonts w:ascii="Times New Roman" w:hAnsi="Times New Roman" w:cs="Times New Roman"/>
          <w:kern w:val="0"/>
          <w:sz w:val="24"/>
          <w:szCs w:val="24"/>
        </w:rPr>
        <w:t xml:space="preserve"> </w:t>
      </w:r>
      <w:r w:rsidRPr="003B5817">
        <w:rPr>
          <w:rFonts w:ascii="Times New Roman" w:hAnsi="Times New Roman" w:cs="Times New Roman"/>
          <w:kern w:val="0"/>
          <w:sz w:val="24"/>
          <w:szCs w:val="24"/>
        </w:rPr>
        <w:t xml:space="preserve">всіх партнерів </w:t>
      </w:r>
      <w:r w:rsidR="00556A64">
        <w:rPr>
          <w:rFonts w:ascii="Times New Roman" w:hAnsi="Times New Roman" w:cs="Times New Roman"/>
          <w:kern w:val="0"/>
          <w:sz w:val="24"/>
          <w:szCs w:val="24"/>
        </w:rPr>
        <w:t xml:space="preserve">спільної </w:t>
      </w:r>
      <w:r w:rsidRPr="003B5817">
        <w:rPr>
          <w:rFonts w:ascii="Times New Roman" w:hAnsi="Times New Roman" w:cs="Times New Roman"/>
          <w:kern w:val="0"/>
          <w:sz w:val="24"/>
          <w:szCs w:val="24"/>
        </w:rPr>
        <w:t xml:space="preserve">програми і включіть їх до структури </w:t>
      </w:r>
      <w:r w:rsidR="00556A64">
        <w:rPr>
          <w:rFonts w:ascii="Times New Roman" w:hAnsi="Times New Roman" w:cs="Times New Roman"/>
          <w:kern w:val="0"/>
          <w:sz w:val="24"/>
          <w:szCs w:val="24"/>
        </w:rPr>
        <w:t>управління</w:t>
      </w:r>
      <w:r w:rsidRPr="003B5817">
        <w:rPr>
          <w:rFonts w:ascii="Times New Roman" w:hAnsi="Times New Roman" w:cs="Times New Roman"/>
          <w:kern w:val="0"/>
          <w:sz w:val="24"/>
          <w:szCs w:val="24"/>
        </w:rPr>
        <w:t xml:space="preserve"> програми.</w:t>
      </w:r>
      <w:r w:rsidR="00556A64">
        <w:rPr>
          <w:rFonts w:ascii="Times New Roman" w:hAnsi="Times New Roman" w:cs="Times New Roman"/>
          <w:kern w:val="0"/>
          <w:sz w:val="24"/>
          <w:szCs w:val="24"/>
        </w:rPr>
        <w:t xml:space="preserve"> С</w:t>
      </w:r>
      <w:r w:rsidRPr="003B5817">
        <w:rPr>
          <w:rFonts w:ascii="Times New Roman" w:hAnsi="Times New Roman" w:cs="Times New Roman"/>
          <w:kern w:val="0"/>
          <w:sz w:val="24"/>
          <w:szCs w:val="24"/>
        </w:rPr>
        <w:t xml:space="preserve">труктуру управління </w:t>
      </w:r>
      <w:r w:rsidR="008A5B06" w:rsidRPr="003B5817">
        <w:rPr>
          <w:rFonts w:ascii="Times New Roman" w:hAnsi="Times New Roman" w:cs="Times New Roman"/>
          <w:kern w:val="0"/>
          <w:sz w:val="24"/>
          <w:szCs w:val="24"/>
        </w:rPr>
        <w:t xml:space="preserve">спільної програми </w:t>
      </w:r>
      <w:r w:rsidR="00556A64">
        <w:rPr>
          <w:rFonts w:ascii="Times New Roman" w:hAnsi="Times New Roman" w:cs="Times New Roman"/>
          <w:kern w:val="0"/>
          <w:sz w:val="24"/>
          <w:szCs w:val="24"/>
        </w:rPr>
        <w:t>с</w:t>
      </w:r>
      <w:r w:rsidR="00556A64" w:rsidRPr="003B5817">
        <w:rPr>
          <w:rFonts w:ascii="Times New Roman" w:hAnsi="Times New Roman" w:cs="Times New Roman"/>
          <w:kern w:val="0"/>
          <w:sz w:val="24"/>
          <w:szCs w:val="24"/>
        </w:rPr>
        <w:t>твор</w:t>
      </w:r>
      <w:r w:rsidR="00556A64">
        <w:rPr>
          <w:rFonts w:ascii="Times New Roman" w:hAnsi="Times New Roman" w:cs="Times New Roman"/>
          <w:kern w:val="0"/>
          <w:sz w:val="24"/>
          <w:szCs w:val="24"/>
        </w:rPr>
        <w:t>юйте</w:t>
      </w:r>
      <w:r w:rsidR="00556A64" w:rsidRPr="003B5817">
        <w:rPr>
          <w:rFonts w:ascii="Times New Roman" w:hAnsi="Times New Roman" w:cs="Times New Roman"/>
          <w:kern w:val="0"/>
          <w:sz w:val="24"/>
          <w:szCs w:val="24"/>
        </w:rPr>
        <w:t xml:space="preserve"> </w:t>
      </w:r>
      <w:r w:rsidRPr="003B5817">
        <w:rPr>
          <w:rFonts w:ascii="Times New Roman" w:hAnsi="Times New Roman" w:cs="Times New Roman"/>
          <w:kern w:val="0"/>
          <w:sz w:val="24"/>
          <w:szCs w:val="24"/>
        </w:rPr>
        <w:t xml:space="preserve">на основі </w:t>
      </w:r>
      <w:r w:rsidRPr="00556A64">
        <w:rPr>
          <w:rFonts w:ascii="Times New Roman" w:hAnsi="Times New Roman" w:cs="Times New Roman"/>
          <w:kern w:val="0"/>
          <w:sz w:val="24"/>
          <w:szCs w:val="24"/>
        </w:rPr>
        <w:t xml:space="preserve">набору </w:t>
      </w:r>
      <w:r w:rsidR="00556A64">
        <w:rPr>
          <w:rFonts w:ascii="Times New Roman" w:hAnsi="Times New Roman" w:cs="Times New Roman"/>
          <w:kern w:val="0"/>
          <w:sz w:val="24"/>
          <w:szCs w:val="24"/>
        </w:rPr>
        <w:t>в</w:t>
      </w:r>
      <w:r w:rsidR="00556A64" w:rsidRPr="003B5817">
        <w:rPr>
          <w:rFonts w:ascii="Times New Roman" w:hAnsi="Times New Roman" w:cs="Times New Roman"/>
          <w:kern w:val="0"/>
          <w:sz w:val="24"/>
          <w:szCs w:val="24"/>
        </w:rPr>
        <w:t>изнач</w:t>
      </w:r>
      <w:r w:rsidR="00556A64">
        <w:rPr>
          <w:rFonts w:ascii="Times New Roman" w:hAnsi="Times New Roman" w:cs="Times New Roman"/>
          <w:kern w:val="0"/>
          <w:sz w:val="24"/>
          <w:szCs w:val="24"/>
        </w:rPr>
        <w:t>ених</w:t>
      </w:r>
      <w:r w:rsidR="00556A64" w:rsidRPr="003B5817">
        <w:rPr>
          <w:rFonts w:ascii="Times New Roman" w:hAnsi="Times New Roman" w:cs="Times New Roman"/>
          <w:kern w:val="0"/>
          <w:sz w:val="24"/>
          <w:szCs w:val="24"/>
        </w:rPr>
        <w:t xml:space="preserve"> завдан</w:t>
      </w:r>
      <w:r w:rsidR="00556A64">
        <w:rPr>
          <w:rFonts w:ascii="Times New Roman" w:hAnsi="Times New Roman" w:cs="Times New Roman"/>
          <w:kern w:val="0"/>
          <w:sz w:val="24"/>
          <w:szCs w:val="24"/>
        </w:rPr>
        <w:t>ь</w:t>
      </w:r>
      <w:r w:rsidR="00556A64" w:rsidRPr="003B5817">
        <w:rPr>
          <w:rFonts w:ascii="Times New Roman" w:hAnsi="Times New Roman" w:cs="Times New Roman"/>
          <w:kern w:val="0"/>
          <w:sz w:val="24"/>
          <w:szCs w:val="24"/>
        </w:rPr>
        <w:t xml:space="preserve"> та обов'язк</w:t>
      </w:r>
      <w:r w:rsidR="00556A64">
        <w:rPr>
          <w:rFonts w:ascii="Times New Roman" w:hAnsi="Times New Roman" w:cs="Times New Roman"/>
          <w:kern w:val="0"/>
          <w:sz w:val="24"/>
          <w:szCs w:val="24"/>
        </w:rPr>
        <w:t>ів</w:t>
      </w:r>
      <w:r w:rsidRPr="00556A64">
        <w:rPr>
          <w:rFonts w:ascii="Times New Roman" w:hAnsi="Times New Roman" w:cs="Times New Roman"/>
          <w:kern w:val="0"/>
          <w:sz w:val="24"/>
          <w:szCs w:val="24"/>
        </w:rPr>
        <w:t>, для вирішення яких потрібні спільні заходи,</w:t>
      </w:r>
      <w:r w:rsidRPr="003B5817">
        <w:rPr>
          <w:rFonts w:ascii="Times New Roman" w:hAnsi="Times New Roman" w:cs="Times New Roman"/>
          <w:kern w:val="0"/>
          <w:sz w:val="24"/>
          <w:szCs w:val="24"/>
        </w:rPr>
        <w:t xml:space="preserve"> порівняно з управлінням звичайною </w:t>
      </w:r>
      <w:r w:rsidR="00556A64">
        <w:rPr>
          <w:rFonts w:ascii="Times New Roman" w:hAnsi="Times New Roman" w:cs="Times New Roman"/>
          <w:kern w:val="0"/>
          <w:sz w:val="24"/>
          <w:szCs w:val="24"/>
        </w:rPr>
        <w:t xml:space="preserve">освітньою </w:t>
      </w:r>
      <w:r w:rsidRPr="003B5817">
        <w:rPr>
          <w:rFonts w:ascii="Times New Roman" w:hAnsi="Times New Roman" w:cs="Times New Roman"/>
          <w:kern w:val="0"/>
          <w:sz w:val="24"/>
          <w:szCs w:val="24"/>
        </w:rPr>
        <w:t>програмою, а саме:</w:t>
      </w:r>
    </w:p>
    <w:p w14:paraId="7CB118D8" w14:textId="4F326762"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спільна координація та зовнішнє представництво консорціуму</w:t>
      </w:r>
      <w:r w:rsidR="00370C1B">
        <w:rPr>
          <w:rFonts w:ascii="Times New Roman" w:hAnsi="Times New Roman" w:cs="Times New Roman"/>
          <w:kern w:val="0"/>
          <w:sz w:val="24"/>
          <w:szCs w:val="24"/>
        </w:rPr>
        <w:t>;</w:t>
      </w:r>
    </w:p>
    <w:p w14:paraId="31130A02" w14:textId="56CDA4A4"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w:t>
      </w:r>
      <w:r w:rsidR="00370C1B">
        <w:rPr>
          <w:rFonts w:ascii="Times New Roman" w:hAnsi="Times New Roman" w:cs="Times New Roman"/>
          <w:kern w:val="0"/>
          <w:sz w:val="24"/>
          <w:szCs w:val="24"/>
        </w:rPr>
        <w:t>і</w:t>
      </w:r>
      <w:r w:rsidRPr="003B5817">
        <w:rPr>
          <w:rFonts w:ascii="Times New Roman" w:hAnsi="Times New Roman" w:cs="Times New Roman"/>
          <w:kern w:val="0"/>
          <w:sz w:val="24"/>
          <w:szCs w:val="24"/>
        </w:rPr>
        <w:t xml:space="preserve"> розроб</w:t>
      </w:r>
      <w:r w:rsidR="00370C1B">
        <w:rPr>
          <w:rFonts w:ascii="Times New Roman" w:hAnsi="Times New Roman" w:cs="Times New Roman"/>
          <w:kern w:val="0"/>
          <w:sz w:val="24"/>
          <w:szCs w:val="24"/>
        </w:rPr>
        <w:t>лення</w:t>
      </w:r>
      <w:r w:rsidRPr="003B5817">
        <w:rPr>
          <w:rFonts w:ascii="Times New Roman" w:hAnsi="Times New Roman" w:cs="Times New Roman"/>
          <w:kern w:val="0"/>
          <w:sz w:val="24"/>
          <w:szCs w:val="24"/>
        </w:rPr>
        <w:t xml:space="preserve"> та моніторинг академічного змісту програми</w:t>
      </w:r>
      <w:r w:rsidR="00370C1B">
        <w:rPr>
          <w:rFonts w:ascii="Times New Roman" w:hAnsi="Times New Roman" w:cs="Times New Roman"/>
          <w:kern w:val="0"/>
          <w:sz w:val="24"/>
          <w:szCs w:val="24"/>
        </w:rPr>
        <w:t>;</w:t>
      </w:r>
    </w:p>
    <w:p w14:paraId="4273CC2A" w14:textId="5BA6B4F4"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спільне забезпечення якості (академічне та адміністративне; внутрішнє та зовнішнє)</w:t>
      </w:r>
      <w:r w:rsidR="00370C1B">
        <w:rPr>
          <w:rFonts w:ascii="Times New Roman" w:hAnsi="Times New Roman" w:cs="Times New Roman"/>
          <w:kern w:val="0"/>
          <w:sz w:val="24"/>
          <w:szCs w:val="24"/>
        </w:rPr>
        <w:t>;</w:t>
      </w:r>
    </w:p>
    <w:p w14:paraId="6F6C2E23" w14:textId="3057D982"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спільне фінансове управління та прийняття рішень</w:t>
      </w:r>
      <w:r w:rsidR="005B3BC3">
        <w:rPr>
          <w:rFonts w:ascii="Times New Roman" w:hAnsi="Times New Roman" w:cs="Times New Roman"/>
          <w:kern w:val="0"/>
          <w:sz w:val="24"/>
          <w:szCs w:val="24"/>
        </w:rPr>
        <w:t>;</w:t>
      </w:r>
    </w:p>
    <w:p w14:paraId="2432EE7A" w14:textId="7A809580"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спільне управління студентами (спільний відбір та процедура розгляду скарг)</w:t>
      </w:r>
      <w:r w:rsidR="005B3BC3">
        <w:rPr>
          <w:rFonts w:ascii="Times New Roman" w:hAnsi="Times New Roman" w:cs="Times New Roman"/>
          <w:kern w:val="0"/>
          <w:sz w:val="24"/>
          <w:szCs w:val="24"/>
        </w:rPr>
        <w:t>;</w:t>
      </w:r>
    </w:p>
    <w:p w14:paraId="50F3783D" w14:textId="48FE575E"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w:t>
      </w:r>
      <w:r w:rsidR="005B3BC3">
        <w:rPr>
          <w:rFonts w:ascii="Times New Roman" w:hAnsi="Times New Roman" w:cs="Times New Roman"/>
          <w:kern w:val="0"/>
          <w:sz w:val="24"/>
          <w:szCs w:val="24"/>
        </w:rPr>
        <w:t>і процедури</w:t>
      </w:r>
      <w:r w:rsidRPr="003B5817">
        <w:rPr>
          <w:rFonts w:ascii="Times New Roman" w:hAnsi="Times New Roman" w:cs="Times New Roman"/>
          <w:kern w:val="0"/>
          <w:sz w:val="24"/>
          <w:szCs w:val="24"/>
        </w:rPr>
        <w:t xml:space="preserve"> </w:t>
      </w:r>
      <w:r w:rsidR="005B3BC3">
        <w:rPr>
          <w:rFonts w:ascii="Times New Roman" w:hAnsi="Times New Roman" w:cs="Times New Roman"/>
          <w:kern w:val="0"/>
          <w:sz w:val="24"/>
          <w:szCs w:val="24"/>
        </w:rPr>
        <w:t>(</w:t>
      </w:r>
      <w:r w:rsidRPr="003B5817">
        <w:rPr>
          <w:rFonts w:ascii="Times New Roman" w:hAnsi="Times New Roman" w:cs="Times New Roman"/>
          <w:kern w:val="0"/>
          <w:sz w:val="24"/>
          <w:szCs w:val="24"/>
        </w:rPr>
        <w:t xml:space="preserve">вступ, реєстрація, оцінювання, складання заліків та </w:t>
      </w:r>
      <w:r w:rsidR="005B3BC3">
        <w:rPr>
          <w:rFonts w:ascii="Times New Roman" w:hAnsi="Times New Roman" w:cs="Times New Roman"/>
          <w:kern w:val="0"/>
          <w:sz w:val="24"/>
          <w:szCs w:val="24"/>
        </w:rPr>
        <w:t xml:space="preserve">екзаменів, </w:t>
      </w:r>
      <w:r w:rsidRPr="003B5817">
        <w:rPr>
          <w:rFonts w:ascii="Times New Roman" w:hAnsi="Times New Roman" w:cs="Times New Roman"/>
          <w:kern w:val="0"/>
          <w:sz w:val="24"/>
          <w:szCs w:val="24"/>
        </w:rPr>
        <w:t>перезарахування кредитів</w:t>
      </w:r>
      <w:r w:rsidR="005B3BC3">
        <w:rPr>
          <w:rFonts w:ascii="Times New Roman" w:hAnsi="Times New Roman" w:cs="Times New Roman"/>
          <w:kern w:val="0"/>
          <w:sz w:val="24"/>
          <w:szCs w:val="24"/>
        </w:rPr>
        <w:t xml:space="preserve"> ЄКТС</w:t>
      </w:r>
      <w:r w:rsidRPr="003B5817">
        <w:rPr>
          <w:rFonts w:ascii="Times New Roman" w:hAnsi="Times New Roman" w:cs="Times New Roman"/>
          <w:kern w:val="0"/>
          <w:sz w:val="24"/>
          <w:szCs w:val="24"/>
        </w:rPr>
        <w:t>, архівування документів студентів для майбутніх запитів тощо)</w:t>
      </w:r>
      <w:r w:rsidR="005B3BC3">
        <w:rPr>
          <w:rFonts w:ascii="Times New Roman" w:hAnsi="Times New Roman" w:cs="Times New Roman"/>
          <w:kern w:val="0"/>
          <w:sz w:val="24"/>
          <w:szCs w:val="24"/>
        </w:rPr>
        <w:t>;</w:t>
      </w:r>
    </w:p>
    <w:p w14:paraId="2758A5A9" w14:textId="77777777" w:rsidR="00374796" w:rsidRPr="003B5817" w:rsidRDefault="00374796" w:rsidP="005B3BC3">
      <w:pPr>
        <w:numPr>
          <w:ilvl w:val="0"/>
          <w:numId w:val="59"/>
        </w:numPr>
        <w:autoSpaceDE w:val="0"/>
        <w:autoSpaceDN w:val="0"/>
        <w:adjustRightInd w:val="0"/>
        <w:spacing w:after="0" w:line="240" w:lineRule="auto"/>
        <w:ind w:left="850" w:hanging="357"/>
        <w:jc w:val="both"/>
        <w:rPr>
          <w:rFonts w:ascii="Times New Roman" w:hAnsi="Times New Roman" w:cs="Times New Roman"/>
          <w:kern w:val="0"/>
          <w:sz w:val="24"/>
          <w:szCs w:val="24"/>
        </w:rPr>
      </w:pPr>
      <w:r w:rsidRPr="003B5817">
        <w:rPr>
          <w:rFonts w:ascii="Times New Roman" w:hAnsi="Times New Roman" w:cs="Times New Roman"/>
          <w:kern w:val="0"/>
          <w:sz w:val="24"/>
          <w:szCs w:val="24"/>
        </w:rPr>
        <w:t>спільне просування програми та спільний набір студентів.</w:t>
      </w:r>
    </w:p>
    <w:p w14:paraId="0ED814A5" w14:textId="2F66A5AF" w:rsidR="00374796" w:rsidRPr="003B5817" w:rsidRDefault="00374796" w:rsidP="005B3BC3">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kern w:val="0"/>
          <w:sz w:val="24"/>
          <w:szCs w:val="24"/>
        </w:rPr>
        <w:t>Візьміть до уваги структуру закладів-партнерів (децентралізовану чи централізовану), розгляньте переваги та недоліки різних моделей у співпраці</w:t>
      </w:r>
      <w:r w:rsidR="00CA156E">
        <w:rPr>
          <w:rFonts w:ascii="Times New Roman" w:hAnsi="Times New Roman" w:cs="Times New Roman"/>
          <w:kern w:val="0"/>
          <w:sz w:val="24"/>
          <w:szCs w:val="24"/>
        </w:rPr>
        <w:t xml:space="preserve"> щодо реалізації спільної програми</w:t>
      </w:r>
      <w:r w:rsidRPr="003B5817">
        <w:rPr>
          <w:rFonts w:ascii="Times New Roman" w:hAnsi="Times New Roman" w:cs="Times New Roman"/>
          <w:kern w:val="0"/>
          <w:sz w:val="24"/>
          <w:szCs w:val="24"/>
        </w:rPr>
        <w:t xml:space="preserve">. </w:t>
      </w:r>
    </w:p>
    <w:p w14:paraId="4F6373F3" w14:textId="67F6EC7B" w:rsidR="001C1F18" w:rsidRPr="00AF0DAF" w:rsidRDefault="001C1F18" w:rsidP="003B5817">
      <w:pPr>
        <w:pStyle w:val="2"/>
        <w:spacing w:before="100" w:beforeAutospacing="1" w:after="100" w:afterAutospacing="1" w:line="240" w:lineRule="auto"/>
        <w:rPr>
          <w:rFonts w:ascii="Times New Roman" w:hAnsi="Times New Roman" w:cs="Times New Roman"/>
          <w:b/>
          <w:bCs/>
          <w:sz w:val="24"/>
          <w:szCs w:val="24"/>
        </w:rPr>
      </w:pPr>
      <w:bookmarkStart w:id="26" w:name="_Toc188337436"/>
      <w:r w:rsidRPr="00AF0DAF">
        <w:rPr>
          <w:rFonts w:ascii="Times New Roman" w:hAnsi="Times New Roman" w:cs="Times New Roman"/>
          <w:b/>
          <w:bCs/>
          <w:sz w:val="24"/>
          <w:szCs w:val="24"/>
        </w:rPr>
        <w:t>9.</w:t>
      </w:r>
      <w:r w:rsidR="00656AAC" w:rsidRPr="00AF0DAF">
        <w:rPr>
          <w:rFonts w:ascii="Times New Roman" w:hAnsi="Times New Roman" w:cs="Times New Roman"/>
          <w:b/>
          <w:bCs/>
          <w:sz w:val="24"/>
          <w:szCs w:val="24"/>
        </w:rPr>
        <w:t>1</w:t>
      </w:r>
      <w:r w:rsidRPr="00AF0DAF">
        <w:rPr>
          <w:rFonts w:ascii="Times New Roman" w:hAnsi="Times New Roman" w:cs="Times New Roman"/>
          <w:b/>
          <w:bCs/>
          <w:sz w:val="24"/>
          <w:szCs w:val="24"/>
        </w:rPr>
        <w:t>.</w:t>
      </w:r>
      <w:r w:rsidR="00FC4D59" w:rsidRPr="00AF0DAF">
        <w:rPr>
          <w:rFonts w:ascii="Times New Roman" w:hAnsi="Times New Roman" w:cs="Times New Roman"/>
          <w:b/>
          <w:bCs/>
          <w:sz w:val="24"/>
          <w:szCs w:val="24"/>
        </w:rPr>
        <w:t xml:space="preserve"> </w:t>
      </w:r>
      <w:r w:rsidR="00515BBE" w:rsidRPr="00AF0DAF">
        <w:rPr>
          <w:rFonts w:ascii="Times New Roman" w:hAnsi="Times New Roman" w:cs="Times New Roman"/>
          <w:b/>
          <w:bCs/>
          <w:sz w:val="24"/>
          <w:szCs w:val="24"/>
        </w:rPr>
        <w:t>Врядування</w:t>
      </w:r>
      <w:r w:rsidRPr="00AF0DAF">
        <w:rPr>
          <w:rFonts w:ascii="Times New Roman" w:hAnsi="Times New Roman" w:cs="Times New Roman"/>
          <w:b/>
          <w:bCs/>
          <w:sz w:val="24"/>
          <w:szCs w:val="24"/>
        </w:rPr>
        <w:t xml:space="preserve"> та управлінські структури</w:t>
      </w:r>
      <w:bookmarkEnd w:id="26"/>
    </w:p>
    <w:p w14:paraId="5D8C2738" w14:textId="7FE36F5A" w:rsidR="001C1F18" w:rsidRPr="003B5817" w:rsidRDefault="00A44A31" w:rsidP="003B581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w:t>
      </w:r>
      <w:r w:rsidR="001C1F18" w:rsidRPr="003B5817">
        <w:rPr>
          <w:rFonts w:ascii="Times New Roman" w:hAnsi="Times New Roman" w:cs="Times New Roman"/>
          <w:kern w:val="0"/>
          <w:sz w:val="24"/>
          <w:szCs w:val="24"/>
        </w:rPr>
        <w:t>труктур</w:t>
      </w:r>
      <w:r>
        <w:rPr>
          <w:rFonts w:ascii="Times New Roman" w:hAnsi="Times New Roman" w:cs="Times New Roman"/>
          <w:kern w:val="0"/>
          <w:sz w:val="24"/>
          <w:szCs w:val="24"/>
        </w:rPr>
        <w:t>а</w:t>
      </w:r>
      <w:r w:rsidR="001C1F18" w:rsidRPr="003B5817">
        <w:rPr>
          <w:rFonts w:ascii="Times New Roman" w:hAnsi="Times New Roman" w:cs="Times New Roman"/>
          <w:kern w:val="0"/>
          <w:sz w:val="24"/>
          <w:szCs w:val="24"/>
        </w:rPr>
        <w:t xml:space="preserve"> управління спільною програмою</w:t>
      </w:r>
      <w:r>
        <w:rPr>
          <w:rFonts w:ascii="Times New Roman" w:hAnsi="Times New Roman" w:cs="Times New Roman"/>
          <w:kern w:val="0"/>
          <w:sz w:val="24"/>
          <w:szCs w:val="24"/>
        </w:rPr>
        <w:t xml:space="preserve"> </w:t>
      </w:r>
      <w:r w:rsidR="001C1F18" w:rsidRPr="003B5817">
        <w:rPr>
          <w:rFonts w:ascii="Times New Roman" w:hAnsi="Times New Roman" w:cs="Times New Roman"/>
          <w:kern w:val="0"/>
          <w:sz w:val="24"/>
          <w:szCs w:val="24"/>
        </w:rPr>
        <w:t>визначає, як розподіляються, контролюються та координуються ролі, повноваження</w:t>
      </w:r>
      <w:r>
        <w:rPr>
          <w:rFonts w:ascii="Times New Roman" w:hAnsi="Times New Roman" w:cs="Times New Roman"/>
          <w:kern w:val="0"/>
          <w:sz w:val="24"/>
          <w:szCs w:val="24"/>
        </w:rPr>
        <w:t>, завдання</w:t>
      </w:r>
      <w:r w:rsidR="001C1F18" w:rsidRPr="003B5817">
        <w:rPr>
          <w:rFonts w:ascii="Times New Roman" w:hAnsi="Times New Roman" w:cs="Times New Roman"/>
          <w:kern w:val="0"/>
          <w:sz w:val="24"/>
          <w:szCs w:val="24"/>
        </w:rPr>
        <w:t xml:space="preserve"> та обов</w:t>
      </w:r>
      <w:r w:rsidR="00B2594D" w:rsidRPr="003B5817">
        <w:rPr>
          <w:rFonts w:ascii="Times New Roman" w:hAnsi="Times New Roman" w:cs="Times New Roman"/>
          <w:kern w:val="0"/>
          <w:sz w:val="24"/>
          <w:szCs w:val="24"/>
        </w:rPr>
        <w:t>’</w:t>
      </w:r>
      <w:r w:rsidR="001C1F18" w:rsidRPr="003B5817">
        <w:rPr>
          <w:rFonts w:ascii="Times New Roman" w:hAnsi="Times New Roman" w:cs="Times New Roman"/>
          <w:kern w:val="0"/>
          <w:sz w:val="24"/>
          <w:szCs w:val="24"/>
        </w:rPr>
        <w:t>язки, а також як відбува</w:t>
      </w:r>
      <w:r w:rsidR="00B2594D" w:rsidRPr="003B5817">
        <w:rPr>
          <w:rFonts w:ascii="Times New Roman" w:hAnsi="Times New Roman" w:cs="Times New Roman"/>
          <w:kern w:val="0"/>
          <w:sz w:val="24"/>
          <w:szCs w:val="24"/>
        </w:rPr>
        <w:t>тимет</w:t>
      </w:r>
      <w:r w:rsidR="001C1F18" w:rsidRPr="003B5817">
        <w:rPr>
          <w:rFonts w:ascii="Times New Roman" w:hAnsi="Times New Roman" w:cs="Times New Roman"/>
          <w:kern w:val="0"/>
          <w:sz w:val="24"/>
          <w:szCs w:val="24"/>
        </w:rPr>
        <w:t>ься обмін інформацією між різними рівнями управління.</w:t>
      </w:r>
    </w:p>
    <w:p w14:paraId="64C97B50" w14:textId="353B5908" w:rsidR="001C1F18" w:rsidRPr="003B5817" w:rsidRDefault="001C1F18" w:rsidP="003B581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kern w:val="0"/>
          <w:sz w:val="24"/>
          <w:szCs w:val="24"/>
        </w:rPr>
        <w:t xml:space="preserve">Бажано розподілити робоче навантаження між партнерами консорціуму, особливо між великими </w:t>
      </w:r>
      <w:r w:rsidR="006B682B">
        <w:rPr>
          <w:rFonts w:ascii="Times New Roman" w:hAnsi="Times New Roman" w:cs="Times New Roman"/>
          <w:kern w:val="0"/>
          <w:sz w:val="24"/>
          <w:szCs w:val="24"/>
        </w:rPr>
        <w:t xml:space="preserve">закладами-партнерами. </w:t>
      </w:r>
      <w:r w:rsidR="006B682B" w:rsidRPr="006B682B">
        <w:rPr>
          <w:rFonts w:ascii="Times New Roman" w:hAnsi="Times New Roman" w:cs="Times New Roman"/>
          <w:i/>
          <w:iCs/>
          <w:kern w:val="0"/>
          <w:sz w:val="24"/>
          <w:szCs w:val="24"/>
        </w:rPr>
        <w:t>Н</w:t>
      </w:r>
      <w:r w:rsidRPr="006B682B">
        <w:rPr>
          <w:rFonts w:ascii="Times New Roman" w:hAnsi="Times New Roman" w:cs="Times New Roman"/>
          <w:i/>
          <w:iCs/>
          <w:kern w:val="0"/>
          <w:sz w:val="24"/>
          <w:szCs w:val="24"/>
        </w:rPr>
        <w:t>априклад</w:t>
      </w:r>
      <w:r w:rsidRPr="003B5817">
        <w:rPr>
          <w:rFonts w:ascii="Times New Roman" w:hAnsi="Times New Roman" w:cs="Times New Roman"/>
          <w:kern w:val="0"/>
          <w:sz w:val="24"/>
          <w:szCs w:val="24"/>
        </w:rPr>
        <w:t>, центральне управління/координація в одного партнера, внутрішнє забезпечення якості координує други</w:t>
      </w:r>
      <w:r w:rsidR="00B2594D" w:rsidRPr="003B5817">
        <w:rPr>
          <w:rFonts w:ascii="Times New Roman" w:hAnsi="Times New Roman" w:cs="Times New Roman"/>
          <w:kern w:val="0"/>
          <w:sz w:val="24"/>
          <w:szCs w:val="24"/>
        </w:rPr>
        <w:t>й</w:t>
      </w:r>
      <w:r w:rsidRPr="003B5817">
        <w:rPr>
          <w:rFonts w:ascii="Times New Roman" w:hAnsi="Times New Roman" w:cs="Times New Roman"/>
          <w:kern w:val="0"/>
          <w:sz w:val="24"/>
          <w:szCs w:val="24"/>
        </w:rPr>
        <w:t xml:space="preserve"> партнер, маркетинг координує треті</w:t>
      </w:r>
      <w:r w:rsidR="00B2594D" w:rsidRPr="003B5817">
        <w:rPr>
          <w:rFonts w:ascii="Times New Roman" w:hAnsi="Times New Roman" w:cs="Times New Roman"/>
          <w:kern w:val="0"/>
          <w:sz w:val="24"/>
          <w:szCs w:val="24"/>
        </w:rPr>
        <w:t>й</w:t>
      </w:r>
      <w:r w:rsidRPr="003B5817">
        <w:rPr>
          <w:rFonts w:ascii="Times New Roman" w:hAnsi="Times New Roman" w:cs="Times New Roman"/>
          <w:kern w:val="0"/>
          <w:sz w:val="24"/>
          <w:szCs w:val="24"/>
        </w:rPr>
        <w:t xml:space="preserve"> </w:t>
      </w:r>
      <w:r w:rsidR="00B2594D" w:rsidRPr="003B5817">
        <w:rPr>
          <w:rFonts w:ascii="Times New Roman" w:hAnsi="Times New Roman" w:cs="Times New Roman"/>
          <w:kern w:val="0"/>
          <w:sz w:val="24"/>
          <w:szCs w:val="24"/>
        </w:rPr>
        <w:t>–</w:t>
      </w:r>
      <w:r w:rsidRPr="003B5817">
        <w:rPr>
          <w:rFonts w:ascii="Times New Roman" w:hAnsi="Times New Roman" w:cs="Times New Roman"/>
          <w:kern w:val="0"/>
          <w:sz w:val="24"/>
          <w:szCs w:val="24"/>
        </w:rPr>
        <w:t xml:space="preserve"> все</w:t>
      </w:r>
      <w:r w:rsidR="00B2594D" w:rsidRPr="003B5817">
        <w:rPr>
          <w:rFonts w:ascii="Times New Roman" w:hAnsi="Times New Roman" w:cs="Times New Roman"/>
          <w:kern w:val="0"/>
          <w:sz w:val="24"/>
          <w:szCs w:val="24"/>
        </w:rPr>
        <w:t xml:space="preserve"> робиться </w:t>
      </w:r>
      <w:r w:rsidRPr="003B5817">
        <w:rPr>
          <w:rFonts w:ascii="Times New Roman" w:hAnsi="Times New Roman" w:cs="Times New Roman"/>
          <w:kern w:val="0"/>
          <w:sz w:val="24"/>
          <w:szCs w:val="24"/>
        </w:rPr>
        <w:t>разом, але обов</w:t>
      </w:r>
      <w:r w:rsidR="00B2594D" w:rsidRPr="003B5817">
        <w:rPr>
          <w:rFonts w:ascii="Times New Roman" w:hAnsi="Times New Roman" w:cs="Times New Roman"/>
          <w:kern w:val="0"/>
          <w:sz w:val="24"/>
          <w:szCs w:val="24"/>
        </w:rPr>
        <w:t>’</w:t>
      </w:r>
      <w:r w:rsidRPr="003B5817">
        <w:rPr>
          <w:rFonts w:ascii="Times New Roman" w:hAnsi="Times New Roman" w:cs="Times New Roman"/>
          <w:kern w:val="0"/>
          <w:sz w:val="24"/>
          <w:szCs w:val="24"/>
        </w:rPr>
        <w:t>язк</w:t>
      </w:r>
      <w:r w:rsidR="00B2594D" w:rsidRPr="003B5817">
        <w:rPr>
          <w:rFonts w:ascii="Times New Roman" w:hAnsi="Times New Roman" w:cs="Times New Roman"/>
          <w:kern w:val="0"/>
          <w:sz w:val="24"/>
          <w:szCs w:val="24"/>
        </w:rPr>
        <w:t>и</w:t>
      </w:r>
      <w:r w:rsidRPr="003B5817">
        <w:rPr>
          <w:rFonts w:ascii="Times New Roman" w:hAnsi="Times New Roman" w:cs="Times New Roman"/>
          <w:kern w:val="0"/>
          <w:sz w:val="24"/>
          <w:szCs w:val="24"/>
        </w:rPr>
        <w:t xml:space="preserve"> з координації</w:t>
      </w:r>
      <w:r w:rsidR="00B2594D" w:rsidRPr="003B5817">
        <w:rPr>
          <w:rFonts w:ascii="Times New Roman" w:hAnsi="Times New Roman" w:cs="Times New Roman"/>
          <w:kern w:val="0"/>
          <w:sz w:val="24"/>
          <w:szCs w:val="24"/>
        </w:rPr>
        <w:t xml:space="preserve"> розподіляються</w:t>
      </w:r>
      <w:r w:rsidRPr="003B5817">
        <w:rPr>
          <w:rFonts w:ascii="Times New Roman" w:hAnsi="Times New Roman" w:cs="Times New Roman"/>
          <w:kern w:val="0"/>
          <w:sz w:val="24"/>
          <w:szCs w:val="24"/>
        </w:rPr>
        <w:t xml:space="preserve"> між партнерськими </w:t>
      </w:r>
      <w:r w:rsidR="006B682B">
        <w:rPr>
          <w:rFonts w:ascii="Times New Roman" w:hAnsi="Times New Roman" w:cs="Times New Roman"/>
          <w:kern w:val="0"/>
          <w:sz w:val="24"/>
          <w:szCs w:val="24"/>
        </w:rPr>
        <w:t>закладами вищої освіти</w:t>
      </w:r>
      <w:r w:rsidRPr="003B5817">
        <w:rPr>
          <w:rFonts w:ascii="Times New Roman" w:hAnsi="Times New Roman" w:cs="Times New Roman"/>
          <w:kern w:val="0"/>
          <w:sz w:val="24"/>
          <w:szCs w:val="24"/>
        </w:rPr>
        <w:t>.</w:t>
      </w:r>
    </w:p>
    <w:p w14:paraId="4E40EF51" w14:textId="21168687" w:rsidR="001C1F18" w:rsidRPr="003B5817" w:rsidRDefault="001C1F18" w:rsidP="003B581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kern w:val="0"/>
          <w:sz w:val="24"/>
          <w:szCs w:val="24"/>
        </w:rPr>
        <w:t xml:space="preserve">Структура управління залежить від стратегічних цілей спільної програми. У централізованій структурі більшість повноважень щодо прийняття рішень належить вищому керівництву, яке здійснює контроль </w:t>
      </w:r>
      <w:r w:rsidR="00BB417D">
        <w:rPr>
          <w:rFonts w:ascii="Times New Roman" w:hAnsi="Times New Roman" w:cs="Times New Roman"/>
          <w:kern w:val="0"/>
          <w:sz w:val="24"/>
          <w:szCs w:val="24"/>
        </w:rPr>
        <w:t>щодо діяльності</w:t>
      </w:r>
      <w:r w:rsidRPr="003B5817">
        <w:rPr>
          <w:rFonts w:ascii="Times New Roman" w:hAnsi="Times New Roman" w:cs="Times New Roman"/>
          <w:kern w:val="0"/>
          <w:sz w:val="24"/>
          <w:szCs w:val="24"/>
        </w:rPr>
        <w:t xml:space="preserve"> учасник</w:t>
      </w:r>
      <w:r w:rsidR="00BB417D">
        <w:rPr>
          <w:rFonts w:ascii="Times New Roman" w:hAnsi="Times New Roman" w:cs="Times New Roman"/>
          <w:kern w:val="0"/>
          <w:sz w:val="24"/>
          <w:szCs w:val="24"/>
        </w:rPr>
        <w:t>ів</w:t>
      </w:r>
      <w:r w:rsidRPr="003B5817">
        <w:rPr>
          <w:rFonts w:ascii="Times New Roman" w:hAnsi="Times New Roman" w:cs="Times New Roman"/>
          <w:kern w:val="0"/>
          <w:sz w:val="24"/>
          <w:szCs w:val="24"/>
        </w:rPr>
        <w:t xml:space="preserve"> консорціуму спільної програми. У децентралізованій структурі повноваження щодо прийняття рішень розподілені, а партнери можуть мати різний ступінь незалежності.</w:t>
      </w:r>
    </w:p>
    <w:p w14:paraId="5B80AE5D" w14:textId="07CE66A2" w:rsidR="001C1F18" w:rsidRPr="003B5817" w:rsidRDefault="001C1F18" w:rsidP="003B5817">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3B5817">
        <w:rPr>
          <w:rFonts w:ascii="Times New Roman" w:hAnsi="Times New Roman" w:cs="Times New Roman"/>
          <w:color w:val="000000"/>
          <w:kern w:val="0"/>
          <w:sz w:val="24"/>
          <w:szCs w:val="24"/>
        </w:rPr>
        <w:t xml:space="preserve">Зазвичай, </w:t>
      </w:r>
      <w:r w:rsidR="000C3686" w:rsidRPr="003B5817">
        <w:rPr>
          <w:rFonts w:ascii="Times New Roman" w:hAnsi="Times New Roman" w:cs="Times New Roman"/>
          <w:color w:val="000000"/>
          <w:kern w:val="0"/>
          <w:sz w:val="24"/>
          <w:szCs w:val="24"/>
        </w:rPr>
        <w:t>заклад</w:t>
      </w:r>
      <w:r w:rsidR="004254D8">
        <w:rPr>
          <w:rFonts w:ascii="Times New Roman" w:hAnsi="Times New Roman" w:cs="Times New Roman"/>
          <w:color w:val="000000"/>
          <w:kern w:val="0"/>
          <w:sz w:val="24"/>
          <w:szCs w:val="24"/>
        </w:rPr>
        <w:t>-</w:t>
      </w:r>
      <w:r w:rsidR="004254D8" w:rsidRPr="003B5817">
        <w:rPr>
          <w:rFonts w:ascii="Times New Roman" w:hAnsi="Times New Roman" w:cs="Times New Roman"/>
          <w:color w:val="000000"/>
          <w:kern w:val="0"/>
          <w:sz w:val="24"/>
          <w:szCs w:val="24"/>
        </w:rPr>
        <w:t>координ</w:t>
      </w:r>
      <w:r w:rsidR="004254D8">
        <w:rPr>
          <w:rFonts w:ascii="Times New Roman" w:hAnsi="Times New Roman" w:cs="Times New Roman"/>
          <w:color w:val="000000"/>
          <w:kern w:val="0"/>
          <w:sz w:val="24"/>
          <w:szCs w:val="24"/>
        </w:rPr>
        <w:t>атор</w:t>
      </w:r>
      <w:r w:rsidR="004254D8" w:rsidRPr="003B5817">
        <w:rPr>
          <w:rFonts w:ascii="Times New Roman" w:hAnsi="Times New Roman" w:cs="Times New Roman"/>
          <w:color w:val="000000"/>
          <w:kern w:val="0"/>
          <w:sz w:val="24"/>
          <w:szCs w:val="24"/>
        </w:rPr>
        <w:t xml:space="preserve"> </w:t>
      </w:r>
      <w:r w:rsidRPr="003B5817">
        <w:rPr>
          <w:rFonts w:ascii="Times New Roman" w:hAnsi="Times New Roman" w:cs="Times New Roman"/>
          <w:color w:val="000000"/>
          <w:kern w:val="0"/>
          <w:sz w:val="24"/>
          <w:szCs w:val="24"/>
        </w:rPr>
        <w:t>відповідає за отримання заявок</w:t>
      </w:r>
      <w:r w:rsidR="00BC4B1D">
        <w:rPr>
          <w:rFonts w:ascii="Times New Roman" w:hAnsi="Times New Roman" w:cs="Times New Roman"/>
          <w:color w:val="000000"/>
          <w:kern w:val="0"/>
          <w:sz w:val="24"/>
          <w:szCs w:val="24"/>
        </w:rPr>
        <w:t xml:space="preserve"> на навчання</w:t>
      </w:r>
      <w:r w:rsidRPr="003B5817">
        <w:rPr>
          <w:rFonts w:ascii="Times New Roman" w:hAnsi="Times New Roman" w:cs="Times New Roman"/>
          <w:color w:val="000000"/>
          <w:kern w:val="0"/>
          <w:sz w:val="24"/>
          <w:szCs w:val="24"/>
        </w:rPr>
        <w:t xml:space="preserve">, </w:t>
      </w:r>
      <w:r w:rsidR="00BC4B1D">
        <w:rPr>
          <w:rFonts w:ascii="Times New Roman" w:hAnsi="Times New Roman" w:cs="Times New Roman"/>
          <w:color w:val="000000"/>
          <w:kern w:val="0"/>
          <w:sz w:val="24"/>
          <w:szCs w:val="24"/>
        </w:rPr>
        <w:t>інформування</w:t>
      </w:r>
      <w:r w:rsidRPr="003B5817">
        <w:rPr>
          <w:rFonts w:ascii="Times New Roman" w:hAnsi="Times New Roman" w:cs="Times New Roman"/>
          <w:color w:val="000000"/>
          <w:kern w:val="0"/>
          <w:sz w:val="24"/>
          <w:szCs w:val="24"/>
        </w:rPr>
        <w:t xml:space="preserve"> про </w:t>
      </w:r>
      <w:r w:rsidR="00BC4B1D">
        <w:rPr>
          <w:rFonts w:ascii="Times New Roman" w:hAnsi="Times New Roman" w:cs="Times New Roman"/>
          <w:color w:val="000000"/>
          <w:kern w:val="0"/>
          <w:sz w:val="24"/>
          <w:szCs w:val="24"/>
        </w:rPr>
        <w:t>зарахування</w:t>
      </w:r>
      <w:r w:rsidRPr="003B5817">
        <w:rPr>
          <w:rFonts w:ascii="Times New Roman" w:hAnsi="Times New Roman" w:cs="Times New Roman"/>
          <w:color w:val="000000"/>
          <w:kern w:val="0"/>
          <w:sz w:val="24"/>
          <w:szCs w:val="24"/>
        </w:rPr>
        <w:t xml:space="preserve">, фінансовий моніторинг </w:t>
      </w:r>
      <w:r w:rsidR="00BC4B1D">
        <w:rPr>
          <w:rFonts w:ascii="Times New Roman" w:hAnsi="Times New Roman" w:cs="Times New Roman"/>
          <w:color w:val="000000"/>
          <w:kern w:val="0"/>
          <w:sz w:val="24"/>
          <w:szCs w:val="24"/>
        </w:rPr>
        <w:t xml:space="preserve">спільної </w:t>
      </w:r>
      <w:r w:rsidRPr="003B5817">
        <w:rPr>
          <w:rFonts w:ascii="Times New Roman" w:hAnsi="Times New Roman" w:cs="Times New Roman"/>
          <w:color w:val="000000"/>
          <w:kern w:val="0"/>
          <w:sz w:val="24"/>
          <w:szCs w:val="24"/>
        </w:rPr>
        <w:t xml:space="preserve">програми, а також збір і розподіл </w:t>
      </w:r>
      <w:r w:rsidR="000662AE" w:rsidRPr="003B5817">
        <w:rPr>
          <w:rFonts w:ascii="Times New Roman" w:hAnsi="Times New Roman" w:cs="Times New Roman"/>
          <w:color w:val="000000"/>
          <w:kern w:val="0"/>
          <w:sz w:val="24"/>
          <w:szCs w:val="24"/>
        </w:rPr>
        <w:t>оплати за навчання</w:t>
      </w:r>
      <w:r w:rsidRPr="003B5817">
        <w:rPr>
          <w:rFonts w:ascii="Times New Roman" w:hAnsi="Times New Roman" w:cs="Times New Roman"/>
          <w:color w:val="000000"/>
          <w:kern w:val="0"/>
          <w:sz w:val="24"/>
          <w:szCs w:val="24"/>
        </w:rPr>
        <w:t>.</w:t>
      </w:r>
      <w:r w:rsidR="00FC4D59" w:rsidRPr="003B5817">
        <w:rPr>
          <w:rFonts w:ascii="Times New Roman" w:hAnsi="Times New Roman" w:cs="Times New Roman"/>
          <w:color w:val="000000"/>
          <w:kern w:val="0"/>
          <w:sz w:val="24"/>
          <w:szCs w:val="24"/>
        </w:rPr>
        <w:t xml:space="preserve"> </w:t>
      </w:r>
      <w:r w:rsidR="000662AE" w:rsidRPr="003B5817">
        <w:rPr>
          <w:rFonts w:ascii="Times New Roman" w:hAnsi="Times New Roman" w:cs="Times New Roman"/>
          <w:color w:val="000000"/>
          <w:kern w:val="0"/>
          <w:sz w:val="24"/>
          <w:szCs w:val="24"/>
        </w:rPr>
        <w:t xml:space="preserve">Консорціум надалі перевіряє заявки, приймає рішення щодо вступу, організовує мобільність і видає </w:t>
      </w:r>
      <w:r w:rsidR="001F56E1">
        <w:rPr>
          <w:rFonts w:ascii="Times New Roman" w:hAnsi="Times New Roman" w:cs="Times New Roman"/>
          <w:color w:val="000000"/>
          <w:kern w:val="0"/>
          <w:sz w:val="24"/>
          <w:szCs w:val="24"/>
        </w:rPr>
        <w:t>документ</w:t>
      </w:r>
      <w:r w:rsidR="00C435D9">
        <w:rPr>
          <w:rFonts w:ascii="Times New Roman" w:hAnsi="Times New Roman" w:cs="Times New Roman"/>
          <w:color w:val="000000"/>
          <w:kern w:val="0"/>
          <w:sz w:val="24"/>
          <w:szCs w:val="24"/>
        </w:rPr>
        <w:t xml:space="preserve">(и) </w:t>
      </w:r>
      <w:r w:rsidR="001F56E1">
        <w:rPr>
          <w:rFonts w:ascii="Times New Roman" w:hAnsi="Times New Roman" w:cs="Times New Roman"/>
          <w:color w:val="000000"/>
          <w:kern w:val="0"/>
          <w:sz w:val="24"/>
          <w:szCs w:val="24"/>
        </w:rPr>
        <w:t>про вищу освіту</w:t>
      </w:r>
      <w:r w:rsidRPr="003B5817">
        <w:rPr>
          <w:rFonts w:ascii="Times New Roman" w:hAnsi="Times New Roman" w:cs="Times New Roman"/>
          <w:color w:val="000000"/>
          <w:kern w:val="0"/>
          <w:sz w:val="24"/>
          <w:szCs w:val="24"/>
        </w:rPr>
        <w:t>.</w:t>
      </w:r>
      <w:r w:rsidR="00FC4D59" w:rsidRPr="003B5817">
        <w:rPr>
          <w:rFonts w:ascii="Times New Roman" w:hAnsi="Times New Roman" w:cs="Times New Roman"/>
          <w:color w:val="000000"/>
          <w:kern w:val="0"/>
          <w:sz w:val="24"/>
          <w:szCs w:val="24"/>
        </w:rPr>
        <w:t xml:space="preserve"> </w:t>
      </w:r>
      <w:r w:rsidRPr="003B5817">
        <w:rPr>
          <w:rFonts w:ascii="Times New Roman" w:hAnsi="Times New Roman" w:cs="Times New Roman"/>
          <w:color w:val="000000"/>
          <w:kern w:val="0"/>
          <w:sz w:val="24"/>
          <w:szCs w:val="24"/>
        </w:rPr>
        <w:t>Заклади-партнери (на центральному рівні) відповідають за зарахування, отримання віз, проживання, видачу диплома про вищу освіту та додатку до диплома</w:t>
      </w:r>
      <w:r w:rsidR="000662AE" w:rsidRPr="003B5817">
        <w:rPr>
          <w:rFonts w:ascii="Times New Roman" w:hAnsi="Times New Roman" w:cs="Times New Roman"/>
          <w:color w:val="000000"/>
          <w:kern w:val="0"/>
          <w:sz w:val="24"/>
          <w:szCs w:val="24"/>
        </w:rPr>
        <w:t>. З</w:t>
      </w:r>
      <w:r w:rsidRPr="003B5817">
        <w:rPr>
          <w:rFonts w:ascii="Times New Roman" w:hAnsi="Times New Roman" w:cs="Times New Roman"/>
          <w:color w:val="000000"/>
          <w:kern w:val="0"/>
          <w:sz w:val="24"/>
          <w:szCs w:val="24"/>
        </w:rPr>
        <w:t xml:space="preserve">аклади-партнери </w:t>
      </w:r>
      <w:r w:rsidR="000662AE" w:rsidRPr="003B5817">
        <w:rPr>
          <w:rFonts w:ascii="Times New Roman" w:hAnsi="Times New Roman" w:cs="Times New Roman"/>
          <w:color w:val="000000"/>
          <w:kern w:val="0"/>
          <w:sz w:val="24"/>
          <w:szCs w:val="24"/>
        </w:rPr>
        <w:t xml:space="preserve">(на рівні факультету/кафедри) </w:t>
      </w:r>
      <w:r w:rsidRPr="003B5817">
        <w:rPr>
          <w:rFonts w:ascii="Times New Roman" w:hAnsi="Times New Roman" w:cs="Times New Roman"/>
          <w:color w:val="000000"/>
          <w:kern w:val="0"/>
          <w:sz w:val="24"/>
          <w:szCs w:val="24"/>
        </w:rPr>
        <w:t xml:space="preserve">відповідають за </w:t>
      </w:r>
      <w:r w:rsidRPr="003B5817">
        <w:rPr>
          <w:rFonts w:ascii="Times New Roman" w:hAnsi="Times New Roman" w:cs="Times New Roman"/>
          <w:color w:val="000000"/>
          <w:kern w:val="0"/>
          <w:sz w:val="24"/>
          <w:szCs w:val="24"/>
        </w:rPr>
        <w:lastRenderedPageBreak/>
        <w:t xml:space="preserve">організацію позанавчальних заходів, </w:t>
      </w:r>
      <w:r w:rsidR="008E7B70">
        <w:rPr>
          <w:rFonts w:ascii="Times New Roman" w:hAnsi="Times New Roman" w:cs="Times New Roman"/>
          <w:color w:val="000000"/>
          <w:kern w:val="0"/>
          <w:sz w:val="24"/>
          <w:szCs w:val="24"/>
        </w:rPr>
        <w:t>заліків, екзаменів</w:t>
      </w:r>
      <w:r w:rsidRPr="003B5817">
        <w:rPr>
          <w:rFonts w:ascii="Times New Roman" w:hAnsi="Times New Roman" w:cs="Times New Roman"/>
          <w:color w:val="000000"/>
          <w:kern w:val="0"/>
          <w:sz w:val="24"/>
          <w:szCs w:val="24"/>
        </w:rPr>
        <w:t>, захист магістерської дипломної роботи, пере</w:t>
      </w:r>
      <w:r w:rsidR="000662AE" w:rsidRPr="003B5817">
        <w:rPr>
          <w:rFonts w:ascii="Times New Roman" w:hAnsi="Times New Roman" w:cs="Times New Roman"/>
          <w:color w:val="000000"/>
          <w:kern w:val="0"/>
          <w:sz w:val="24"/>
          <w:szCs w:val="24"/>
        </w:rPr>
        <w:t>рахунок</w:t>
      </w:r>
      <w:r w:rsidRPr="003B5817">
        <w:rPr>
          <w:rFonts w:ascii="Times New Roman" w:hAnsi="Times New Roman" w:cs="Times New Roman"/>
          <w:color w:val="000000"/>
          <w:kern w:val="0"/>
          <w:sz w:val="24"/>
          <w:szCs w:val="24"/>
        </w:rPr>
        <w:t xml:space="preserve"> оцінок та ведення документації.</w:t>
      </w:r>
    </w:p>
    <w:p w14:paraId="1BFD2337" w14:textId="2C408076" w:rsidR="001C1F18" w:rsidRPr="003B5817" w:rsidRDefault="008E7B70"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t>Р</w:t>
      </w:r>
      <w:r w:rsidR="000662AE" w:rsidRPr="003B5817">
        <w:rPr>
          <w:rFonts w:ascii="Times New Roman" w:hAnsi="Times New Roman" w:cs="Times New Roman"/>
          <w:color w:val="000000"/>
          <w:kern w:val="0"/>
          <w:sz w:val="24"/>
          <w:szCs w:val="24"/>
        </w:rPr>
        <w:t>екоменд</w:t>
      </w:r>
      <w:r>
        <w:rPr>
          <w:rFonts w:ascii="Times New Roman" w:hAnsi="Times New Roman" w:cs="Times New Roman"/>
          <w:color w:val="000000"/>
          <w:kern w:val="0"/>
          <w:sz w:val="24"/>
          <w:szCs w:val="24"/>
        </w:rPr>
        <w:t>овано</w:t>
      </w:r>
      <w:r w:rsidR="001C1F18" w:rsidRPr="003B5817">
        <w:rPr>
          <w:rFonts w:ascii="Times New Roman" w:hAnsi="Times New Roman" w:cs="Times New Roman"/>
          <w:color w:val="000000"/>
          <w:kern w:val="0"/>
          <w:sz w:val="24"/>
          <w:szCs w:val="24"/>
        </w:rPr>
        <w:t>,</w:t>
      </w:r>
      <w:r w:rsidR="000662AE" w:rsidRPr="003B5817">
        <w:rPr>
          <w:rFonts w:ascii="Times New Roman" w:hAnsi="Times New Roman" w:cs="Times New Roman"/>
          <w:color w:val="000000"/>
          <w:kern w:val="0"/>
          <w:sz w:val="24"/>
          <w:szCs w:val="24"/>
        </w:rPr>
        <w:t xml:space="preserve"> щоб</w:t>
      </w:r>
      <w:r w:rsidR="001C1F18" w:rsidRPr="003B5817">
        <w:rPr>
          <w:rFonts w:ascii="Times New Roman" w:hAnsi="Times New Roman" w:cs="Times New Roman"/>
          <w:color w:val="000000"/>
          <w:kern w:val="0"/>
          <w:sz w:val="24"/>
          <w:szCs w:val="24"/>
        </w:rPr>
        <w:t xml:space="preserve"> окрім центрального координатора консорціуму спільн</w:t>
      </w:r>
      <w:r w:rsidR="000662AE" w:rsidRPr="003B5817">
        <w:rPr>
          <w:rFonts w:ascii="Times New Roman" w:hAnsi="Times New Roman" w:cs="Times New Roman"/>
          <w:color w:val="000000"/>
          <w:kern w:val="0"/>
          <w:sz w:val="24"/>
          <w:szCs w:val="24"/>
        </w:rPr>
        <w:t>ої</w:t>
      </w:r>
      <w:r w:rsidR="001C1F18" w:rsidRPr="003B5817">
        <w:rPr>
          <w:rFonts w:ascii="Times New Roman" w:hAnsi="Times New Roman" w:cs="Times New Roman"/>
          <w:color w:val="000000"/>
          <w:kern w:val="0"/>
          <w:sz w:val="24"/>
          <w:szCs w:val="24"/>
        </w:rPr>
        <w:t xml:space="preserve"> програм</w:t>
      </w:r>
      <w:r w:rsidR="000662AE" w:rsidRPr="003B5817">
        <w:rPr>
          <w:rFonts w:ascii="Times New Roman" w:hAnsi="Times New Roman" w:cs="Times New Roman"/>
          <w:color w:val="000000"/>
          <w:kern w:val="0"/>
          <w:sz w:val="24"/>
          <w:szCs w:val="24"/>
        </w:rPr>
        <w:t>и</w:t>
      </w:r>
      <w:r w:rsidR="001C1F18" w:rsidRPr="003B5817">
        <w:rPr>
          <w:rFonts w:ascii="Times New Roman" w:hAnsi="Times New Roman" w:cs="Times New Roman"/>
          <w:color w:val="000000"/>
          <w:kern w:val="0"/>
          <w:sz w:val="24"/>
          <w:szCs w:val="24"/>
        </w:rPr>
        <w:t xml:space="preserve">, кожен </w:t>
      </w:r>
      <w:r>
        <w:rPr>
          <w:rFonts w:ascii="Times New Roman" w:hAnsi="Times New Roman" w:cs="Times New Roman"/>
          <w:color w:val="000000"/>
          <w:kern w:val="0"/>
          <w:sz w:val="24"/>
          <w:szCs w:val="24"/>
        </w:rPr>
        <w:t>заклад-</w:t>
      </w:r>
      <w:r w:rsidR="001C1F18" w:rsidRPr="003B5817">
        <w:rPr>
          <w:rFonts w:ascii="Times New Roman" w:hAnsi="Times New Roman" w:cs="Times New Roman"/>
          <w:color w:val="000000"/>
          <w:kern w:val="0"/>
          <w:sz w:val="24"/>
          <w:szCs w:val="24"/>
        </w:rPr>
        <w:t xml:space="preserve">партнер визначив особу, яка буде діяти як </w:t>
      </w:r>
      <w:r w:rsidR="000662AE" w:rsidRPr="003B5817">
        <w:rPr>
          <w:rFonts w:ascii="Times New Roman" w:hAnsi="Times New Roman" w:cs="Times New Roman"/>
          <w:color w:val="000000"/>
          <w:kern w:val="0"/>
          <w:sz w:val="24"/>
          <w:szCs w:val="24"/>
        </w:rPr>
        <w:t>локальний</w:t>
      </w:r>
      <w:r w:rsidR="001C1F18" w:rsidRPr="003B5817">
        <w:rPr>
          <w:rFonts w:ascii="Times New Roman" w:hAnsi="Times New Roman" w:cs="Times New Roman"/>
          <w:color w:val="000000"/>
          <w:kern w:val="0"/>
          <w:sz w:val="24"/>
          <w:szCs w:val="24"/>
        </w:rPr>
        <w:t xml:space="preserve"> координатор і нестиме відповідальність за спільну програму в межах </w:t>
      </w:r>
      <w:r w:rsidR="000662AE" w:rsidRPr="003B5817">
        <w:rPr>
          <w:rFonts w:ascii="Times New Roman" w:hAnsi="Times New Roman" w:cs="Times New Roman"/>
          <w:color w:val="000000"/>
          <w:kern w:val="0"/>
          <w:sz w:val="24"/>
          <w:szCs w:val="24"/>
        </w:rPr>
        <w:t>закладу</w:t>
      </w:r>
      <w:r>
        <w:rPr>
          <w:rFonts w:ascii="Times New Roman" w:hAnsi="Times New Roman" w:cs="Times New Roman"/>
          <w:color w:val="000000"/>
          <w:kern w:val="0"/>
          <w:sz w:val="24"/>
          <w:szCs w:val="24"/>
        </w:rPr>
        <w:t>, виконуватиме академічні та</w:t>
      </w:r>
      <w:r w:rsidRPr="008E7B70">
        <w:rPr>
          <w:rFonts w:ascii="Times New Roman" w:hAnsi="Times New Roman" w:cs="Times New Roman"/>
          <w:kern w:val="0"/>
          <w:sz w:val="24"/>
          <w:szCs w:val="24"/>
        </w:rPr>
        <w:t xml:space="preserve"> </w:t>
      </w:r>
      <w:r w:rsidRPr="003B5817">
        <w:rPr>
          <w:rFonts w:ascii="Times New Roman" w:hAnsi="Times New Roman" w:cs="Times New Roman"/>
          <w:kern w:val="0"/>
          <w:sz w:val="24"/>
          <w:szCs w:val="24"/>
        </w:rPr>
        <w:t>організаційні завдання на відповідному факультеті</w:t>
      </w:r>
      <w:r w:rsidR="001C1F18" w:rsidRPr="003B5817">
        <w:rPr>
          <w:rFonts w:ascii="Times New Roman" w:hAnsi="Times New Roman" w:cs="Times New Roman"/>
          <w:color w:val="000000"/>
          <w:kern w:val="0"/>
          <w:sz w:val="24"/>
          <w:szCs w:val="24"/>
        </w:rPr>
        <w:t xml:space="preserve">. </w:t>
      </w:r>
      <w:r w:rsidRPr="003B5817">
        <w:rPr>
          <w:rFonts w:ascii="Times New Roman" w:hAnsi="Times New Roman" w:cs="Times New Roman"/>
          <w:kern w:val="0"/>
          <w:sz w:val="24"/>
          <w:szCs w:val="24"/>
        </w:rPr>
        <w:t xml:space="preserve">Ці завдання можуть бути розподілені між </w:t>
      </w:r>
      <w:r>
        <w:rPr>
          <w:rFonts w:ascii="Times New Roman" w:hAnsi="Times New Roman" w:cs="Times New Roman"/>
          <w:kern w:val="0"/>
          <w:sz w:val="24"/>
          <w:szCs w:val="24"/>
        </w:rPr>
        <w:t xml:space="preserve">гарантом </w:t>
      </w:r>
      <w:r w:rsidRPr="003B5817">
        <w:rPr>
          <w:rFonts w:ascii="Times New Roman" w:hAnsi="Times New Roman" w:cs="Times New Roman"/>
          <w:kern w:val="0"/>
          <w:sz w:val="24"/>
          <w:szCs w:val="24"/>
        </w:rPr>
        <w:t>спільн</w:t>
      </w:r>
      <w:r>
        <w:rPr>
          <w:rFonts w:ascii="Times New Roman" w:hAnsi="Times New Roman" w:cs="Times New Roman"/>
          <w:kern w:val="0"/>
          <w:sz w:val="24"/>
          <w:szCs w:val="24"/>
        </w:rPr>
        <w:t>ої</w:t>
      </w:r>
      <w:r w:rsidRPr="003B5817">
        <w:rPr>
          <w:rFonts w:ascii="Times New Roman" w:hAnsi="Times New Roman" w:cs="Times New Roman"/>
          <w:kern w:val="0"/>
          <w:sz w:val="24"/>
          <w:szCs w:val="24"/>
        </w:rPr>
        <w:t xml:space="preserve"> програм</w:t>
      </w:r>
      <w:r>
        <w:rPr>
          <w:rFonts w:ascii="Times New Roman" w:hAnsi="Times New Roman" w:cs="Times New Roman"/>
          <w:kern w:val="0"/>
          <w:sz w:val="24"/>
          <w:szCs w:val="24"/>
        </w:rPr>
        <w:t>и</w:t>
      </w:r>
      <w:r w:rsidRPr="003B5817">
        <w:rPr>
          <w:rFonts w:ascii="Times New Roman" w:hAnsi="Times New Roman" w:cs="Times New Roman"/>
          <w:kern w:val="0"/>
          <w:sz w:val="24"/>
          <w:szCs w:val="24"/>
        </w:rPr>
        <w:t xml:space="preserve"> та адміністративним </w:t>
      </w:r>
      <w:r>
        <w:rPr>
          <w:rFonts w:ascii="Times New Roman" w:hAnsi="Times New Roman" w:cs="Times New Roman"/>
          <w:kern w:val="0"/>
          <w:sz w:val="24"/>
          <w:szCs w:val="24"/>
        </w:rPr>
        <w:t>працівником</w:t>
      </w:r>
      <w:r w:rsidRPr="003B5817">
        <w:rPr>
          <w:rFonts w:ascii="Times New Roman" w:hAnsi="Times New Roman" w:cs="Times New Roman"/>
          <w:kern w:val="0"/>
          <w:sz w:val="24"/>
          <w:szCs w:val="24"/>
        </w:rPr>
        <w:t>, який відповідає за організацію та адміністрування на факультеті</w:t>
      </w:r>
      <w:r>
        <w:rPr>
          <w:rFonts w:ascii="Times New Roman" w:hAnsi="Times New Roman" w:cs="Times New Roman"/>
          <w:kern w:val="0"/>
          <w:sz w:val="24"/>
          <w:szCs w:val="24"/>
        </w:rPr>
        <w:t>.</w:t>
      </w:r>
      <w:r w:rsidRPr="003B5817">
        <w:rPr>
          <w:rFonts w:ascii="Times New Roman" w:hAnsi="Times New Roman" w:cs="Times New Roman"/>
          <w:color w:val="000000"/>
          <w:kern w:val="0"/>
          <w:sz w:val="24"/>
          <w:szCs w:val="24"/>
        </w:rPr>
        <w:t xml:space="preserve"> </w:t>
      </w:r>
      <w:r w:rsidR="001C1F18" w:rsidRPr="003B5817">
        <w:rPr>
          <w:rFonts w:ascii="Times New Roman" w:hAnsi="Times New Roman" w:cs="Times New Roman"/>
          <w:color w:val="000000"/>
          <w:kern w:val="0"/>
          <w:sz w:val="24"/>
          <w:szCs w:val="24"/>
        </w:rPr>
        <w:t xml:space="preserve">Цей </w:t>
      </w:r>
      <w:r>
        <w:rPr>
          <w:rFonts w:ascii="Times New Roman" w:hAnsi="Times New Roman" w:cs="Times New Roman"/>
          <w:color w:val="000000"/>
          <w:kern w:val="0"/>
          <w:sz w:val="24"/>
          <w:szCs w:val="24"/>
        </w:rPr>
        <w:t>локальний</w:t>
      </w:r>
      <w:r w:rsidR="001C1F18" w:rsidRPr="003B5817">
        <w:rPr>
          <w:rFonts w:ascii="Times New Roman" w:hAnsi="Times New Roman" w:cs="Times New Roman"/>
          <w:color w:val="000000"/>
          <w:kern w:val="0"/>
          <w:sz w:val="24"/>
          <w:szCs w:val="24"/>
        </w:rPr>
        <w:t xml:space="preserve"> координатор також виступає головною контактною особою для інших партнерів консорціуму.</w:t>
      </w:r>
    </w:p>
    <w:p w14:paraId="1994CA4B" w14:textId="0C94174D" w:rsidR="001C1F18" w:rsidRDefault="008E7B70"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Важливо в</w:t>
      </w:r>
      <w:r w:rsidR="001C1F18" w:rsidRPr="003B5817">
        <w:rPr>
          <w:rFonts w:ascii="Times New Roman" w:hAnsi="Times New Roman" w:cs="Times New Roman"/>
          <w:kern w:val="0"/>
          <w:sz w:val="24"/>
          <w:szCs w:val="24"/>
        </w:rPr>
        <w:t>изнач</w:t>
      </w:r>
      <w:r w:rsidR="00AF492D" w:rsidRPr="003B5817">
        <w:rPr>
          <w:rFonts w:ascii="Times New Roman" w:hAnsi="Times New Roman" w:cs="Times New Roman"/>
          <w:kern w:val="0"/>
          <w:sz w:val="24"/>
          <w:szCs w:val="24"/>
        </w:rPr>
        <w:t>ити</w:t>
      </w:r>
      <w:r w:rsidR="001C1F18" w:rsidRPr="003B5817">
        <w:rPr>
          <w:rFonts w:ascii="Times New Roman" w:hAnsi="Times New Roman" w:cs="Times New Roman"/>
          <w:kern w:val="0"/>
          <w:sz w:val="24"/>
          <w:szCs w:val="24"/>
        </w:rPr>
        <w:t xml:space="preserve"> чітку процедуру прийняття рішень </w:t>
      </w:r>
      <w:r>
        <w:rPr>
          <w:rFonts w:ascii="Times New Roman" w:hAnsi="Times New Roman" w:cs="Times New Roman"/>
          <w:kern w:val="0"/>
          <w:sz w:val="24"/>
          <w:szCs w:val="24"/>
        </w:rPr>
        <w:t xml:space="preserve">у межах реалізації спільної програми </w:t>
      </w:r>
      <w:r w:rsidR="001C1F18" w:rsidRPr="003B5817">
        <w:rPr>
          <w:rFonts w:ascii="Times New Roman" w:hAnsi="Times New Roman" w:cs="Times New Roman"/>
          <w:kern w:val="0"/>
          <w:sz w:val="24"/>
          <w:szCs w:val="24"/>
        </w:rPr>
        <w:t>(наприклад, спосіб голосування</w:t>
      </w:r>
      <w:r>
        <w:rPr>
          <w:rFonts w:ascii="Times New Roman" w:hAnsi="Times New Roman" w:cs="Times New Roman"/>
          <w:kern w:val="0"/>
          <w:sz w:val="24"/>
          <w:szCs w:val="24"/>
        </w:rPr>
        <w:t xml:space="preserve"> в консорціумі</w:t>
      </w:r>
      <w:r w:rsidR="001C1F18" w:rsidRPr="003B5817">
        <w:rPr>
          <w:rFonts w:ascii="Times New Roman" w:hAnsi="Times New Roman" w:cs="Times New Roman"/>
          <w:kern w:val="0"/>
          <w:sz w:val="24"/>
          <w:szCs w:val="24"/>
        </w:rPr>
        <w:t>).</w:t>
      </w:r>
    </w:p>
    <w:p w14:paraId="120642BE" w14:textId="77777777" w:rsidR="00D041A9" w:rsidRPr="003B5817" w:rsidRDefault="00D041A9" w:rsidP="00D041A9">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0AA04CEA" w14:textId="7D80A751" w:rsidR="001C1F18" w:rsidRPr="00607448" w:rsidRDefault="00607448" w:rsidP="00D041A9">
      <w:pPr>
        <w:pStyle w:val="1"/>
        <w:spacing w:before="100" w:beforeAutospacing="1" w:after="100" w:afterAutospacing="1" w:line="240" w:lineRule="auto"/>
        <w:rPr>
          <w:rFonts w:ascii="Times New Roman" w:hAnsi="Times New Roman" w:cs="Times New Roman"/>
          <w:b/>
          <w:bCs/>
          <w:sz w:val="24"/>
          <w:szCs w:val="24"/>
        </w:rPr>
      </w:pPr>
      <w:bookmarkStart w:id="27" w:name="_Toc188337438"/>
      <w:r w:rsidRPr="00607448">
        <w:rPr>
          <w:rFonts w:ascii="Times New Roman" w:hAnsi="Times New Roman" w:cs="Times New Roman"/>
          <w:b/>
          <w:bCs/>
          <w:sz w:val="24"/>
          <w:szCs w:val="24"/>
        </w:rPr>
        <w:t>10. ФІНАНСОВИЙ МЕНЕДЖМЕНТ</w:t>
      </w:r>
      <w:bookmarkEnd w:id="27"/>
    </w:p>
    <w:p w14:paraId="3AFFE116" w14:textId="7AB09B7A" w:rsidR="000B7BDB" w:rsidRPr="0027014A" w:rsidRDefault="000B7BDB" w:rsidP="00AF0DAF">
      <w:pPr>
        <w:pStyle w:val="2"/>
        <w:spacing w:before="100" w:beforeAutospacing="1" w:after="100" w:afterAutospacing="1" w:line="240" w:lineRule="auto"/>
        <w:jc w:val="both"/>
        <w:rPr>
          <w:rFonts w:ascii="Times New Roman" w:eastAsiaTheme="minorHAnsi" w:hAnsi="Times New Roman" w:cs="Times New Roman"/>
          <w:color w:val="auto"/>
          <w:kern w:val="0"/>
          <w:sz w:val="24"/>
          <w:szCs w:val="24"/>
        </w:rPr>
      </w:pPr>
      <w:r w:rsidRPr="0027014A">
        <w:rPr>
          <w:rFonts w:ascii="Times New Roman" w:eastAsiaTheme="minorHAnsi" w:hAnsi="Times New Roman" w:cs="Times New Roman"/>
          <w:color w:val="auto"/>
          <w:kern w:val="0"/>
          <w:sz w:val="24"/>
          <w:szCs w:val="24"/>
        </w:rPr>
        <w:t xml:space="preserve">Необхідно домовитися про плату за навчання, стипендії, розподіл витрат і фінансову </w:t>
      </w:r>
      <w:r>
        <w:rPr>
          <w:rFonts w:ascii="Times New Roman" w:eastAsiaTheme="minorHAnsi" w:hAnsi="Times New Roman" w:cs="Times New Roman"/>
          <w:color w:val="auto"/>
          <w:kern w:val="0"/>
          <w:sz w:val="24"/>
          <w:szCs w:val="24"/>
        </w:rPr>
        <w:t>стійкість</w:t>
      </w:r>
      <w:r w:rsidRPr="0027014A">
        <w:rPr>
          <w:rFonts w:ascii="Times New Roman" w:eastAsiaTheme="minorHAnsi" w:hAnsi="Times New Roman" w:cs="Times New Roman"/>
          <w:color w:val="auto"/>
          <w:kern w:val="0"/>
          <w:sz w:val="24"/>
          <w:szCs w:val="24"/>
        </w:rPr>
        <w:t xml:space="preserve"> програм. </w:t>
      </w:r>
      <w:r>
        <w:rPr>
          <w:rFonts w:ascii="Times New Roman" w:eastAsiaTheme="minorHAnsi" w:hAnsi="Times New Roman" w:cs="Times New Roman"/>
          <w:color w:val="auto"/>
          <w:kern w:val="0"/>
          <w:sz w:val="24"/>
          <w:szCs w:val="24"/>
        </w:rPr>
        <w:t xml:space="preserve">Щодо </w:t>
      </w:r>
      <w:r w:rsidRPr="0027014A">
        <w:rPr>
          <w:rFonts w:ascii="Times New Roman" w:eastAsiaTheme="minorHAnsi" w:hAnsi="Times New Roman" w:cs="Times New Roman"/>
          <w:color w:val="auto"/>
          <w:kern w:val="0"/>
          <w:sz w:val="24"/>
          <w:szCs w:val="24"/>
        </w:rPr>
        <w:t>плат</w:t>
      </w:r>
      <w:r>
        <w:rPr>
          <w:rFonts w:ascii="Times New Roman" w:eastAsiaTheme="minorHAnsi" w:hAnsi="Times New Roman" w:cs="Times New Roman"/>
          <w:color w:val="auto"/>
          <w:kern w:val="0"/>
          <w:sz w:val="24"/>
          <w:szCs w:val="24"/>
        </w:rPr>
        <w:t>и</w:t>
      </w:r>
      <w:r w:rsidRPr="0027014A">
        <w:rPr>
          <w:rFonts w:ascii="Times New Roman" w:eastAsiaTheme="minorHAnsi" w:hAnsi="Times New Roman" w:cs="Times New Roman"/>
          <w:color w:val="auto"/>
          <w:kern w:val="0"/>
          <w:sz w:val="24"/>
          <w:szCs w:val="24"/>
        </w:rPr>
        <w:t xml:space="preserve"> за навчання необхідно враховувати різн</w:t>
      </w:r>
      <w:r>
        <w:rPr>
          <w:rFonts w:ascii="Times New Roman" w:eastAsiaTheme="minorHAnsi" w:hAnsi="Times New Roman" w:cs="Times New Roman"/>
          <w:color w:val="auto"/>
          <w:kern w:val="0"/>
          <w:sz w:val="24"/>
          <w:szCs w:val="24"/>
        </w:rPr>
        <w:t>е</w:t>
      </w:r>
      <w:r w:rsidRPr="0027014A">
        <w:rPr>
          <w:rFonts w:ascii="Times New Roman" w:eastAsiaTheme="minorHAnsi" w:hAnsi="Times New Roman" w:cs="Times New Roman"/>
          <w:color w:val="auto"/>
          <w:kern w:val="0"/>
          <w:sz w:val="24"/>
          <w:szCs w:val="24"/>
        </w:rPr>
        <w:t xml:space="preserve"> національн</w:t>
      </w:r>
      <w:r>
        <w:rPr>
          <w:rFonts w:ascii="Times New Roman" w:eastAsiaTheme="minorHAnsi" w:hAnsi="Times New Roman" w:cs="Times New Roman"/>
          <w:color w:val="auto"/>
          <w:kern w:val="0"/>
          <w:sz w:val="24"/>
          <w:szCs w:val="24"/>
        </w:rPr>
        <w:t>е</w:t>
      </w:r>
      <w:r w:rsidRPr="0027014A">
        <w:rPr>
          <w:rFonts w:ascii="Times New Roman" w:eastAsiaTheme="minorHAnsi" w:hAnsi="Times New Roman" w:cs="Times New Roman"/>
          <w:color w:val="auto"/>
          <w:kern w:val="0"/>
          <w:sz w:val="24"/>
          <w:szCs w:val="24"/>
        </w:rPr>
        <w:t xml:space="preserve"> </w:t>
      </w:r>
      <w:r>
        <w:rPr>
          <w:rFonts w:ascii="Times New Roman" w:eastAsiaTheme="minorHAnsi" w:hAnsi="Times New Roman" w:cs="Times New Roman"/>
          <w:color w:val="auto"/>
          <w:kern w:val="0"/>
          <w:sz w:val="24"/>
          <w:szCs w:val="24"/>
        </w:rPr>
        <w:t>законодавство</w:t>
      </w:r>
      <w:r>
        <w:rPr>
          <w:rFonts w:ascii="Times New Roman" w:eastAsiaTheme="minorHAnsi" w:hAnsi="Times New Roman" w:cs="Times New Roman"/>
          <w:color w:val="auto"/>
          <w:kern w:val="0"/>
          <w:sz w:val="24"/>
          <w:szCs w:val="24"/>
        </w:rPr>
        <w:t xml:space="preserve"> та інституційні </w:t>
      </w:r>
      <w:r w:rsidRPr="0027014A">
        <w:rPr>
          <w:rFonts w:ascii="Times New Roman" w:eastAsiaTheme="minorHAnsi" w:hAnsi="Times New Roman" w:cs="Times New Roman"/>
          <w:color w:val="auto"/>
          <w:kern w:val="0"/>
          <w:sz w:val="24"/>
          <w:szCs w:val="24"/>
        </w:rPr>
        <w:t>правила. Під час розроб</w:t>
      </w:r>
      <w:r>
        <w:rPr>
          <w:rFonts w:ascii="Times New Roman" w:eastAsiaTheme="minorHAnsi" w:hAnsi="Times New Roman" w:cs="Times New Roman"/>
          <w:color w:val="auto"/>
          <w:kern w:val="0"/>
          <w:sz w:val="24"/>
          <w:szCs w:val="24"/>
        </w:rPr>
        <w:t>лення</w:t>
      </w:r>
      <w:r w:rsidRPr="0027014A">
        <w:rPr>
          <w:rFonts w:ascii="Times New Roman" w:eastAsiaTheme="minorHAnsi" w:hAnsi="Times New Roman" w:cs="Times New Roman"/>
          <w:color w:val="auto"/>
          <w:kern w:val="0"/>
          <w:sz w:val="24"/>
          <w:szCs w:val="24"/>
        </w:rPr>
        <w:t xml:space="preserve"> політики </w:t>
      </w:r>
      <w:r>
        <w:rPr>
          <w:rFonts w:ascii="Times New Roman" w:eastAsiaTheme="minorHAnsi" w:hAnsi="Times New Roman" w:cs="Times New Roman"/>
          <w:color w:val="auto"/>
          <w:kern w:val="0"/>
          <w:sz w:val="24"/>
          <w:szCs w:val="24"/>
        </w:rPr>
        <w:t xml:space="preserve">щодо </w:t>
      </w:r>
      <w:r w:rsidRPr="0027014A">
        <w:rPr>
          <w:rFonts w:ascii="Times New Roman" w:eastAsiaTheme="minorHAnsi" w:hAnsi="Times New Roman" w:cs="Times New Roman"/>
          <w:color w:val="auto"/>
          <w:kern w:val="0"/>
          <w:sz w:val="24"/>
          <w:szCs w:val="24"/>
        </w:rPr>
        <w:t>встановлення плати за навчання, враховуйте відмінності між країнами</w:t>
      </w:r>
      <w:r>
        <w:rPr>
          <w:rFonts w:ascii="Times New Roman" w:eastAsiaTheme="minorHAnsi" w:hAnsi="Times New Roman" w:cs="Times New Roman"/>
          <w:color w:val="auto"/>
          <w:kern w:val="0"/>
          <w:sz w:val="24"/>
          <w:szCs w:val="24"/>
        </w:rPr>
        <w:t>.</w:t>
      </w:r>
    </w:p>
    <w:p w14:paraId="6C794FFD" w14:textId="04FE9207" w:rsidR="000B7BDB" w:rsidRPr="00F43628" w:rsidRDefault="000B7BDB"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Більшість спільних програм пов’язані з додатковими витратами і бюджет необхідно розрахувати з самого початку, включно з поточними витратами.</w:t>
      </w:r>
    </w:p>
    <w:p w14:paraId="7DFEC11C" w14:textId="1C537791" w:rsidR="0027014A" w:rsidRPr="00F43628" w:rsidRDefault="0027014A"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Якщо </w:t>
      </w:r>
      <w:r w:rsidR="000B7BDB" w:rsidRPr="00F43628">
        <w:rPr>
          <w:rFonts w:ascii="Times New Roman" w:hAnsi="Times New Roman" w:cs="Times New Roman"/>
          <w:kern w:val="0"/>
          <w:sz w:val="24"/>
          <w:szCs w:val="24"/>
        </w:rPr>
        <w:t>завдання рівномірно розподіл</w:t>
      </w:r>
      <w:r w:rsidR="000B7BDB">
        <w:rPr>
          <w:rFonts w:ascii="Times New Roman" w:hAnsi="Times New Roman" w:cs="Times New Roman"/>
          <w:kern w:val="0"/>
          <w:sz w:val="24"/>
          <w:szCs w:val="24"/>
        </w:rPr>
        <w:t>ені</w:t>
      </w:r>
      <w:r w:rsidR="000B7BDB" w:rsidRPr="00F43628">
        <w:rPr>
          <w:rFonts w:ascii="Times New Roman" w:hAnsi="Times New Roman" w:cs="Times New Roman"/>
          <w:kern w:val="0"/>
          <w:sz w:val="24"/>
          <w:szCs w:val="24"/>
        </w:rPr>
        <w:t xml:space="preserve"> між партнерами</w:t>
      </w:r>
      <w:r w:rsidR="000B7BDB">
        <w:rPr>
          <w:rFonts w:ascii="Times New Roman" w:hAnsi="Times New Roman" w:cs="Times New Roman"/>
          <w:kern w:val="0"/>
          <w:sz w:val="24"/>
          <w:szCs w:val="24"/>
        </w:rPr>
        <w:t>, а також</w:t>
      </w:r>
      <w:r w:rsidR="000B7BDB"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 xml:space="preserve">доходи та витрати </w:t>
      </w:r>
      <w:r w:rsidR="000B7BDB">
        <w:rPr>
          <w:rFonts w:ascii="Times New Roman" w:hAnsi="Times New Roman" w:cs="Times New Roman"/>
          <w:kern w:val="0"/>
          <w:sz w:val="24"/>
          <w:szCs w:val="24"/>
        </w:rPr>
        <w:t xml:space="preserve">у межах реалізації </w:t>
      </w:r>
      <w:r w:rsidRPr="00F43628">
        <w:rPr>
          <w:rFonts w:ascii="Times New Roman" w:hAnsi="Times New Roman" w:cs="Times New Roman"/>
          <w:kern w:val="0"/>
          <w:sz w:val="24"/>
          <w:szCs w:val="24"/>
        </w:rPr>
        <w:t xml:space="preserve">спільної програми відносно збалансовані між </w:t>
      </w:r>
      <w:r w:rsidR="000B7BDB">
        <w:rPr>
          <w:rFonts w:ascii="Times New Roman" w:hAnsi="Times New Roman" w:cs="Times New Roman"/>
          <w:kern w:val="0"/>
          <w:sz w:val="24"/>
          <w:szCs w:val="24"/>
        </w:rPr>
        <w:t>закладами-</w:t>
      </w:r>
      <w:r w:rsidR="000B7BDB" w:rsidRPr="00F43628">
        <w:rPr>
          <w:rFonts w:ascii="Times New Roman" w:hAnsi="Times New Roman" w:cs="Times New Roman"/>
          <w:kern w:val="0"/>
          <w:sz w:val="24"/>
          <w:szCs w:val="24"/>
        </w:rPr>
        <w:t>партнер</w:t>
      </w:r>
      <w:r w:rsidR="000B7BDB">
        <w:rPr>
          <w:rFonts w:ascii="Times New Roman" w:hAnsi="Times New Roman" w:cs="Times New Roman"/>
          <w:kern w:val="0"/>
          <w:sz w:val="24"/>
          <w:szCs w:val="24"/>
        </w:rPr>
        <w:t>ами</w:t>
      </w:r>
      <w:r w:rsidRPr="00F43628">
        <w:rPr>
          <w:rFonts w:ascii="Times New Roman" w:hAnsi="Times New Roman" w:cs="Times New Roman"/>
          <w:kern w:val="0"/>
          <w:sz w:val="24"/>
          <w:szCs w:val="24"/>
        </w:rPr>
        <w:t xml:space="preserve">, </w:t>
      </w:r>
      <w:r w:rsidR="000B7BDB">
        <w:rPr>
          <w:rFonts w:ascii="Times New Roman" w:hAnsi="Times New Roman" w:cs="Times New Roman"/>
          <w:kern w:val="0"/>
          <w:sz w:val="24"/>
          <w:szCs w:val="24"/>
        </w:rPr>
        <w:t>то</w:t>
      </w:r>
      <w:r w:rsidRPr="00F43628">
        <w:rPr>
          <w:rFonts w:ascii="Times New Roman" w:hAnsi="Times New Roman" w:cs="Times New Roman"/>
          <w:kern w:val="0"/>
          <w:sz w:val="24"/>
          <w:szCs w:val="24"/>
        </w:rPr>
        <w:t xml:space="preserve"> мож</w:t>
      </w:r>
      <w:r w:rsidR="000B7BDB">
        <w:rPr>
          <w:rFonts w:ascii="Times New Roman" w:hAnsi="Times New Roman" w:cs="Times New Roman"/>
          <w:kern w:val="0"/>
          <w:sz w:val="24"/>
          <w:szCs w:val="24"/>
        </w:rPr>
        <w:t>ливо</w:t>
      </w:r>
      <w:r w:rsidRPr="00F43628">
        <w:rPr>
          <w:rFonts w:ascii="Times New Roman" w:hAnsi="Times New Roman" w:cs="Times New Roman"/>
          <w:kern w:val="0"/>
          <w:sz w:val="24"/>
          <w:szCs w:val="24"/>
        </w:rPr>
        <w:t xml:space="preserve"> працювати за схемою з </w:t>
      </w:r>
      <w:r w:rsidR="000B7BDB">
        <w:rPr>
          <w:rFonts w:ascii="Times New Roman" w:hAnsi="Times New Roman" w:cs="Times New Roman"/>
          <w:kern w:val="0"/>
          <w:sz w:val="24"/>
          <w:szCs w:val="24"/>
        </w:rPr>
        <w:t>«</w:t>
      </w:r>
      <w:r w:rsidRPr="00F43628">
        <w:rPr>
          <w:rFonts w:ascii="Times New Roman" w:hAnsi="Times New Roman" w:cs="Times New Roman"/>
          <w:kern w:val="0"/>
          <w:sz w:val="24"/>
          <w:szCs w:val="24"/>
        </w:rPr>
        <w:t>нульовою сумою</w:t>
      </w:r>
      <w:r w:rsidR="000B7BDB">
        <w:rPr>
          <w:rFonts w:ascii="Times New Roman" w:hAnsi="Times New Roman" w:cs="Times New Roman"/>
          <w:kern w:val="0"/>
          <w:sz w:val="24"/>
          <w:szCs w:val="24"/>
        </w:rPr>
        <w:t>»</w:t>
      </w:r>
      <w:r w:rsidRPr="00F43628">
        <w:rPr>
          <w:rFonts w:ascii="Times New Roman" w:hAnsi="Times New Roman" w:cs="Times New Roman"/>
          <w:kern w:val="0"/>
          <w:sz w:val="24"/>
          <w:szCs w:val="24"/>
        </w:rPr>
        <w:t>, уникаючи складної спільної фінансової моделі.</w:t>
      </w:r>
      <w:r w:rsidR="000B7BDB">
        <w:rPr>
          <w:rFonts w:ascii="Times New Roman" w:hAnsi="Times New Roman" w:cs="Times New Roman"/>
          <w:kern w:val="0"/>
          <w:sz w:val="24"/>
          <w:szCs w:val="24"/>
        </w:rPr>
        <w:t xml:space="preserve"> </w:t>
      </w:r>
      <w:r w:rsidR="000B7BDB" w:rsidRPr="00650FB4">
        <w:rPr>
          <w:rFonts w:ascii="Times New Roman" w:hAnsi="Times New Roman" w:cs="Times New Roman"/>
          <w:kern w:val="0"/>
          <w:sz w:val="24"/>
          <w:szCs w:val="24"/>
        </w:rPr>
        <w:t>Тобто</w:t>
      </w:r>
      <w:r w:rsidR="005D033C">
        <w:rPr>
          <w:rFonts w:ascii="Times New Roman" w:hAnsi="Times New Roman" w:cs="Times New Roman"/>
          <w:kern w:val="0"/>
          <w:sz w:val="24"/>
          <w:szCs w:val="24"/>
        </w:rPr>
        <w:t xml:space="preserve"> </w:t>
      </w:r>
      <w:r w:rsidR="00650FB4">
        <w:rPr>
          <w:rFonts w:ascii="Times New Roman" w:hAnsi="Times New Roman" w:cs="Times New Roman"/>
          <w:kern w:val="0"/>
          <w:sz w:val="24"/>
          <w:szCs w:val="24"/>
        </w:rPr>
        <w:t>заклади-</w:t>
      </w:r>
      <w:r w:rsidR="00650FB4" w:rsidRPr="00F43628">
        <w:rPr>
          <w:rFonts w:ascii="Times New Roman" w:hAnsi="Times New Roman" w:cs="Times New Roman"/>
          <w:kern w:val="0"/>
          <w:sz w:val="24"/>
          <w:szCs w:val="24"/>
        </w:rPr>
        <w:t xml:space="preserve">партнери не </w:t>
      </w:r>
      <w:r w:rsidR="00650FB4">
        <w:rPr>
          <w:rFonts w:ascii="Times New Roman" w:hAnsi="Times New Roman" w:cs="Times New Roman"/>
          <w:kern w:val="0"/>
          <w:sz w:val="24"/>
          <w:szCs w:val="24"/>
        </w:rPr>
        <w:t>здійснюють плату</w:t>
      </w:r>
      <w:r w:rsidR="00650FB4" w:rsidRPr="00F43628">
        <w:rPr>
          <w:rFonts w:ascii="Times New Roman" w:hAnsi="Times New Roman" w:cs="Times New Roman"/>
          <w:kern w:val="0"/>
          <w:sz w:val="24"/>
          <w:szCs w:val="24"/>
        </w:rPr>
        <w:t xml:space="preserve"> один одному, а натомість кожен з них оплачує свої витрати і залишає собі власний дохід</w:t>
      </w:r>
      <w:r w:rsidR="00650FB4">
        <w:rPr>
          <w:rFonts w:ascii="Times New Roman" w:hAnsi="Times New Roman" w:cs="Times New Roman"/>
          <w:kern w:val="0"/>
          <w:sz w:val="24"/>
          <w:szCs w:val="24"/>
        </w:rPr>
        <w:t>.</w:t>
      </w:r>
    </w:p>
    <w:p w14:paraId="482E93BA" w14:textId="7DB56F45" w:rsidR="001C1F18" w:rsidRPr="00AF0DAF" w:rsidRDefault="001C1F18" w:rsidP="00AF0DAF">
      <w:pPr>
        <w:pStyle w:val="2"/>
        <w:spacing w:before="100" w:beforeAutospacing="1" w:after="100" w:afterAutospacing="1" w:line="240" w:lineRule="auto"/>
        <w:rPr>
          <w:rFonts w:ascii="Times New Roman" w:hAnsi="Times New Roman" w:cs="Times New Roman"/>
          <w:b/>
          <w:bCs/>
          <w:sz w:val="24"/>
          <w:szCs w:val="24"/>
        </w:rPr>
      </w:pPr>
      <w:bookmarkStart w:id="28" w:name="_Toc188337440"/>
      <w:r w:rsidRPr="00AF0DAF">
        <w:rPr>
          <w:rFonts w:ascii="Times New Roman" w:hAnsi="Times New Roman" w:cs="Times New Roman"/>
          <w:b/>
          <w:bCs/>
          <w:sz w:val="24"/>
          <w:szCs w:val="24"/>
        </w:rPr>
        <w:t>10.</w:t>
      </w:r>
      <w:r w:rsidR="0027014A" w:rsidRPr="00AF0DAF">
        <w:rPr>
          <w:rFonts w:ascii="Times New Roman" w:hAnsi="Times New Roman" w:cs="Times New Roman"/>
          <w:b/>
          <w:bCs/>
          <w:sz w:val="24"/>
          <w:szCs w:val="24"/>
        </w:rPr>
        <w:t>1</w:t>
      </w:r>
      <w:r w:rsidRPr="00AF0DAF">
        <w:rPr>
          <w:rFonts w:ascii="Times New Roman" w:hAnsi="Times New Roman" w:cs="Times New Roman"/>
          <w:b/>
          <w:bCs/>
          <w:sz w:val="24"/>
          <w:szCs w:val="24"/>
        </w:rPr>
        <w:t>.</w:t>
      </w:r>
      <w:r w:rsidR="00FC4D59" w:rsidRPr="00AF0DAF">
        <w:rPr>
          <w:rFonts w:ascii="Times New Roman" w:hAnsi="Times New Roman" w:cs="Times New Roman"/>
          <w:b/>
          <w:bCs/>
          <w:sz w:val="24"/>
          <w:szCs w:val="24"/>
        </w:rPr>
        <w:t xml:space="preserve"> </w:t>
      </w:r>
      <w:r w:rsidRPr="00AF0DAF">
        <w:rPr>
          <w:rFonts w:ascii="Times New Roman" w:hAnsi="Times New Roman" w:cs="Times New Roman"/>
          <w:b/>
          <w:bCs/>
          <w:sz w:val="24"/>
          <w:szCs w:val="24"/>
        </w:rPr>
        <w:t>Фінансове бюджетування</w:t>
      </w:r>
      <w:bookmarkEnd w:id="28"/>
    </w:p>
    <w:p w14:paraId="03E98E13" w14:textId="50D53435" w:rsidR="001C1F18" w:rsidRPr="00F43628" w:rsidRDefault="00E3077E" w:rsidP="00E3077E">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w:t>
      </w:r>
      <w:r w:rsidR="001C1F18" w:rsidRPr="00F43628">
        <w:rPr>
          <w:rFonts w:ascii="Times New Roman" w:hAnsi="Times New Roman" w:cs="Times New Roman"/>
          <w:kern w:val="0"/>
          <w:sz w:val="24"/>
          <w:szCs w:val="24"/>
        </w:rPr>
        <w:t xml:space="preserve"> розроб</w:t>
      </w:r>
      <w:r>
        <w:rPr>
          <w:rFonts w:ascii="Times New Roman" w:hAnsi="Times New Roman" w:cs="Times New Roman"/>
          <w:kern w:val="0"/>
          <w:sz w:val="24"/>
          <w:szCs w:val="24"/>
        </w:rPr>
        <w:t xml:space="preserve">лення </w:t>
      </w:r>
      <w:r w:rsidR="001C1F18" w:rsidRPr="00F43628">
        <w:rPr>
          <w:rFonts w:ascii="Times New Roman" w:hAnsi="Times New Roman" w:cs="Times New Roman"/>
          <w:kern w:val="0"/>
          <w:sz w:val="24"/>
          <w:szCs w:val="24"/>
        </w:rPr>
        <w:t>спільн</w:t>
      </w:r>
      <w:r>
        <w:rPr>
          <w:rFonts w:ascii="Times New Roman" w:hAnsi="Times New Roman" w:cs="Times New Roman"/>
          <w:kern w:val="0"/>
          <w:sz w:val="24"/>
          <w:szCs w:val="24"/>
        </w:rPr>
        <w:t>ого</w:t>
      </w:r>
      <w:r w:rsidR="001C1F18" w:rsidRPr="00F43628">
        <w:rPr>
          <w:rFonts w:ascii="Times New Roman" w:hAnsi="Times New Roman" w:cs="Times New Roman"/>
          <w:kern w:val="0"/>
          <w:sz w:val="24"/>
          <w:szCs w:val="24"/>
        </w:rPr>
        <w:t xml:space="preserve"> план</w:t>
      </w:r>
      <w:r>
        <w:rPr>
          <w:rFonts w:ascii="Times New Roman" w:hAnsi="Times New Roman" w:cs="Times New Roman"/>
          <w:kern w:val="0"/>
          <w:sz w:val="24"/>
          <w:szCs w:val="24"/>
        </w:rPr>
        <w:t>у</w:t>
      </w:r>
      <w:r w:rsidR="001C1F18" w:rsidRPr="00F43628">
        <w:rPr>
          <w:rFonts w:ascii="Times New Roman" w:hAnsi="Times New Roman" w:cs="Times New Roman"/>
          <w:kern w:val="0"/>
          <w:sz w:val="24"/>
          <w:szCs w:val="24"/>
        </w:rPr>
        <w:t xml:space="preserve"> бюджетування </w:t>
      </w:r>
      <w:r>
        <w:rPr>
          <w:rFonts w:ascii="Times New Roman" w:hAnsi="Times New Roman" w:cs="Times New Roman"/>
          <w:kern w:val="0"/>
          <w:sz w:val="24"/>
          <w:szCs w:val="24"/>
        </w:rPr>
        <w:t xml:space="preserve">спільної </w:t>
      </w:r>
      <w:r w:rsidR="001C1F18" w:rsidRPr="00F43628">
        <w:rPr>
          <w:rFonts w:ascii="Times New Roman" w:hAnsi="Times New Roman" w:cs="Times New Roman"/>
          <w:kern w:val="0"/>
          <w:sz w:val="24"/>
          <w:szCs w:val="24"/>
        </w:rPr>
        <w:t>програм</w:t>
      </w:r>
      <w:r>
        <w:rPr>
          <w:rFonts w:ascii="Times New Roman" w:hAnsi="Times New Roman" w:cs="Times New Roman"/>
          <w:kern w:val="0"/>
          <w:sz w:val="24"/>
          <w:szCs w:val="24"/>
        </w:rPr>
        <w:t>и необхідно з’ясувати</w:t>
      </w:r>
      <w:r w:rsidR="001C1F18" w:rsidRPr="00F43628">
        <w:rPr>
          <w:rFonts w:ascii="Times New Roman" w:hAnsi="Times New Roman" w:cs="Times New Roman"/>
          <w:kern w:val="0"/>
          <w:sz w:val="24"/>
          <w:szCs w:val="24"/>
        </w:rPr>
        <w:t xml:space="preserve"> повн</w:t>
      </w:r>
      <w:r>
        <w:rPr>
          <w:rFonts w:ascii="Times New Roman" w:hAnsi="Times New Roman" w:cs="Times New Roman"/>
          <w:kern w:val="0"/>
          <w:sz w:val="24"/>
          <w:szCs w:val="24"/>
        </w:rPr>
        <w:t>у</w:t>
      </w:r>
      <w:r w:rsidR="001C1F18" w:rsidRPr="00F43628">
        <w:rPr>
          <w:rFonts w:ascii="Times New Roman" w:hAnsi="Times New Roman" w:cs="Times New Roman"/>
          <w:kern w:val="0"/>
          <w:sz w:val="24"/>
          <w:szCs w:val="24"/>
        </w:rPr>
        <w:t xml:space="preserve"> вартість реалізації спільної програми</w:t>
      </w:r>
      <w:r>
        <w:rPr>
          <w:rFonts w:ascii="Times New Roman" w:hAnsi="Times New Roman" w:cs="Times New Roman"/>
          <w:kern w:val="0"/>
          <w:sz w:val="24"/>
          <w:szCs w:val="24"/>
        </w:rPr>
        <w:t xml:space="preserve"> та можливі </w:t>
      </w:r>
      <w:r w:rsidR="001C1F18" w:rsidRPr="00F43628">
        <w:rPr>
          <w:rFonts w:ascii="Times New Roman" w:hAnsi="Times New Roman" w:cs="Times New Roman"/>
          <w:kern w:val="0"/>
          <w:sz w:val="24"/>
          <w:szCs w:val="24"/>
        </w:rPr>
        <w:t>додаткові операційні витрати</w:t>
      </w:r>
      <w:r>
        <w:rPr>
          <w:rFonts w:ascii="Times New Roman" w:hAnsi="Times New Roman" w:cs="Times New Roman"/>
          <w:kern w:val="0"/>
          <w:sz w:val="24"/>
          <w:szCs w:val="24"/>
        </w:rPr>
        <w:t>, визначити можливі джерела надходжень у межах спільної програми та правила розподілу доходів (</w:t>
      </w:r>
      <w:r w:rsidR="001C1F18" w:rsidRPr="00F43628">
        <w:rPr>
          <w:rFonts w:ascii="Times New Roman" w:hAnsi="Times New Roman" w:cs="Times New Roman"/>
          <w:kern w:val="0"/>
          <w:sz w:val="24"/>
          <w:szCs w:val="24"/>
        </w:rPr>
        <w:t xml:space="preserve">кожен </w:t>
      </w:r>
      <w:r>
        <w:rPr>
          <w:rFonts w:ascii="Times New Roman" w:hAnsi="Times New Roman" w:cs="Times New Roman"/>
          <w:kern w:val="0"/>
          <w:sz w:val="24"/>
          <w:szCs w:val="24"/>
        </w:rPr>
        <w:t>заклад-</w:t>
      </w:r>
      <w:r w:rsidR="001C1F18" w:rsidRPr="00F43628">
        <w:rPr>
          <w:rFonts w:ascii="Times New Roman" w:hAnsi="Times New Roman" w:cs="Times New Roman"/>
          <w:kern w:val="0"/>
          <w:sz w:val="24"/>
          <w:szCs w:val="24"/>
        </w:rPr>
        <w:t>партнер залишає собі власний дохід</w:t>
      </w:r>
      <w:r>
        <w:rPr>
          <w:rFonts w:ascii="Times New Roman" w:hAnsi="Times New Roman" w:cs="Times New Roman"/>
          <w:kern w:val="0"/>
          <w:sz w:val="24"/>
          <w:szCs w:val="24"/>
        </w:rPr>
        <w:t xml:space="preserve"> </w:t>
      </w:r>
      <w:r w:rsidR="009D71C7">
        <w:rPr>
          <w:rFonts w:ascii="Times New Roman" w:hAnsi="Times New Roman" w:cs="Times New Roman"/>
          <w:kern w:val="0"/>
          <w:sz w:val="24"/>
          <w:szCs w:val="24"/>
        </w:rPr>
        <w:t xml:space="preserve">відповідно до обсягу завдань та обов’язків </w:t>
      </w:r>
      <w:r>
        <w:rPr>
          <w:rFonts w:ascii="Times New Roman" w:hAnsi="Times New Roman" w:cs="Times New Roman"/>
          <w:kern w:val="0"/>
          <w:sz w:val="24"/>
          <w:szCs w:val="24"/>
        </w:rPr>
        <w:t>а</w:t>
      </w:r>
      <w:r w:rsidR="00F67555" w:rsidRPr="00F43628">
        <w:rPr>
          <w:rFonts w:ascii="Times New Roman" w:hAnsi="Times New Roman" w:cs="Times New Roman"/>
          <w:kern w:val="0"/>
          <w:sz w:val="24"/>
          <w:szCs w:val="24"/>
        </w:rPr>
        <w:t xml:space="preserve">бо </w:t>
      </w:r>
      <w:r w:rsidR="001C1F18" w:rsidRPr="00F43628">
        <w:rPr>
          <w:rFonts w:ascii="Times New Roman" w:hAnsi="Times New Roman" w:cs="Times New Roman"/>
          <w:kern w:val="0"/>
          <w:sz w:val="24"/>
          <w:szCs w:val="24"/>
        </w:rPr>
        <w:t xml:space="preserve">дохід </w:t>
      </w:r>
      <w:r w:rsidRPr="00F43628">
        <w:rPr>
          <w:rFonts w:ascii="Times New Roman" w:hAnsi="Times New Roman" w:cs="Times New Roman"/>
          <w:kern w:val="0"/>
          <w:sz w:val="24"/>
          <w:szCs w:val="24"/>
        </w:rPr>
        <w:t>ділит</w:t>
      </w:r>
      <w:r>
        <w:rPr>
          <w:rFonts w:ascii="Times New Roman" w:hAnsi="Times New Roman" w:cs="Times New Roman"/>
          <w:kern w:val="0"/>
          <w:sz w:val="24"/>
          <w:szCs w:val="24"/>
        </w:rPr>
        <w:t>ься</w:t>
      </w:r>
      <w:r w:rsidRPr="00F43628">
        <w:rPr>
          <w:rFonts w:ascii="Times New Roman" w:hAnsi="Times New Roman" w:cs="Times New Roman"/>
          <w:kern w:val="0"/>
          <w:sz w:val="24"/>
          <w:szCs w:val="24"/>
        </w:rPr>
        <w:t xml:space="preserve"> </w:t>
      </w:r>
      <w:r w:rsidR="001C1F18" w:rsidRPr="00F43628">
        <w:rPr>
          <w:rFonts w:ascii="Times New Roman" w:hAnsi="Times New Roman" w:cs="Times New Roman"/>
          <w:kern w:val="0"/>
          <w:sz w:val="24"/>
          <w:szCs w:val="24"/>
        </w:rPr>
        <w:t xml:space="preserve">між </w:t>
      </w:r>
      <w:r>
        <w:rPr>
          <w:rFonts w:ascii="Times New Roman" w:hAnsi="Times New Roman" w:cs="Times New Roman"/>
          <w:kern w:val="0"/>
          <w:sz w:val="24"/>
          <w:szCs w:val="24"/>
        </w:rPr>
        <w:t>партнерами</w:t>
      </w:r>
      <w:r w:rsidR="001C1F18" w:rsidRPr="00F43628">
        <w:rPr>
          <w:rFonts w:ascii="Times New Roman" w:hAnsi="Times New Roman" w:cs="Times New Roman"/>
          <w:kern w:val="0"/>
          <w:sz w:val="24"/>
          <w:szCs w:val="24"/>
        </w:rPr>
        <w:t xml:space="preserve"> консорціуму</w:t>
      </w:r>
      <w:r>
        <w:rPr>
          <w:rFonts w:ascii="Times New Roman" w:hAnsi="Times New Roman" w:cs="Times New Roman"/>
          <w:kern w:val="0"/>
          <w:sz w:val="24"/>
          <w:szCs w:val="24"/>
        </w:rPr>
        <w:t xml:space="preserve"> за певним принципом).</w:t>
      </w:r>
    </w:p>
    <w:p w14:paraId="63B99320" w14:textId="7DE3F025" w:rsidR="001C1F18" w:rsidRPr="00AF0DAF" w:rsidRDefault="008361FA" w:rsidP="00AF0DAF">
      <w:pPr>
        <w:keepNext/>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Pr>
          <w:rFonts w:ascii="Times New Roman" w:hAnsi="Times New Roman" w:cs="Times New Roman"/>
          <w:b/>
          <w:bCs/>
          <w:color w:val="365F91" w:themeColor="accent1" w:themeShade="BF"/>
          <w:kern w:val="0"/>
          <w:sz w:val="24"/>
          <w:szCs w:val="24"/>
        </w:rPr>
        <w:t>Проста фінансова модель: д</w:t>
      </w:r>
      <w:r w:rsidR="001C1F18" w:rsidRPr="00AF0DAF">
        <w:rPr>
          <w:rFonts w:ascii="Times New Roman" w:hAnsi="Times New Roman" w:cs="Times New Roman"/>
          <w:b/>
          <w:bCs/>
          <w:color w:val="365F91" w:themeColor="accent1" w:themeShade="BF"/>
          <w:kern w:val="0"/>
          <w:sz w:val="24"/>
          <w:szCs w:val="24"/>
        </w:rPr>
        <w:t>в</w:t>
      </w:r>
      <w:r>
        <w:rPr>
          <w:rFonts w:ascii="Times New Roman" w:hAnsi="Times New Roman" w:cs="Times New Roman"/>
          <w:b/>
          <w:bCs/>
          <w:color w:val="365F91" w:themeColor="accent1" w:themeShade="BF"/>
          <w:kern w:val="0"/>
          <w:sz w:val="24"/>
          <w:szCs w:val="24"/>
        </w:rPr>
        <w:t>а</w:t>
      </w:r>
      <w:r w:rsidR="001C1F18" w:rsidRPr="00AF0DAF">
        <w:rPr>
          <w:rFonts w:ascii="Times New Roman" w:hAnsi="Times New Roman" w:cs="Times New Roman"/>
          <w:b/>
          <w:bCs/>
          <w:color w:val="365F91" w:themeColor="accent1" w:themeShade="BF"/>
          <w:kern w:val="0"/>
          <w:sz w:val="24"/>
          <w:szCs w:val="24"/>
        </w:rPr>
        <w:t xml:space="preserve"> </w:t>
      </w:r>
      <w:r>
        <w:rPr>
          <w:rFonts w:ascii="Times New Roman" w:hAnsi="Times New Roman" w:cs="Times New Roman"/>
          <w:b/>
          <w:bCs/>
          <w:color w:val="365F91" w:themeColor="accent1" w:themeShade="BF"/>
          <w:kern w:val="0"/>
          <w:sz w:val="24"/>
          <w:szCs w:val="24"/>
        </w:rPr>
        <w:t>заклад</w:t>
      </w:r>
      <w:r w:rsidR="008E141E">
        <w:rPr>
          <w:rFonts w:ascii="Times New Roman" w:hAnsi="Times New Roman" w:cs="Times New Roman"/>
          <w:b/>
          <w:bCs/>
          <w:color w:val="365F91" w:themeColor="accent1" w:themeShade="BF"/>
          <w:kern w:val="0"/>
          <w:sz w:val="24"/>
          <w:szCs w:val="24"/>
        </w:rPr>
        <w:t>и</w:t>
      </w:r>
      <w:r>
        <w:rPr>
          <w:rFonts w:ascii="Times New Roman" w:hAnsi="Times New Roman" w:cs="Times New Roman"/>
          <w:b/>
          <w:bCs/>
          <w:color w:val="365F91" w:themeColor="accent1" w:themeShade="BF"/>
          <w:kern w:val="0"/>
          <w:sz w:val="24"/>
          <w:szCs w:val="24"/>
        </w:rPr>
        <w:t>-партнера</w:t>
      </w:r>
      <w:r w:rsidR="001C1F18" w:rsidRPr="00AF0DAF">
        <w:rPr>
          <w:rFonts w:ascii="Times New Roman" w:hAnsi="Times New Roman" w:cs="Times New Roman"/>
          <w:b/>
          <w:bCs/>
          <w:color w:val="365F91" w:themeColor="accent1" w:themeShade="BF"/>
          <w:kern w:val="0"/>
          <w:sz w:val="24"/>
          <w:szCs w:val="24"/>
        </w:rPr>
        <w:t xml:space="preserve">, що працюють за угодою з </w:t>
      </w:r>
      <w:r w:rsidR="00650FB4">
        <w:rPr>
          <w:rFonts w:ascii="Times New Roman" w:hAnsi="Times New Roman" w:cs="Times New Roman"/>
          <w:b/>
          <w:bCs/>
          <w:color w:val="365F91" w:themeColor="accent1" w:themeShade="BF"/>
          <w:kern w:val="0"/>
          <w:sz w:val="24"/>
          <w:szCs w:val="24"/>
        </w:rPr>
        <w:t>«</w:t>
      </w:r>
      <w:r w:rsidR="001C1F18" w:rsidRPr="00AF0DAF">
        <w:rPr>
          <w:rFonts w:ascii="Times New Roman" w:hAnsi="Times New Roman" w:cs="Times New Roman"/>
          <w:b/>
          <w:bCs/>
          <w:color w:val="365F91" w:themeColor="accent1" w:themeShade="BF"/>
          <w:kern w:val="0"/>
          <w:sz w:val="24"/>
          <w:szCs w:val="24"/>
        </w:rPr>
        <w:t>нульовою сумою</w:t>
      </w:r>
      <w:r w:rsidR="00650FB4">
        <w:rPr>
          <w:rFonts w:ascii="Times New Roman" w:hAnsi="Times New Roman" w:cs="Times New Roman"/>
          <w:b/>
          <w:bCs/>
          <w:color w:val="365F91" w:themeColor="accent1" w:themeShade="BF"/>
          <w:kern w:val="0"/>
          <w:sz w:val="24"/>
          <w:szCs w:val="24"/>
        </w:rPr>
        <w:t>»</w:t>
      </w:r>
    </w:p>
    <w:p w14:paraId="0B99F363" w14:textId="4F4C84CA" w:rsidR="001C1F18" w:rsidRPr="00F43628" w:rsidRDefault="001C1F18"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Якщо консорціум спільн</w:t>
      </w:r>
      <w:r w:rsidR="00650FB4">
        <w:rPr>
          <w:rFonts w:ascii="Times New Roman" w:hAnsi="Times New Roman" w:cs="Times New Roman"/>
          <w:kern w:val="0"/>
          <w:sz w:val="24"/>
          <w:szCs w:val="24"/>
        </w:rPr>
        <w:t>ої</w:t>
      </w:r>
      <w:r w:rsidRPr="00F43628">
        <w:rPr>
          <w:rFonts w:ascii="Times New Roman" w:hAnsi="Times New Roman" w:cs="Times New Roman"/>
          <w:kern w:val="0"/>
          <w:sz w:val="24"/>
          <w:szCs w:val="24"/>
        </w:rPr>
        <w:t xml:space="preserve"> програм</w:t>
      </w:r>
      <w:r w:rsidR="00650FB4">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 складається лише з двох закладів-партнерів, які працюють за схемою з </w:t>
      </w:r>
      <w:r w:rsidR="00650FB4">
        <w:rPr>
          <w:rFonts w:ascii="Times New Roman" w:hAnsi="Times New Roman" w:cs="Times New Roman"/>
          <w:kern w:val="0"/>
          <w:sz w:val="24"/>
          <w:szCs w:val="24"/>
        </w:rPr>
        <w:t>«</w:t>
      </w:r>
      <w:r w:rsidRPr="00F43628">
        <w:rPr>
          <w:rFonts w:ascii="Times New Roman" w:hAnsi="Times New Roman" w:cs="Times New Roman"/>
          <w:kern w:val="0"/>
          <w:sz w:val="24"/>
          <w:szCs w:val="24"/>
        </w:rPr>
        <w:t>нульовою сумою</w:t>
      </w:r>
      <w:r w:rsidR="00650FB4">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(коли партнери не платять один одному, а натомість кожен з них оплачує свої витрати і залишає собі власний дохід), можна розробити просту фінансову модель. У </w:t>
      </w:r>
      <w:r w:rsidR="008361FA">
        <w:rPr>
          <w:rFonts w:ascii="Times New Roman" w:hAnsi="Times New Roman" w:cs="Times New Roman"/>
          <w:kern w:val="0"/>
          <w:sz w:val="24"/>
          <w:szCs w:val="24"/>
        </w:rPr>
        <w:t>такій</w:t>
      </w:r>
      <w:r w:rsidRPr="00F43628">
        <w:rPr>
          <w:rFonts w:ascii="Times New Roman" w:hAnsi="Times New Roman" w:cs="Times New Roman"/>
          <w:kern w:val="0"/>
          <w:sz w:val="24"/>
          <w:szCs w:val="24"/>
        </w:rPr>
        <w:t xml:space="preserve"> моделі кож</w:t>
      </w:r>
      <w:r w:rsidR="00512BCE" w:rsidRPr="00F43628">
        <w:rPr>
          <w:rFonts w:ascii="Times New Roman" w:hAnsi="Times New Roman" w:cs="Times New Roman"/>
          <w:kern w:val="0"/>
          <w:sz w:val="24"/>
          <w:szCs w:val="24"/>
        </w:rPr>
        <w:t>ен заклад</w:t>
      </w:r>
      <w:r w:rsidRPr="00F43628">
        <w:rPr>
          <w:rFonts w:ascii="Times New Roman" w:hAnsi="Times New Roman" w:cs="Times New Roman"/>
          <w:kern w:val="0"/>
          <w:sz w:val="24"/>
          <w:szCs w:val="24"/>
        </w:rPr>
        <w:t xml:space="preserve"> зберігає свій власний дохід і оплачує свої власні витрати, але може знадобитися досягти </w:t>
      </w:r>
      <w:r w:rsidR="009C7AC0" w:rsidRPr="00F43628">
        <w:rPr>
          <w:rFonts w:ascii="Times New Roman" w:hAnsi="Times New Roman" w:cs="Times New Roman"/>
          <w:kern w:val="0"/>
          <w:sz w:val="24"/>
          <w:szCs w:val="24"/>
        </w:rPr>
        <w:t xml:space="preserve">угоди </w:t>
      </w:r>
      <w:r w:rsidRPr="00F43628">
        <w:rPr>
          <w:rFonts w:ascii="Times New Roman" w:hAnsi="Times New Roman" w:cs="Times New Roman"/>
          <w:kern w:val="0"/>
          <w:sz w:val="24"/>
          <w:szCs w:val="24"/>
        </w:rPr>
        <w:t>консорціум</w:t>
      </w:r>
      <w:r w:rsidR="009C7AC0" w:rsidRPr="00F43628">
        <w:rPr>
          <w:rFonts w:ascii="Times New Roman" w:hAnsi="Times New Roman" w:cs="Times New Roman"/>
          <w:kern w:val="0"/>
          <w:sz w:val="24"/>
          <w:szCs w:val="24"/>
        </w:rPr>
        <w:t>у</w:t>
      </w:r>
      <w:r w:rsidRPr="00F43628">
        <w:rPr>
          <w:rFonts w:ascii="Times New Roman" w:hAnsi="Times New Roman" w:cs="Times New Roman"/>
          <w:kern w:val="0"/>
          <w:sz w:val="24"/>
          <w:szCs w:val="24"/>
        </w:rPr>
        <w:t xml:space="preserve"> про те, який партнер буде </w:t>
      </w:r>
      <w:r w:rsidR="009C7AC0" w:rsidRPr="00F43628">
        <w:rPr>
          <w:rFonts w:ascii="Times New Roman" w:hAnsi="Times New Roman" w:cs="Times New Roman"/>
          <w:kern w:val="0"/>
          <w:sz w:val="24"/>
          <w:szCs w:val="24"/>
        </w:rPr>
        <w:t>оплачувати</w:t>
      </w:r>
      <w:r w:rsidRPr="00F43628">
        <w:rPr>
          <w:rFonts w:ascii="Times New Roman" w:hAnsi="Times New Roman" w:cs="Times New Roman"/>
          <w:kern w:val="0"/>
          <w:sz w:val="24"/>
          <w:szCs w:val="24"/>
        </w:rPr>
        <w:t xml:space="preserve">, наприклад, маркетинг, а який </w:t>
      </w:r>
      <w:r w:rsidR="009C7AC0"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спільний набір </w:t>
      </w:r>
      <w:r w:rsidR="000010E3">
        <w:rPr>
          <w:rFonts w:ascii="Times New Roman" w:hAnsi="Times New Roman" w:cs="Times New Roman"/>
          <w:kern w:val="0"/>
          <w:sz w:val="24"/>
          <w:szCs w:val="24"/>
        </w:rPr>
        <w:t xml:space="preserve">міжнародних </w:t>
      </w:r>
      <w:r w:rsidRPr="00F43628">
        <w:rPr>
          <w:rFonts w:ascii="Times New Roman" w:hAnsi="Times New Roman" w:cs="Times New Roman"/>
          <w:kern w:val="0"/>
          <w:sz w:val="24"/>
          <w:szCs w:val="24"/>
        </w:rPr>
        <w:t>студентів.</w:t>
      </w:r>
    </w:p>
    <w:p w14:paraId="2C1AD430" w14:textId="1A8D904D" w:rsidR="001C1F18" w:rsidRPr="00F43628" w:rsidRDefault="001C1F18"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Існують консорціуми, де кожен партнер відповідає за власний маркетинг спільної програми, а є консорціуми, що працюють за схемою з нульовою сумою, де</w:t>
      </w:r>
      <w:r w:rsidR="00862A57">
        <w:rPr>
          <w:rFonts w:ascii="Times New Roman" w:hAnsi="Times New Roman" w:cs="Times New Roman"/>
          <w:kern w:val="0"/>
          <w:sz w:val="24"/>
          <w:szCs w:val="24"/>
        </w:rPr>
        <w:t>, наприклад,</w:t>
      </w:r>
      <w:r w:rsidRPr="00F43628">
        <w:rPr>
          <w:rFonts w:ascii="Times New Roman" w:hAnsi="Times New Roman" w:cs="Times New Roman"/>
          <w:kern w:val="0"/>
          <w:sz w:val="24"/>
          <w:szCs w:val="24"/>
        </w:rPr>
        <w:t xml:space="preserve"> один партнер </w:t>
      </w:r>
      <w:r w:rsidR="009C7AC0" w:rsidRPr="00F43628">
        <w:rPr>
          <w:rFonts w:ascii="Times New Roman" w:hAnsi="Times New Roman" w:cs="Times New Roman"/>
          <w:kern w:val="0"/>
          <w:sz w:val="24"/>
          <w:szCs w:val="24"/>
        </w:rPr>
        <w:t>відповідає за</w:t>
      </w:r>
      <w:r w:rsidRPr="00F43628">
        <w:rPr>
          <w:rFonts w:ascii="Times New Roman" w:hAnsi="Times New Roman" w:cs="Times New Roman"/>
          <w:kern w:val="0"/>
          <w:sz w:val="24"/>
          <w:szCs w:val="24"/>
        </w:rPr>
        <w:t xml:space="preserve"> </w:t>
      </w:r>
      <w:r w:rsidR="009C7AC0" w:rsidRPr="00F43628">
        <w:rPr>
          <w:rFonts w:ascii="Times New Roman" w:hAnsi="Times New Roman" w:cs="Times New Roman"/>
          <w:kern w:val="0"/>
          <w:sz w:val="24"/>
          <w:szCs w:val="24"/>
        </w:rPr>
        <w:t>просування спільної програми і залучення студентів</w:t>
      </w:r>
      <w:r w:rsidRPr="00F43628">
        <w:rPr>
          <w:rFonts w:ascii="Times New Roman" w:hAnsi="Times New Roman" w:cs="Times New Roman"/>
          <w:kern w:val="0"/>
          <w:sz w:val="24"/>
          <w:szCs w:val="24"/>
        </w:rPr>
        <w:t xml:space="preserve">, а інший </w:t>
      </w:r>
      <w:r w:rsidR="009C7AC0"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 xml:space="preserve"> </w:t>
      </w:r>
      <w:r w:rsidR="009C7AC0" w:rsidRPr="00F43628">
        <w:rPr>
          <w:rFonts w:ascii="Times New Roman" w:hAnsi="Times New Roman" w:cs="Times New Roman"/>
          <w:kern w:val="0"/>
          <w:sz w:val="24"/>
          <w:szCs w:val="24"/>
        </w:rPr>
        <w:t xml:space="preserve">за їх відбір і </w:t>
      </w:r>
      <w:r w:rsidRPr="00F43628">
        <w:rPr>
          <w:rFonts w:ascii="Times New Roman" w:hAnsi="Times New Roman" w:cs="Times New Roman"/>
          <w:kern w:val="0"/>
          <w:sz w:val="24"/>
          <w:szCs w:val="24"/>
        </w:rPr>
        <w:t>зарахування.</w:t>
      </w:r>
      <w:r w:rsidR="00FC4D59" w:rsidRPr="00F43628">
        <w:rPr>
          <w:rFonts w:ascii="Times New Roman" w:hAnsi="Times New Roman" w:cs="Times New Roman"/>
          <w:kern w:val="0"/>
          <w:sz w:val="24"/>
          <w:szCs w:val="24"/>
        </w:rPr>
        <w:t xml:space="preserve"> </w:t>
      </w:r>
      <w:r w:rsidR="00B06804" w:rsidRPr="00F43628">
        <w:rPr>
          <w:rFonts w:ascii="Times New Roman" w:hAnsi="Times New Roman" w:cs="Times New Roman"/>
          <w:kern w:val="0"/>
          <w:sz w:val="24"/>
          <w:szCs w:val="24"/>
        </w:rPr>
        <w:t xml:space="preserve">Працюючи за принципом </w:t>
      </w:r>
      <w:r w:rsidR="001C1CBC">
        <w:rPr>
          <w:rFonts w:ascii="Times New Roman" w:hAnsi="Times New Roman" w:cs="Times New Roman"/>
          <w:kern w:val="0"/>
          <w:sz w:val="24"/>
          <w:szCs w:val="24"/>
        </w:rPr>
        <w:t>«</w:t>
      </w:r>
      <w:r w:rsidR="00B06804" w:rsidRPr="00F43628">
        <w:rPr>
          <w:rFonts w:ascii="Times New Roman" w:hAnsi="Times New Roman" w:cs="Times New Roman"/>
          <w:kern w:val="0"/>
          <w:sz w:val="24"/>
          <w:szCs w:val="24"/>
        </w:rPr>
        <w:t>нульової суми</w:t>
      </w:r>
      <w:r w:rsidR="001C1CBC">
        <w:rPr>
          <w:rFonts w:ascii="Times New Roman" w:hAnsi="Times New Roman" w:cs="Times New Roman"/>
          <w:kern w:val="0"/>
          <w:sz w:val="24"/>
          <w:szCs w:val="24"/>
        </w:rPr>
        <w:t>»</w:t>
      </w:r>
      <w:r w:rsidR="00B06804" w:rsidRPr="00F43628">
        <w:rPr>
          <w:rFonts w:ascii="Times New Roman" w:hAnsi="Times New Roman" w:cs="Times New Roman"/>
          <w:kern w:val="0"/>
          <w:sz w:val="24"/>
          <w:szCs w:val="24"/>
        </w:rPr>
        <w:t xml:space="preserve">, важливо </w:t>
      </w:r>
      <w:r w:rsidR="001C1CBC">
        <w:rPr>
          <w:rFonts w:ascii="Times New Roman" w:hAnsi="Times New Roman" w:cs="Times New Roman"/>
          <w:kern w:val="0"/>
          <w:sz w:val="24"/>
          <w:szCs w:val="24"/>
        </w:rPr>
        <w:t>щорічно контролювати</w:t>
      </w:r>
      <w:r w:rsidR="00B06804" w:rsidRPr="00F43628">
        <w:rPr>
          <w:rFonts w:ascii="Times New Roman" w:hAnsi="Times New Roman" w:cs="Times New Roman"/>
          <w:kern w:val="0"/>
          <w:sz w:val="24"/>
          <w:szCs w:val="24"/>
        </w:rPr>
        <w:t xml:space="preserve"> фінансовий баланс між </w:t>
      </w:r>
      <w:r w:rsidR="001C1CBC">
        <w:rPr>
          <w:rFonts w:ascii="Times New Roman" w:hAnsi="Times New Roman" w:cs="Times New Roman"/>
          <w:kern w:val="0"/>
          <w:sz w:val="24"/>
          <w:szCs w:val="24"/>
        </w:rPr>
        <w:t>закладами-</w:t>
      </w:r>
      <w:r w:rsidR="00B06804" w:rsidRPr="00F43628">
        <w:rPr>
          <w:rFonts w:ascii="Times New Roman" w:hAnsi="Times New Roman" w:cs="Times New Roman"/>
          <w:kern w:val="0"/>
          <w:sz w:val="24"/>
          <w:szCs w:val="24"/>
        </w:rPr>
        <w:t>партнерами, щоб перевірити, чи зберігається взаємоприйнятний фінансовий баланс, чи необхідно перерозподілити завдання або кошти між партнерами</w:t>
      </w:r>
      <w:r w:rsidRPr="00F43628">
        <w:rPr>
          <w:rFonts w:ascii="Times New Roman" w:hAnsi="Times New Roman" w:cs="Times New Roman"/>
          <w:kern w:val="0"/>
          <w:sz w:val="24"/>
          <w:szCs w:val="24"/>
        </w:rPr>
        <w:t>.</w:t>
      </w:r>
    </w:p>
    <w:p w14:paraId="05D55122" w14:textId="5F39B5CF" w:rsidR="001C1F18" w:rsidRPr="00944E92" w:rsidRDefault="00944E92" w:rsidP="00AF0DAF">
      <w:pPr>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sidRPr="00944E92">
        <w:rPr>
          <w:rFonts w:ascii="Times New Roman" w:hAnsi="Times New Roman" w:cs="Times New Roman"/>
          <w:b/>
          <w:bCs/>
          <w:color w:val="365F91" w:themeColor="accent1" w:themeShade="BF"/>
          <w:kern w:val="0"/>
          <w:sz w:val="24"/>
          <w:szCs w:val="24"/>
        </w:rPr>
        <w:lastRenderedPageBreak/>
        <w:t>С</w:t>
      </w:r>
      <w:r w:rsidR="00C92AA6">
        <w:rPr>
          <w:rFonts w:ascii="Times New Roman" w:hAnsi="Times New Roman" w:cs="Times New Roman"/>
          <w:b/>
          <w:bCs/>
          <w:color w:val="365F91" w:themeColor="accent1" w:themeShade="BF"/>
          <w:kern w:val="0"/>
          <w:sz w:val="24"/>
          <w:szCs w:val="24"/>
        </w:rPr>
        <w:t>пільна</w:t>
      </w:r>
      <w:r w:rsidRPr="00944E92">
        <w:rPr>
          <w:rFonts w:ascii="Times New Roman" w:hAnsi="Times New Roman" w:cs="Times New Roman"/>
          <w:b/>
          <w:bCs/>
          <w:color w:val="365F91" w:themeColor="accent1" w:themeShade="BF"/>
          <w:kern w:val="0"/>
          <w:sz w:val="24"/>
          <w:szCs w:val="24"/>
        </w:rPr>
        <w:t xml:space="preserve"> фінансова модель: </w:t>
      </w:r>
      <w:r w:rsidRPr="00944E92">
        <w:rPr>
          <w:rFonts w:ascii="Times New Roman" w:hAnsi="Times New Roman" w:cs="Times New Roman"/>
          <w:b/>
          <w:bCs/>
          <w:color w:val="365F91" w:themeColor="accent1" w:themeShade="BF"/>
          <w:kern w:val="0"/>
          <w:sz w:val="24"/>
          <w:szCs w:val="24"/>
        </w:rPr>
        <w:t>б</w:t>
      </w:r>
      <w:r w:rsidR="001C1F18" w:rsidRPr="00944E92">
        <w:rPr>
          <w:rFonts w:ascii="Times New Roman" w:hAnsi="Times New Roman" w:cs="Times New Roman"/>
          <w:b/>
          <w:bCs/>
          <w:color w:val="365F91" w:themeColor="accent1" w:themeShade="BF"/>
          <w:kern w:val="0"/>
          <w:sz w:val="24"/>
          <w:szCs w:val="24"/>
        </w:rPr>
        <w:t xml:space="preserve">ільше </w:t>
      </w:r>
      <w:r w:rsidRPr="00944E92">
        <w:rPr>
          <w:rFonts w:ascii="Times New Roman" w:hAnsi="Times New Roman" w:cs="Times New Roman"/>
          <w:b/>
          <w:bCs/>
          <w:color w:val="365F91" w:themeColor="accent1" w:themeShade="BF"/>
          <w:kern w:val="0"/>
          <w:sz w:val="24"/>
          <w:szCs w:val="24"/>
        </w:rPr>
        <w:t>двох закладів-</w:t>
      </w:r>
      <w:r w:rsidR="001C1F18" w:rsidRPr="00944E92">
        <w:rPr>
          <w:rFonts w:ascii="Times New Roman" w:hAnsi="Times New Roman" w:cs="Times New Roman"/>
          <w:b/>
          <w:bCs/>
          <w:color w:val="365F91" w:themeColor="accent1" w:themeShade="BF"/>
          <w:kern w:val="0"/>
          <w:sz w:val="24"/>
          <w:szCs w:val="24"/>
        </w:rPr>
        <w:t>партнерів</w:t>
      </w:r>
    </w:p>
    <w:p w14:paraId="16200268" w14:textId="1EF2BF34" w:rsidR="001C1F18" w:rsidRPr="00F43628" w:rsidRDefault="001C1F18"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Якщо консорціум спільної програми </w:t>
      </w:r>
      <w:r w:rsidR="00C92AA6">
        <w:rPr>
          <w:rFonts w:ascii="Times New Roman" w:hAnsi="Times New Roman" w:cs="Times New Roman"/>
          <w:kern w:val="0"/>
          <w:sz w:val="24"/>
          <w:szCs w:val="24"/>
        </w:rPr>
        <w:t>включає понад двох партнерів</w:t>
      </w:r>
      <w:r w:rsidR="005E377E">
        <w:rPr>
          <w:rFonts w:ascii="Times New Roman" w:hAnsi="Times New Roman" w:cs="Times New Roman"/>
          <w:kern w:val="0"/>
          <w:sz w:val="24"/>
          <w:szCs w:val="24"/>
        </w:rPr>
        <w:t xml:space="preserve"> з різних країн</w:t>
      </w:r>
      <w:r w:rsidRPr="00F43628">
        <w:rPr>
          <w:rFonts w:ascii="Times New Roman" w:hAnsi="Times New Roman" w:cs="Times New Roman"/>
          <w:kern w:val="0"/>
          <w:sz w:val="24"/>
          <w:szCs w:val="24"/>
        </w:rPr>
        <w:t xml:space="preserve">, а між партнерськими </w:t>
      </w:r>
      <w:r w:rsidR="00C92AA6">
        <w:rPr>
          <w:rFonts w:ascii="Times New Roman" w:hAnsi="Times New Roman" w:cs="Times New Roman"/>
          <w:kern w:val="0"/>
          <w:sz w:val="24"/>
          <w:szCs w:val="24"/>
        </w:rPr>
        <w:t>закладами</w:t>
      </w:r>
      <w:r w:rsidRPr="00F43628">
        <w:rPr>
          <w:rFonts w:ascii="Times New Roman" w:hAnsi="Times New Roman" w:cs="Times New Roman"/>
          <w:kern w:val="0"/>
          <w:sz w:val="24"/>
          <w:szCs w:val="24"/>
        </w:rPr>
        <w:t xml:space="preserve"> немає балансу з </w:t>
      </w:r>
      <w:r w:rsidR="00B06804" w:rsidRPr="00F43628">
        <w:rPr>
          <w:rFonts w:ascii="Times New Roman" w:hAnsi="Times New Roman" w:cs="Times New Roman"/>
          <w:kern w:val="0"/>
          <w:sz w:val="24"/>
          <w:szCs w:val="24"/>
        </w:rPr>
        <w:t>огляду на</w:t>
      </w:r>
      <w:r w:rsidRPr="00F43628">
        <w:rPr>
          <w:rFonts w:ascii="Times New Roman" w:hAnsi="Times New Roman" w:cs="Times New Roman"/>
          <w:kern w:val="0"/>
          <w:sz w:val="24"/>
          <w:szCs w:val="24"/>
        </w:rPr>
        <w:t xml:space="preserve"> доход</w:t>
      </w:r>
      <w:r w:rsidR="00B06804" w:rsidRPr="00F43628">
        <w:rPr>
          <w:rFonts w:ascii="Times New Roman" w:hAnsi="Times New Roman" w:cs="Times New Roman"/>
          <w:kern w:val="0"/>
          <w:sz w:val="24"/>
          <w:szCs w:val="24"/>
        </w:rPr>
        <w:t>и й</w:t>
      </w:r>
      <w:r w:rsidRPr="00F43628">
        <w:rPr>
          <w:rFonts w:ascii="Times New Roman" w:hAnsi="Times New Roman" w:cs="Times New Roman"/>
          <w:kern w:val="0"/>
          <w:sz w:val="24"/>
          <w:szCs w:val="24"/>
        </w:rPr>
        <w:t xml:space="preserve"> витрат</w:t>
      </w:r>
      <w:r w:rsidR="00B06804" w:rsidRPr="00F43628">
        <w:rPr>
          <w:rFonts w:ascii="Times New Roman" w:hAnsi="Times New Roman" w:cs="Times New Roman"/>
          <w:kern w:val="0"/>
          <w:sz w:val="24"/>
          <w:szCs w:val="24"/>
        </w:rPr>
        <w:t>и</w:t>
      </w:r>
      <w:r w:rsidRPr="00F43628">
        <w:rPr>
          <w:rFonts w:ascii="Times New Roman" w:hAnsi="Times New Roman" w:cs="Times New Roman"/>
          <w:kern w:val="0"/>
          <w:sz w:val="24"/>
          <w:szCs w:val="24"/>
        </w:rPr>
        <w:t xml:space="preserve"> програми, </w:t>
      </w:r>
      <w:r w:rsidR="00C92AA6">
        <w:rPr>
          <w:rFonts w:ascii="Times New Roman" w:hAnsi="Times New Roman" w:cs="Times New Roman"/>
          <w:kern w:val="0"/>
          <w:sz w:val="24"/>
          <w:szCs w:val="24"/>
        </w:rPr>
        <w:t>то</w:t>
      </w:r>
      <w:r w:rsidRPr="00F43628">
        <w:rPr>
          <w:rFonts w:ascii="Times New Roman" w:hAnsi="Times New Roman" w:cs="Times New Roman"/>
          <w:kern w:val="0"/>
          <w:sz w:val="24"/>
          <w:szCs w:val="24"/>
        </w:rPr>
        <w:t xml:space="preserve"> необхідно розробити надійну спільну фінансову модель для </w:t>
      </w:r>
      <w:r w:rsidR="00793B68">
        <w:rPr>
          <w:rFonts w:ascii="Times New Roman" w:hAnsi="Times New Roman" w:cs="Times New Roman"/>
          <w:kern w:val="0"/>
          <w:sz w:val="24"/>
          <w:szCs w:val="24"/>
        </w:rPr>
        <w:t>реалізації</w:t>
      </w:r>
      <w:r w:rsidRPr="00F43628">
        <w:rPr>
          <w:rFonts w:ascii="Times New Roman" w:hAnsi="Times New Roman" w:cs="Times New Roman"/>
          <w:kern w:val="0"/>
          <w:sz w:val="24"/>
          <w:szCs w:val="24"/>
        </w:rPr>
        <w:t xml:space="preserve"> програми.</w:t>
      </w:r>
    </w:p>
    <w:p w14:paraId="248FBB01" w14:textId="6841F267" w:rsidR="001C1F18" w:rsidRPr="00F43628" w:rsidRDefault="00275402"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Це важливо, оскільки спільні програми часто спричиняють додаткові операційні витрати на такі складові, як розроб</w:t>
      </w:r>
      <w:r w:rsidR="00542E71">
        <w:rPr>
          <w:rFonts w:ascii="Times New Roman" w:hAnsi="Times New Roman" w:cs="Times New Roman"/>
          <w:kern w:val="0"/>
          <w:sz w:val="24"/>
          <w:szCs w:val="24"/>
        </w:rPr>
        <w:t>лення</w:t>
      </w:r>
      <w:r w:rsidRPr="00F43628">
        <w:rPr>
          <w:rFonts w:ascii="Times New Roman" w:hAnsi="Times New Roman" w:cs="Times New Roman"/>
          <w:kern w:val="0"/>
          <w:sz w:val="24"/>
          <w:szCs w:val="24"/>
        </w:rPr>
        <w:t xml:space="preserve"> спільних навчальних планів, маркетинг, організація мобільності, проведення оцінювання, адміністрування та покриття відносно високих витрат на короткострокове житло.</w:t>
      </w:r>
      <w:r w:rsidR="001C1F18" w:rsidRPr="00F43628">
        <w:rPr>
          <w:rFonts w:ascii="Times New Roman" w:hAnsi="Times New Roman" w:cs="Times New Roman"/>
          <w:kern w:val="0"/>
          <w:sz w:val="24"/>
          <w:szCs w:val="24"/>
        </w:rPr>
        <w:t xml:space="preserve"> Реалізація спільної програми ускладнюється, коли в </w:t>
      </w:r>
      <w:r w:rsidR="009A02B2">
        <w:rPr>
          <w:rFonts w:ascii="Times New Roman" w:hAnsi="Times New Roman" w:cs="Times New Roman"/>
          <w:kern w:val="0"/>
          <w:sz w:val="24"/>
          <w:szCs w:val="24"/>
        </w:rPr>
        <w:t>консорціумі</w:t>
      </w:r>
      <w:r w:rsidR="001C1F18" w:rsidRPr="00F43628">
        <w:rPr>
          <w:rFonts w:ascii="Times New Roman" w:hAnsi="Times New Roman" w:cs="Times New Roman"/>
          <w:kern w:val="0"/>
          <w:sz w:val="24"/>
          <w:szCs w:val="24"/>
        </w:rPr>
        <w:t xml:space="preserve"> беруть участь </w:t>
      </w:r>
      <w:r w:rsidR="009A02B2">
        <w:rPr>
          <w:rFonts w:ascii="Times New Roman" w:hAnsi="Times New Roman" w:cs="Times New Roman"/>
          <w:kern w:val="0"/>
          <w:sz w:val="24"/>
          <w:szCs w:val="24"/>
        </w:rPr>
        <w:t>заклад</w:t>
      </w:r>
      <w:r w:rsidR="009A02B2">
        <w:rPr>
          <w:rFonts w:ascii="Times New Roman" w:hAnsi="Times New Roman" w:cs="Times New Roman"/>
          <w:kern w:val="0"/>
          <w:sz w:val="24"/>
          <w:szCs w:val="24"/>
        </w:rPr>
        <w:t>и</w:t>
      </w:r>
      <w:r w:rsidR="009A02B2">
        <w:rPr>
          <w:rFonts w:ascii="Times New Roman" w:hAnsi="Times New Roman" w:cs="Times New Roman"/>
          <w:kern w:val="0"/>
          <w:sz w:val="24"/>
          <w:szCs w:val="24"/>
        </w:rPr>
        <w:t>-</w:t>
      </w:r>
      <w:r w:rsidR="009A02B2" w:rsidRPr="00F43628">
        <w:rPr>
          <w:rFonts w:ascii="Times New Roman" w:hAnsi="Times New Roman" w:cs="Times New Roman"/>
          <w:kern w:val="0"/>
          <w:sz w:val="24"/>
          <w:szCs w:val="24"/>
        </w:rPr>
        <w:t>партнер</w:t>
      </w:r>
      <w:r w:rsidR="009A02B2">
        <w:rPr>
          <w:rFonts w:ascii="Times New Roman" w:hAnsi="Times New Roman" w:cs="Times New Roman"/>
          <w:kern w:val="0"/>
          <w:sz w:val="24"/>
          <w:szCs w:val="24"/>
        </w:rPr>
        <w:t>и</w:t>
      </w:r>
      <w:r w:rsidR="009A02B2" w:rsidRPr="00F43628">
        <w:rPr>
          <w:rFonts w:ascii="Times New Roman" w:hAnsi="Times New Roman" w:cs="Times New Roman"/>
          <w:kern w:val="0"/>
          <w:sz w:val="24"/>
          <w:szCs w:val="24"/>
        </w:rPr>
        <w:t xml:space="preserve"> </w:t>
      </w:r>
      <w:r w:rsidR="009A02B2">
        <w:rPr>
          <w:rFonts w:ascii="Times New Roman" w:hAnsi="Times New Roman" w:cs="Times New Roman"/>
          <w:kern w:val="0"/>
          <w:sz w:val="24"/>
          <w:szCs w:val="24"/>
        </w:rPr>
        <w:t xml:space="preserve">з </w:t>
      </w:r>
      <w:r w:rsidR="009A02B2" w:rsidRPr="00F43628">
        <w:rPr>
          <w:rFonts w:ascii="Times New Roman" w:hAnsi="Times New Roman" w:cs="Times New Roman"/>
          <w:kern w:val="0"/>
          <w:sz w:val="24"/>
          <w:szCs w:val="24"/>
        </w:rPr>
        <w:t>кільк</w:t>
      </w:r>
      <w:r w:rsidR="009A02B2">
        <w:rPr>
          <w:rFonts w:ascii="Times New Roman" w:hAnsi="Times New Roman" w:cs="Times New Roman"/>
          <w:kern w:val="0"/>
          <w:sz w:val="24"/>
          <w:szCs w:val="24"/>
        </w:rPr>
        <w:t>ох</w:t>
      </w:r>
      <w:r w:rsidR="009A02B2" w:rsidRPr="00F43628">
        <w:rPr>
          <w:rFonts w:ascii="Times New Roman" w:hAnsi="Times New Roman" w:cs="Times New Roman"/>
          <w:kern w:val="0"/>
          <w:sz w:val="24"/>
          <w:szCs w:val="24"/>
        </w:rPr>
        <w:t xml:space="preserve"> </w:t>
      </w:r>
      <w:r w:rsidR="001C1F18" w:rsidRPr="00F43628">
        <w:rPr>
          <w:rFonts w:ascii="Times New Roman" w:hAnsi="Times New Roman" w:cs="Times New Roman"/>
          <w:kern w:val="0"/>
          <w:sz w:val="24"/>
          <w:szCs w:val="24"/>
        </w:rPr>
        <w:t xml:space="preserve">країн з різною </w:t>
      </w:r>
      <w:r w:rsidR="009A02B2">
        <w:rPr>
          <w:rFonts w:ascii="Times New Roman" w:hAnsi="Times New Roman" w:cs="Times New Roman"/>
          <w:kern w:val="0"/>
          <w:sz w:val="24"/>
          <w:szCs w:val="24"/>
        </w:rPr>
        <w:t xml:space="preserve">фінансовою </w:t>
      </w:r>
      <w:r w:rsidR="001C1F18" w:rsidRPr="00F43628">
        <w:rPr>
          <w:rFonts w:ascii="Times New Roman" w:hAnsi="Times New Roman" w:cs="Times New Roman"/>
          <w:kern w:val="0"/>
          <w:sz w:val="24"/>
          <w:szCs w:val="24"/>
        </w:rPr>
        <w:t>політикою</w:t>
      </w:r>
      <w:r w:rsidR="009A02B2">
        <w:rPr>
          <w:rFonts w:ascii="Times New Roman" w:hAnsi="Times New Roman" w:cs="Times New Roman"/>
          <w:kern w:val="0"/>
          <w:sz w:val="24"/>
          <w:szCs w:val="24"/>
        </w:rPr>
        <w:t>, зокрема щодо</w:t>
      </w:r>
      <w:r w:rsidR="001C1F18" w:rsidRPr="00F43628">
        <w:rPr>
          <w:rFonts w:ascii="Times New Roman" w:hAnsi="Times New Roman" w:cs="Times New Roman"/>
          <w:kern w:val="0"/>
          <w:sz w:val="24"/>
          <w:szCs w:val="24"/>
        </w:rPr>
        <w:t xml:space="preserve"> оплати за навчання. Необхідно домовитися про розподіл витрат, плату за навчання, стипендії та </w:t>
      </w:r>
      <w:r w:rsidR="009A02B2">
        <w:rPr>
          <w:rFonts w:ascii="Times New Roman" w:hAnsi="Times New Roman" w:cs="Times New Roman"/>
          <w:kern w:val="0"/>
          <w:sz w:val="24"/>
          <w:szCs w:val="24"/>
        </w:rPr>
        <w:t xml:space="preserve">фінансову </w:t>
      </w:r>
      <w:r w:rsidR="001C1F18" w:rsidRPr="00F43628">
        <w:rPr>
          <w:rFonts w:ascii="Times New Roman" w:hAnsi="Times New Roman" w:cs="Times New Roman"/>
          <w:kern w:val="0"/>
          <w:sz w:val="24"/>
          <w:szCs w:val="24"/>
        </w:rPr>
        <w:t>ст</w:t>
      </w:r>
      <w:r w:rsidR="009A02B2">
        <w:rPr>
          <w:rFonts w:ascii="Times New Roman" w:hAnsi="Times New Roman" w:cs="Times New Roman"/>
          <w:kern w:val="0"/>
          <w:sz w:val="24"/>
          <w:szCs w:val="24"/>
        </w:rPr>
        <w:t>ійкість</w:t>
      </w:r>
      <w:r w:rsidR="001C1F18" w:rsidRPr="00F43628">
        <w:rPr>
          <w:rFonts w:ascii="Times New Roman" w:hAnsi="Times New Roman" w:cs="Times New Roman"/>
          <w:kern w:val="0"/>
          <w:sz w:val="24"/>
          <w:szCs w:val="24"/>
        </w:rPr>
        <w:t xml:space="preserve"> програм.</w:t>
      </w:r>
    </w:p>
    <w:p w14:paraId="33351562" w14:textId="3C8E5610" w:rsidR="001C1F18" w:rsidRPr="00F43628" w:rsidRDefault="001C1F18"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Якщо </w:t>
      </w:r>
      <w:r w:rsidR="00EE04E4">
        <w:rPr>
          <w:rFonts w:ascii="Times New Roman" w:hAnsi="Times New Roman" w:cs="Times New Roman"/>
          <w:kern w:val="0"/>
          <w:sz w:val="24"/>
          <w:szCs w:val="24"/>
        </w:rPr>
        <w:t xml:space="preserve">законодавство всіх </w:t>
      </w:r>
      <w:r w:rsidRPr="00F43628">
        <w:rPr>
          <w:rFonts w:ascii="Times New Roman" w:hAnsi="Times New Roman" w:cs="Times New Roman"/>
          <w:kern w:val="0"/>
          <w:sz w:val="24"/>
          <w:szCs w:val="24"/>
        </w:rPr>
        <w:t>країн</w:t>
      </w:r>
      <w:r w:rsidR="00EE04E4">
        <w:rPr>
          <w:rFonts w:ascii="Times New Roman" w:hAnsi="Times New Roman" w:cs="Times New Roman"/>
          <w:kern w:val="0"/>
          <w:sz w:val="24"/>
          <w:szCs w:val="24"/>
        </w:rPr>
        <w:t>-учасниць</w:t>
      </w:r>
      <w:r w:rsidRPr="00F43628">
        <w:rPr>
          <w:rFonts w:ascii="Times New Roman" w:hAnsi="Times New Roman" w:cs="Times New Roman"/>
          <w:kern w:val="0"/>
          <w:sz w:val="24"/>
          <w:szCs w:val="24"/>
        </w:rPr>
        <w:t xml:space="preserve"> консорціуму дозволяють, </w:t>
      </w:r>
      <w:r w:rsidR="00EE04E4">
        <w:rPr>
          <w:rFonts w:ascii="Times New Roman" w:hAnsi="Times New Roman" w:cs="Times New Roman"/>
          <w:kern w:val="0"/>
          <w:sz w:val="24"/>
          <w:szCs w:val="24"/>
        </w:rPr>
        <w:t xml:space="preserve">то </w:t>
      </w:r>
      <w:r w:rsidRPr="00F43628">
        <w:rPr>
          <w:rFonts w:ascii="Times New Roman" w:hAnsi="Times New Roman" w:cs="Times New Roman"/>
          <w:kern w:val="0"/>
          <w:sz w:val="24"/>
          <w:szCs w:val="24"/>
        </w:rPr>
        <w:t xml:space="preserve">доцільно визначити </w:t>
      </w:r>
      <w:r w:rsidR="00275402" w:rsidRPr="00F43628">
        <w:rPr>
          <w:rFonts w:ascii="Times New Roman" w:hAnsi="Times New Roman" w:cs="Times New Roman"/>
          <w:kern w:val="0"/>
          <w:sz w:val="24"/>
          <w:szCs w:val="24"/>
        </w:rPr>
        <w:t>єдину</w:t>
      </w:r>
      <w:r w:rsidRPr="00F43628">
        <w:rPr>
          <w:rFonts w:ascii="Times New Roman" w:hAnsi="Times New Roman" w:cs="Times New Roman"/>
          <w:kern w:val="0"/>
          <w:sz w:val="24"/>
          <w:szCs w:val="24"/>
        </w:rPr>
        <w:t xml:space="preserve"> загальну плату за навчання для всіх студентів спільної програми. Якщо консорціум встановить різні </w:t>
      </w:r>
      <w:r w:rsidR="00EE04E4">
        <w:rPr>
          <w:rFonts w:ascii="Times New Roman" w:hAnsi="Times New Roman" w:cs="Times New Roman"/>
          <w:kern w:val="0"/>
          <w:sz w:val="24"/>
          <w:szCs w:val="24"/>
        </w:rPr>
        <w:t>локальні</w:t>
      </w:r>
      <w:r w:rsidRPr="00F43628">
        <w:rPr>
          <w:rFonts w:ascii="Times New Roman" w:hAnsi="Times New Roman" w:cs="Times New Roman"/>
          <w:kern w:val="0"/>
          <w:sz w:val="24"/>
          <w:szCs w:val="24"/>
        </w:rPr>
        <w:t xml:space="preserve"> тарифи для студентів однієї спільної програми, виникнуть труднощі з тим, в якому закладі-партнері студенти захочуть зареєструватися: студенти зазвичай </w:t>
      </w:r>
      <w:r w:rsidR="00F57E4D" w:rsidRPr="00F43628">
        <w:rPr>
          <w:rFonts w:ascii="Times New Roman" w:hAnsi="Times New Roman" w:cs="Times New Roman"/>
          <w:kern w:val="0"/>
          <w:sz w:val="24"/>
          <w:szCs w:val="24"/>
        </w:rPr>
        <w:t>прагн</w:t>
      </w:r>
      <w:r w:rsidRPr="00F43628">
        <w:rPr>
          <w:rFonts w:ascii="Times New Roman" w:hAnsi="Times New Roman" w:cs="Times New Roman"/>
          <w:kern w:val="0"/>
          <w:sz w:val="24"/>
          <w:szCs w:val="24"/>
        </w:rPr>
        <w:t>уть зареєструватися в закладі-партнері</w:t>
      </w:r>
      <w:r w:rsidR="00EE04E4">
        <w:rPr>
          <w:rFonts w:ascii="Times New Roman" w:hAnsi="Times New Roman" w:cs="Times New Roman"/>
          <w:kern w:val="0"/>
          <w:sz w:val="24"/>
          <w:szCs w:val="24"/>
        </w:rPr>
        <w:t>, що пропонує найнижчий рівень оплати за навчання.</w:t>
      </w:r>
      <w:r w:rsidRPr="00F43628">
        <w:rPr>
          <w:rFonts w:ascii="Times New Roman" w:hAnsi="Times New Roman" w:cs="Times New Roman"/>
          <w:kern w:val="0"/>
          <w:sz w:val="24"/>
          <w:szCs w:val="24"/>
        </w:rPr>
        <w:t xml:space="preserve"> Щоб уникнути таких проблем, доцільно стягувати </w:t>
      </w:r>
      <w:r w:rsidR="00F57E4D" w:rsidRPr="00F43628">
        <w:rPr>
          <w:rFonts w:ascii="Times New Roman" w:hAnsi="Times New Roman" w:cs="Times New Roman"/>
          <w:kern w:val="0"/>
          <w:sz w:val="24"/>
          <w:szCs w:val="24"/>
        </w:rPr>
        <w:t>єдину</w:t>
      </w:r>
      <w:r w:rsidRPr="00F43628">
        <w:rPr>
          <w:rFonts w:ascii="Times New Roman" w:hAnsi="Times New Roman" w:cs="Times New Roman"/>
          <w:kern w:val="0"/>
          <w:sz w:val="24"/>
          <w:szCs w:val="24"/>
        </w:rPr>
        <w:t xml:space="preserve"> загальну плату за навчання, яка сплачується консорціуму; консорціум потім розподіляє дохід від плати за навчання між закладами-партнерами, наприклад частково на основі кількості студентів, кредитів</w:t>
      </w:r>
      <w:r w:rsidR="00EE04E4">
        <w:rPr>
          <w:rFonts w:ascii="Times New Roman" w:hAnsi="Times New Roman" w:cs="Times New Roman"/>
          <w:kern w:val="0"/>
          <w:sz w:val="24"/>
          <w:szCs w:val="24"/>
        </w:rPr>
        <w:t xml:space="preserve"> ЄКТС</w:t>
      </w:r>
      <w:r w:rsidRPr="00F43628">
        <w:rPr>
          <w:rFonts w:ascii="Times New Roman" w:hAnsi="Times New Roman" w:cs="Times New Roman"/>
          <w:kern w:val="0"/>
          <w:sz w:val="24"/>
          <w:szCs w:val="24"/>
        </w:rPr>
        <w:t xml:space="preserve"> </w:t>
      </w:r>
      <w:r w:rsidR="00EE04E4">
        <w:rPr>
          <w:rFonts w:ascii="Times New Roman" w:hAnsi="Times New Roman" w:cs="Times New Roman"/>
          <w:kern w:val="0"/>
          <w:sz w:val="24"/>
          <w:szCs w:val="24"/>
        </w:rPr>
        <w:t>і</w:t>
      </w:r>
      <w:r w:rsidRPr="00F43628">
        <w:rPr>
          <w:rFonts w:ascii="Times New Roman" w:hAnsi="Times New Roman" w:cs="Times New Roman"/>
          <w:kern w:val="0"/>
          <w:sz w:val="24"/>
          <w:szCs w:val="24"/>
        </w:rPr>
        <w:t xml:space="preserve"> керівництва дипломними роботами, </w:t>
      </w:r>
      <w:r w:rsidR="00F57E4D" w:rsidRPr="00F43628">
        <w:rPr>
          <w:rFonts w:ascii="Times New Roman" w:hAnsi="Times New Roman" w:cs="Times New Roman"/>
          <w:kern w:val="0"/>
          <w:sz w:val="24"/>
          <w:szCs w:val="24"/>
        </w:rPr>
        <w:t>що припадають на</w:t>
      </w:r>
      <w:r w:rsidRPr="00F43628">
        <w:rPr>
          <w:rFonts w:ascii="Times New Roman" w:hAnsi="Times New Roman" w:cs="Times New Roman"/>
          <w:kern w:val="0"/>
          <w:sz w:val="24"/>
          <w:szCs w:val="24"/>
        </w:rPr>
        <w:t xml:space="preserve"> </w:t>
      </w:r>
      <w:r w:rsidR="00EE04E4">
        <w:rPr>
          <w:rFonts w:ascii="Times New Roman" w:hAnsi="Times New Roman" w:cs="Times New Roman"/>
          <w:kern w:val="0"/>
          <w:sz w:val="24"/>
          <w:szCs w:val="24"/>
        </w:rPr>
        <w:t>певний</w:t>
      </w:r>
      <w:r w:rsidRPr="00F43628">
        <w:rPr>
          <w:rFonts w:ascii="Times New Roman" w:hAnsi="Times New Roman" w:cs="Times New Roman"/>
          <w:kern w:val="0"/>
          <w:sz w:val="24"/>
          <w:szCs w:val="24"/>
        </w:rPr>
        <w:t xml:space="preserve"> заклад</w:t>
      </w:r>
      <w:r w:rsidR="00EE04E4">
        <w:rPr>
          <w:rFonts w:ascii="Times New Roman" w:hAnsi="Times New Roman" w:cs="Times New Roman"/>
          <w:kern w:val="0"/>
          <w:sz w:val="24"/>
          <w:szCs w:val="24"/>
        </w:rPr>
        <w:t xml:space="preserve"> вищої освіти</w:t>
      </w:r>
      <w:r w:rsidRPr="00F43628">
        <w:rPr>
          <w:rFonts w:ascii="Times New Roman" w:hAnsi="Times New Roman" w:cs="Times New Roman"/>
          <w:kern w:val="0"/>
          <w:sz w:val="24"/>
          <w:szCs w:val="24"/>
        </w:rPr>
        <w:t xml:space="preserve">. </w:t>
      </w:r>
    </w:p>
    <w:p w14:paraId="199D6E7E" w14:textId="5B31694A" w:rsidR="001C1F18" w:rsidRPr="008E55EA" w:rsidRDefault="008E55EA" w:rsidP="00AF0DAF">
      <w:pPr>
        <w:autoSpaceDE w:val="0"/>
        <w:autoSpaceDN w:val="0"/>
        <w:adjustRightInd w:val="0"/>
        <w:spacing w:before="100" w:beforeAutospacing="1" w:after="100" w:afterAutospacing="1" w:line="240" w:lineRule="auto"/>
        <w:jc w:val="both"/>
        <w:rPr>
          <w:rFonts w:ascii="Times New Roman" w:hAnsi="Times New Roman" w:cs="Times New Roman"/>
          <w:b/>
          <w:bCs/>
          <w:color w:val="365F91" w:themeColor="accent1" w:themeShade="BF"/>
          <w:kern w:val="0"/>
          <w:sz w:val="24"/>
          <w:szCs w:val="24"/>
        </w:rPr>
      </w:pPr>
      <w:r w:rsidRPr="008E55EA">
        <w:rPr>
          <w:rFonts w:ascii="Times New Roman" w:hAnsi="Times New Roman" w:cs="Times New Roman"/>
          <w:b/>
          <w:bCs/>
          <w:color w:val="365F91" w:themeColor="accent1" w:themeShade="BF"/>
          <w:kern w:val="0"/>
          <w:sz w:val="24"/>
          <w:szCs w:val="24"/>
        </w:rPr>
        <w:t xml:space="preserve">10.2. </w:t>
      </w:r>
      <w:r w:rsidR="001C1F18" w:rsidRPr="008E55EA">
        <w:rPr>
          <w:rFonts w:ascii="Times New Roman" w:hAnsi="Times New Roman" w:cs="Times New Roman"/>
          <w:b/>
          <w:bCs/>
          <w:color w:val="365F91" w:themeColor="accent1" w:themeShade="BF"/>
          <w:kern w:val="0"/>
          <w:sz w:val="24"/>
          <w:szCs w:val="24"/>
        </w:rPr>
        <w:t>Визначення витрат і доходів</w:t>
      </w:r>
    </w:p>
    <w:p w14:paraId="12E2D55C" w14:textId="080F0818" w:rsidR="001C1F18" w:rsidRPr="00F43628" w:rsidRDefault="001C1F18" w:rsidP="00AF0DA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Важливо скласти повний бюджет спільної програми, включаючи всі поточні витрати. Якщо неможливо скласти повну картину витрат, у будь-якому випадку, переконайтеся, що визнач</w:t>
      </w:r>
      <w:r w:rsidR="008E55EA">
        <w:rPr>
          <w:rFonts w:ascii="Times New Roman" w:hAnsi="Times New Roman" w:cs="Times New Roman"/>
          <w:kern w:val="0"/>
          <w:sz w:val="24"/>
          <w:szCs w:val="24"/>
        </w:rPr>
        <w:t>ено всі</w:t>
      </w:r>
      <w:r w:rsidRPr="00F43628">
        <w:rPr>
          <w:rFonts w:ascii="Times New Roman" w:hAnsi="Times New Roman" w:cs="Times New Roman"/>
          <w:kern w:val="0"/>
          <w:sz w:val="24"/>
          <w:szCs w:val="24"/>
        </w:rPr>
        <w:t xml:space="preserve"> </w:t>
      </w:r>
      <w:r w:rsidRPr="008E55EA">
        <w:rPr>
          <w:rFonts w:ascii="Times New Roman" w:hAnsi="Times New Roman" w:cs="Times New Roman"/>
          <w:kern w:val="0"/>
          <w:sz w:val="24"/>
          <w:szCs w:val="24"/>
        </w:rPr>
        <w:t>додаткові</w:t>
      </w:r>
      <w:r w:rsidRPr="00F43628">
        <w:rPr>
          <w:rFonts w:ascii="Times New Roman" w:hAnsi="Times New Roman" w:cs="Times New Roman"/>
          <w:i/>
          <w:iCs/>
          <w:kern w:val="0"/>
          <w:sz w:val="24"/>
          <w:szCs w:val="24"/>
        </w:rPr>
        <w:t xml:space="preserve"> </w:t>
      </w:r>
      <w:r w:rsidR="008E55EA" w:rsidRPr="008E55EA">
        <w:rPr>
          <w:rFonts w:ascii="Times New Roman" w:hAnsi="Times New Roman" w:cs="Times New Roman"/>
          <w:kern w:val="0"/>
          <w:sz w:val="24"/>
          <w:szCs w:val="24"/>
        </w:rPr>
        <w:t>операційні</w:t>
      </w:r>
      <w:r w:rsidR="008E55EA">
        <w:rPr>
          <w:rFonts w:ascii="Times New Roman" w:hAnsi="Times New Roman" w:cs="Times New Roman"/>
          <w:i/>
          <w:iCs/>
          <w:kern w:val="0"/>
          <w:sz w:val="24"/>
          <w:szCs w:val="24"/>
        </w:rPr>
        <w:t xml:space="preserve"> </w:t>
      </w:r>
      <w:r w:rsidRPr="00F43628">
        <w:rPr>
          <w:rFonts w:ascii="Times New Roman" w:hAnsi="Times New Roman" w:cs="Times New Roman"/>
          <w:kern w:val="0"/>
          <w:sz w:val="24"/>
          <w:szCs w:val="24"/>
        </w:rPr>
        <w:t>витрати, пов</w:t>
      </w:r>
      <w:r w:rsidR="00F57E4D" w:rsidRPr="00F43628">
        <w:rPr>
          <w:rFonts w:ascii="Times New Roman" w:hAnsi="Times New Roman" w:cs="Times New Roman"/>
          <w:kern w:val="0"/>
          <w:sz w:val="24"/>
          <w:szCs w:val="24"/>
        </w:rPr>
        <w:t>’</w:t>
      </w:r>
      <w:r w:rsidRPr="00F43628">
        <w:rPr>
          <w:rFonts w:ascii="Times New Roman" w:hAnsi="Times New Roman" w:cs="Times New Roman"/>
          <w:kern w:val="0"/>
          <w:sz w:val="24"/>
          <w:szCs w:val="24"/>
        </w:rPr>
        <w:t>язані зі спільною програмою.</w:t>
      </w:r>
      <w:r w:rsidR="00FC4D59"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Додаткові операційні витрати можуть знадобитися на розроб</w:t>
      </w:r>
      <w:r w:rsidR="008E55EA">
        <w:rPr>
          <w:rFonts w:ascii="Times New Roman" w:hAnsi="Times New Roman" w:cs="Times New Roman"/>
          <w:kern w:val="0"/>
          <w:sz w:val="24"/>
          <w:szCs w:val="24"/>
        </w:rPr>
        <w:t>лення та перегляд</w:t>
      </w:r>
      <w:r w:rsidRPr="00F43628">
        <w:rPr>
          <w:rFonts w:ascii="Times New Roman" w:hAnsi="Times New Roman" w:cs="Times New Roman"/>
          <w:kern w:val="0"/>
          <w:sz w:val="24"/>
          <w:szCs w:val="24"/>
        </w:rPr>
        <w:t xml:space="preserve"> </w:t>
      </w:r>
      <w:r w:rsidR="008E55EA">
        <w:rPr>
          <w:rFonts w:ascii="Times New Roman" w:hAnsi="Times New Roman" w:cs="Times New Roman"/>
          <w:kern w:val="0"/>
          <w:sz w:val="24"/>
          <w:szCs w:val="24"/>
        </w:rPr>
        <w:t>спільної</w:t>
      </w:r>
      <w:r w:rsidRPr="00F43628">
        <w:rPr>
          <w:rFonts w:ascii="Times New Roman" w:hAnsi="Times New Roman" w:cs="Times New Roman"/>
          <w:kern w:val="0"/>
          <w:sz w:val="24"/>
          <w:szCs w:val="24"/>
        </w:rPr>
        <w:t xml:space="preserve"> програми, </w:t>
      </w:r>
      <w:r w:rsidR="008E55EA">
        <w:rPr>
          <w:rFonts w:ascii="Times New Roman" w:hAnsi="Times New Roman" w:cs="Times New Roman"/>
          <w:kern w:val="0"/>
          <w:sz w:val="24"/>
          <w:szCs w:val="24"/>
        </w:rPr>
        <w:t xml:space="preserve">на </w:t>
      </w:r>
      <w:r w:rsidRPr="00F43628">
        <w:rPr>
          <w:rFonts w:ascii="Times New Roman" w:hAnsi="Times New Roman" w:cs="Times New Roman"/>
          <w:kern w:val="0"/>
          <w:sz w:val="24"/>
          <w:szCs w:val="24"/>
        </w:rPr>
        <w:t xml:space="preserve">мобільність </w:t>
      </w:r>
      <w:r w:rsidR="008E55EA">
        <w:rPr>
          <w:rFonts w:ascii="Times New Roman" w:hAnsi="Times New Roman" w:cs="Times New Roman"/>
          <w:kern w:val="0"/>
          <w:sz w:val="24"/>
          <w:szCs w:val="24"/>
        </w:rPr>
        <w:t xml:space="preserve">не тільки </w:t>
      </w:r>
      <w:r w:rsidRPr="00F43628">
        <w:rPr>
          <w:rFonts w:ascii="Times New Roman" w:hAnsi="Times New Roman" w:cs="Times New Roman"/>
          <w:kern w:val="0"/>
          <w:sz w:val="24"/>
          <w:szCs w:val="24"/>
        </w:rPr>
        <w:t>студентів</w:t>
      </w:r>
      <w:r w:rsidR="008E55EA">
        <w:rPr>
          <w:rFonts w:ascii="Times New Roman" w:hAnsi="Times New Roman" w:cs="Times New Roman"/>
          <w:kern w:val="0"/>
          <w:sz w:val="24"/>
          <w:szCs w:val="24"/>
        </w:rPr>
        <w:t>, а й</w:t>
      </w:r>
      <w:r w:rsidRPr="00F43628">
        <w:rPr>
          <w:rFonts w:ascii="Times New Roman" w:hAnsi="Times New Roman" w:cs="Times New Roman"/>
          <w:kern w:val="0"/>
          <w:sz w:val="24"/>
          <w:szCs w:val="24"/>
        </w:rPr>
        <w:t xml:space="preserve"> персоналу, короткострокове проживання студентів</w:t>
      </w:r>
      <w:r w:rsidR="008E55EA">
        <w:rPr>
          <w:rFonts w:ascii="Times New Roman" w:hAnsi="Times New Roman" w:cs="Times New Roman"/>
          <w:kern w:val="0"/>
          <w:sz w:val="24"/>
          <w:szCs w:val="24"/>
        </w:rPr>
        <w:t xml:space="preserve"> на час мобільності</w:t>
      </w:r>
      <w:r w:rsidRPr="00F43628">
        <w:rPr>
          <w:rFonts w:ascii="Times New Roman" w:hAnsi="Times New Roman" w:cs="Times New Roman"/>
          <w:kern w:val="0"/>
          <w:sz w:val="24"/>
          <w:szCs w:val="24"/>
        </w:rPr>
        <w:t xml:space="preserve">, адміністрування, </w:t>
      </w:r>
      <w:r w:rsidR="00F57E4D" w:rsidRPr="00F43628">
        <w:rPr>
          <w:rFonts w:ascii="Times New Roman" w:hAnsi="Times New Roman" w:cs="Times New Roman"/>
          <w:kern w:val="0"/>
          <w:sz w:val="24"/>
          <w:szCs w:val="24"/>
        </w:rPr>
        <w:t xml:space="preserve">вартість </w:t>
      </w:r>
      <w:r w:rsidRPr="00F43628">
        <w:rPr>
          <w:rFonts w:ascii="Times New Roman" w:hAnsi="Times New Roman" w:cs="Times New Roman"/>
          <w:kern w:val="0"/>
          <w:sz w:val="24"/>
          <w:szCs w:val="24"/>
        </w:rPr>
        <w:t xml:space="preserve">ІТ для спільного </w:t>
      </w:r>
      <w:r w:rsidR="00F57E4D" w:rsidRPr="00F43628">
        <w:rPr>
          <w:rFonts w:ascii="Times New Roman" w:hAnsi="Times New Roman" w:cs="Times New Roman"/>
          <w:kern w:val="0"/>
          <w:sz w:val="24"/>
          <w:szCs w:val="24"/>
        </w:rPr>
        <w:t xml:space="preserve">адміністрування </w:t>
      </w:r>
      <w:r w:rsidRPr="00F43628">
        <w:rPr>
          <w:rFonts w:ascii="Times New Roman" w:hAnsi="Times New Roman" w:cs="Times New Roman"/>
          <w:kern w:val="0"/>
          <w:sz w:val="24"/>
          <w:szCs w:val="24"/>
        </w:rPr>
        <w:t>студент</w:t>
      </w:r>
      <w:r w:rsidR="00F57E4D" w:rsidRPr="00F43628">
        <w:rPr>
          <w:rFonts w:ascii="Times New Roman" w:hAnsi="Times New Roman" w:cs="Times New Roman"/>
          <w:kern w:val="0"/>
          <w:sz w:val="24"/>
          <w:szCs w:val="24"/>
        </w:rPr>
        <w:t>ів</w:t>
      </w:r>
      <w:r w:rsidRPr="00F43628">
        <w:rPr>
          <w:rFonts w:ascii="Times New Roman" w:hAnsi="Times New Roman" w:cs="Times New Roman"/>
          <w:kern w:val="0"/>
          <w:sz w:val="24"/>
          <w:szCs w:val="24"/>
        </w:rPr>
        <w:t>, а також, можливо, на додаткові заходи, такі як літня</w:t>
      </w:r>
      <w:r w:rsidR="00D362C7">
        <w:rPr>
          <w:rFonts w:ascii="Times New Roman" w:hAnsi="Times New Roman" w:cs="Times New Roman"/>
          <w:kern w:val="0"/>
          <w:sz w:val="24"/>
          <w:szCs w:val="24"/>
        </w:rPr>
        <w:t>/зимова</w:t>
      </w:r>
      <w:r w:rsidRPr="00F43628">
        <w:rPr>
          <w:rFonts w:ascii="Times New Roman" w:hAnsi="Times New Roman" w:cs="Times New Roman"/>
          <w:kern w:val="0"/>
          <w:sz w:val="24"/>
          <w:szCs w:val="24"/>
        </w:rPr>
        <w:t xml:space="preserve"> школа.</w:t>
      </w:r>
    </w:p>
    <w:p w14:paraId="1106845D" w14:textId="3F21EA69" w:rsidR="001C1F18" w:rsidRPr="008C78A2" w:rsidRDefault="00E17C42"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F43628">
        <w:rPr>
          <w:rFonts w:ascii="Times New Roman" w:hAnsi="Times New Roman" w:cs="Times New Roman"/>
          <w:kern w:val="0"/>
          <w:sz w:val="24"/>
          <w:szCs w:val="24"/>
        </w:rPr>
        <w:t xml:space="preserve">Після </w:t>
      </w:r>
      <w:r w:rsidR="001C1F18" w:rsidRPr="00F43628">
        <w:rPr>
          <w:rFonts w:ascii="Times New Roman" w:hAnsi="Times New Roman" w:cs="Times New Roman"/>
          <w:kern w:val="0"/>
          <w:sz w:val="24"/>
          <w:szCs w:val="24"/>
        </w:rPr>
        <w:t>визнач</w:t>
      </w:r>
      <w:r w:rsidRPr="00F43628">
        <w:rPr>
          <w:rFonts w:ascii="Times New Roman" w:hAnsi="Times New Roman" w:cs="Times New Roman"/>
          <w:kern w:val="0"/>
          <w:sz w:val="24"/>
          <w:szCs w:val="24"/>
        </w:rPr>
        <w:t xml:space="preserve">ення </w:t>
      </w:r>
      <w:r w:rsidR="001C1F18" w:rsidRPr="00F43628">
        <w:rPr>
          <w:rFonts w:ascii="Times New Roman" w:hAnsi="Times New Roman" w:cs="Times New Roman"/>
          <w:kern w:val="0"/>
          <w:sz w:val="24"/>
          <w:szCs w:val="24"/>
        </w:rPr>
        <w:t>витрат потрібно разом з партнерами визначити, що вважаєт</w:t>
      </w:r>
      <w:r w:rsidR="00CA3E2B">
        <w:rPr>
          <w:rFonts w:ascii="Times New Roman" w:hAnsi="Times New Roman" w:cs="Times New Roman"/>
          <w:kern w:val="0"/>
          <w:sz w:val="24"/>
          <w:szCs w:val="24"/>
        </w:rPr>
        <w:t>ься</w:t>
      </w:r>
      <w:r w:rsidR="001C1F18" w:rsidRPr="00F43628">
        <w:rPr>
          <w:rFonts w:ascii="Times New Roman" w:hAnsi="Times New Roman" w:cs="Times New Roman"/>
          <w:kern w:val="0"/>
          <w:sz w:val="24"/>
          <w:szCs w:val="24"/>
        </w:rPr>
        <w:t xml:space="preserve"> </w:t>
      </w:r>
      <w:r w:rsidRPr="00F43628">
        <w:rPr>
          <w:rFonts w:ascii="Times New Roman" w:hAnsi="Times New Roman" w:cs="Times New Roman"/>
          <w:kern w:val="0"/>
          <w:sz w:val="24"/>
          <w:szCs w:val="24"/>
        </w:rPr>
        <w:t>«</w:t>
      </w:r>
      <w:r w:rsidR="001C1F18" w:rsidRPr="00F43628">
        <w:rPr>
          <w:rFonts w:ascii="Times New Roman" w:hAnsi="Times New Roman" w:cs="Times New Roman"/>
          <w:kern w:val="0"/>
          <w:sz w:val="24"/>
          <w:szCs w:val="24"/>
        </w:rPr>
        <w:t>доходом</w:t>
      </w:r>
      <w:r w:rsidRPr="00F43628">
        <w:rPr>
          <w:rFonts w:ascii="Times New Roman" w:hAnsi="Times New Roman" w:cs="Times New Roman"/>
          <w:kern w:val="0"/>
          <w:sz w:val="24"/>
          <w:szCs w:val="24"/>
        </w:rPr>
        <w:t>»</w:t>
      </w:r>
      <w:r w:rsidR="001C1F18" w:rsidRPr="00F43628">
        <w:rPr>
          <w:rFonts w:ascii="Times New Roman" w:hAnsi="Times New Roman" w:cs="Times New Roman"/>
          <w:kern w:val="0"/>
          <w:sz w:val="24"/>
          <w:szCs w:val="24"/>
        </w:rPr>
        <w:t xml:space="preserve"> для спільної програми, звідки </w:t>
      </w:r>
      <w:r w:rsidRPr="00F43628">
        <w:rPr>
          <w:rFonts w:ascii="Times New Roman" w:hAnsi="Times New Roman" w:cs="Times New Roman"/>
          <w:kern w:val="0"/>
          <w:sz w:val="24"/>
          <w:szCs w:val="24"/>
        </w:rPr>
        <w:t>буде</w:t>
      </w:r>
      <w:r w:rsidR="001C1F18" w:rsidRPr="00F43628">
        <w:rPr>
          <w:rFonts w:ascii="Times New Roman" w:hAnsi="Times New Roman" w:cs="Times New Roman"/>
          <w:kern w:val="0"/>
          <w:sz w:val="24"/>
          <w:szCs w:val="24"/>
        </w:rPr>
        <w:t xml:space="preserve"> отримувати</w:t>
      </w:r>
      <w:r w:rsidR="00CA3E2B">
        <w:rPr>
          <w:rFonts w:ascii="Times New Roman" w:hAnsi="Times New Roman" w:cs="Times New Roman"/>
          <w:kern w:val="0"/>
          <w:sz w:val="24"/>
          <w:szCs w:val="24"/>
        </w:rPr>
        <w:t>ся</w:t>
      </w:r>
      <w:r w:rsidR="001C1F18" w:rsidRPr="00F43628">
        <w:rPr>
          <w:rFonts w:ascii="Times New Roman" w:hAnsi="Times New Roman" w:cs="Times New Roman"/>
          <w:kern w:val="0"/>
          <w:sz w:val="24"/>
          <w:szCs w:val="24"/>
        </w:rPr>
        <w:t xml:space="preserve"> дохід і який очікуваний рівень доходу. Джерела </w:t>
      </w:r>
      <w:r w:rsidR="001C1F18" w:rsidRPr="008C78A2">
        <w:rPr>
          <w:rFonts w:ascii="Times New Roman" w:hAnsi="Times New Roman" w:cs="Times New Roman"/>
          <w:kern w:val="0"/>
          <w:sz w:val="24"/>
          <w:szCs w:val="24"/>
        </w:rPr>
        <w:t xml:space="preserve">доходу можуть включати плату за навчання, </w:t>
      </w:r>
      <w:r w:rsidR="00E875DF" w:rsidRPr="008C78A2">
        <w:rPr>
          <w:rFonts w:ascii="Times New Roman" w:hAnsi="Times New Roman" w:cs="Times New Roman"/>
          <w:kern w:val="0"/>
          <w:sz w:val="24"/>
          <w:szCs w:val="24"/>
        </w:rPr>
        <w:t>фінансування</w:t>
      </w:r>
      <w:r w:rsidRPr="008C78A2">
        <w:rPr>
          <w:rFonts w:ascii="Times New Roman" w:hAnsi="Times New Roman" w:cs="Times New Roman"/>
          <w:kern w:val="0"/>
          <w:sz w:val="24"/>
          <w:szCs w:val="24"/>
        </w:rPr>
        <w:t xml:space="preserve"> </w:t>
      </w:r>
      <w:r w:rsidR="00E875DF" w:rsidRPr="008C78A2">
        <w:rPr>
          <w:rFonts w:ascii="Times New Roman" w:hAnsi="Times New Roman" w:cs="Times New Roman"/>
          <w:kern w:val="0"/>
          <w:sz w:val="24"/>
          <w:szCs w:val="24"/>
        </w:rPr>
        <w:t xml:space="preserve">для </w:t>
      </w:r>
      <w:r w:rsidRPr="008C78A2">
        <w:rPr>
          <w:rFonts w:ascii="Times New Roman" w:hAnsi="Times New Roman" w:cs="Times New Roman"/>
          <w:kern w:val="0"/>
          <w:sz w:val="24"/>
          <w:szCs w:val="24"/>
        </w:rPr>
        <w:t>розроб</w:t>
      </w:r>
      <w:r w:rsidR="00E875DF" w:rsidRPr="008C78A2">
        <w:rPr>
          <w:rFonts w:ascii="Times New Roman" w:hAnsi="Times New Roman" w:cs="Times New Roman"/>
          <w:kern w:val="0"/>
          <w:sz w:val="24"/>
          <w:szCs w:val="24"/>
        </w:rPr>
        <w:t>лення</w:t>
      </w:r>
      <w:r w:rsidRPr="008C78A2">
        <w:rPr>
          <w:rFonts w:ascii="Times New Roman" w:hAnsi="Times New Roman" w:cs="Times New Roman"/>
          <w:kern w:val="0"/>
          <w:sz w:val="24"/>
          <w:szCs w:val="24"/>
        </w:rPr>
        <w:t xml:space="preserve"> </w:t>
      </w:r>
      <w:r w:rsidR="001C1F18" w:rsidRPr="008C78A2">
        <w:rPr>
          <w:rFonts w:ascii="Times New Roman" w:hAnsi="Times New Roman" w:cs="Times New Roman"/>
          <w:kern w:val="0"/>
          <w:sz w:val="24"/>
          <w:szCs w:val="24"/>
        </w:rPr>
        <w:t>спільн</w:t>
      </w:r>
      <w:r w:rsidRPr="008C78A2">
        <w:rPr>
          <w:rFonts w:ascii="Times New Roman" w:hAnsi="Times New Roman" w:cs="Times New Roman"/>
          <w:kern w:val="0"/>
          <w:sz w:val="24"/>
          <w:szCs w:val="24"/>
        </w:rPr>
        <w:t>ої</w:t>
      </w:r>
      <w:r w:rsidR="001C1F18" w:rsidRPr="008C78A2">
        <w:rPr>
          <w:rFonts w:ascii="Times New Roman" w:hAnsi="Times New Roman" w:cs="Times New Roman"/>
          <w:kern w:val="0"/>
          <w:sz w:val="24"/>
          <w:szCs w:val="24"/>
        </w:rPr>
        <w:t xml:space="preserve"> програми</w:t>
      </w:r>
      <w:r w:rsidRPr="008C78A2">
        <w:rPr>
          <w:rFonts w:ascii="Times New Roman" w:hAnsi="Times New Roman" w:cs="Times New Roman"/>
          <w:kern w:val="0"/>
          <w:sz w:val="24"/>
          <w:szCs w:val="24"/>
        </w:rPr>
        <w:t xml:space="preserve"> </w:t>
      </w:r>
      <w:r w:rsidR="001C1F18" w:rsidRPr="008C78A2">
        <w:rPr>
          <w:rFonts w:ascii="Times New Roman" w:hAnsi="Times New Roman" w:cs="Times New Roman"/>
          <w:kern w:val="0"/>
          <w:sz w:val="24"/>
          <w:szCs w:val="24"/>
        </w:rPr>
        <w:t>(</w:t>
      </w:r>
      <w:r w:rsidRPr="008C78A2">
        <w:rPr>
          <w:rFonts w:ascii="Times New Roman" w:hAnsi="Times New Roman" w:cs="Times New Roman"/>
          <w:kern w:val="0"/>
          <w:sz w:val="24"/>
          <w:szCs w:val="24"/>
        </w:rPr>
        <w:t>отриман</w:t>
      </w:r>
      <w:r w:rsidR="00E875DF" w:rsidRPr="008C78A2">
        <w:rPr>
          <w:rFonts w:ascii="Times New Roman" w:hAnsi="Times New Roman" w:cs="Times New Roman"/>
          <w:kern w:val="0"/>
          <w:sz w:val="24"/>
          <w:szCs w:val="24"/>
        </w:rPr>
        <w:t>е</w:t>
      </w:r>
      <w:r w:rsidRPr="008C78A2">
        <w:rPr>
          <w:rFonts w:ascii="Times New Roman" w:hAnsi="Times New Roman" w:cs="Times New Roman"/>
          <w:kern w:val="0"/>
          <w:sz w:val="24"/>
          <w:szCs w:val="24"/>
        </w:rPr>
        <w:t xml:space="preserve"> від </w:t>
      </w:r>
      <w:r w:rsidR="00E875DF" w:rsidRPr="008C78A2">
        <w:rPr>
          <w:rFonts w:ascii="Times New Roman" w:hAnsi="Times New Roman" w:cs="Times New Roman"/>
          <w:kern w:val="0"/>
          <w:sz w:val="24"/>
          <w:szCs w:val="24"/>
        </w:rPr>
        <w:t xml:space="preserve">закладу, </w:t>
      </w:r>
      <w:r w:rsidR="001C1F18" w:rsidRPr="008C78A2">
        <w:rPr>
          <w:rFonts w:ascii="Times New Roman" w:hAnsi="Times New Roman" w:cs="Times New Roman"/>
          <w:kern w:val="0"/>
          <w:sz w:val="24"/>
          <w:szCs w:val="24"/>
        </w:rPr>
        <w:t>уряду</w:t>
      </w:r>
      <w:r w:rsidR="00E875DF" w:rsidRPr="008C78A2">
        <w:rPr>
          <w:rFonts w:ascii="Times New Roman" w:hAnsi="Times New Roman" w:cs="Times New Roman"/>
          <w:kern w:val="0"/>
          <w:sz w:val="24"/>
          <w:szCs w:val="24"/>
        </w:rPr>
        <w:t>, грантової програми</w:t>
      </w:r>
      <w:r w:rsidR="0092257F" w:rsidRPr="008C78A2">
        <w:rPr>
          <w:rFonts w:ascii="Times New Roman" w:hAnsi="Times New Roman" w:cs="Times New Roman"/>
          <w:kern w:val="0"/>
          <w:sz w:val="24"/>
          <w:szCs w:val="24"/>
        </w:rPr>
        <w:t xml:space="preserve"> тощо</w:t>
      </w:r>
      <w:r w:rsidR="001C1F18" w:rsidRPr="008C78A2">
        <w:rPr>
          <w:rFonts w:ascii="Times New Roman" w:hAnsi="Times New Roman" w:cs="Times New Roman"/>
          <w:kern w:val="0"/>
          <w:sz w:val="24"/>
          <w:szCs w:val="24"/>
        </w:rPr>
        <w:t>).</w:t>
      </w:r>
      <w:r w:rsidR="00CA3F5E" w:rsidRPr="008C78A2">
        <w:rPr>
          <w:rFonts w:ascii="Times New Roman" w:hAnsi="Times New Roman" w:cs="Times New Roman"/>
          <w:kern w:val="0"/>
          <w:sz w:val="24"/>
          <w:szCs w:val="24"/>
        </w:rPr>
        <w:t xml:space="preserve"> </w:t>
      </w:r>
      <w:r w:rsidR="001C1F18" w:rsidRPr="008C78A2">
        <w:rPr>
          <w:rFonts w:ascii="Times New Roman" w:hAnsi="Times New Roman" w:cs="Times New Roman"/>
          <w:kern w:val="0"/>
          <w:sz w:val="24"/>
          <w:szCs w:val="24"/>
        </w:rPr>
        <w:t xml:space="preserve">Бажано, щоб витрати і доходи були </w:t>
      </w:r>
      <w:r w:rsidR="00CA3F5E" w:rsidRPr="008C78A2">
        <w:rPr>
          <w:rFonts w:ascii="Times New Roman" w:hAnsi="Times New Roman" w:cs="Times New Roman"/>
          <w:kern w:val="0"/>
          <w:sz w:val="24"/>
          <w:szCs w:val="24"/>
        </w:rPr>
        <w:t>збалансовано</w:t>
      </w:r>
      <w:r w:rsidR="001C1F18" w:rsidRPr="008C78A2">
        <w:rPr>
          <w:rFonts w:ascii="Times New Roman" w:hAnsi="Times New Roman" w:cs="Times New Roman"/>
          <w:kern w:val="0"/>
          <w:sz w:val="24"/>
          <w:szCs w:val="24"/>
        </w:rPr>
        <w:t xml:space="preserve"> розподілені між партнерами консорціуму.</w:t>
      </w:r>
    </w:p>
    <w:p w14:paraId="5ED98E21" w14:textId="003CF524" w:rsidR="001C1F18" w:rsidRPr="008C78A2" w:rsidRDefault="001C1F18" w:rsidP="008C78A2">
      <w:pPr>
        <w:pStyle w:val="2"/>
        <w:spacing w:before="100" w:beforeAutospacing="1" w:after="100" w:afterAutospacing="1" w:line="240" w:lineRule="auto"/>
        <w:rPr>
          <w:rFonts w:ascii="Times New Roman" w:hAnsi="Times New Roman" w:cs="Times New Roman"/>
          <w:b/>
          <w:bCs/>
          <w:kern w:val="0"/>
          <w:sz w:val="24"/>
          <w:szCs w:val="24"/>
        </w:rPr>
      </w:pPr>
      <w:bookmarkStart w:id="29" w:name="_Toc188337441"/>
      <w:r w:rsidRPr="008C78A2">
        <w:rPr>
          <w:rFonts w:ascii="Times New Roman" w:hAnsi="Times New Roman" w:cs="Times New Roman"/>
          <w:b/>
          <w:bCs/>
          <w:sz w:val="24"/>
          <w:szCs w:val="24"/>
        </w:rPr>
        <w:t>10.</w:t>
      </w:r>
      <w:r w:rsidR="00CA3F5E" w:rsidRPr="008C78A2">
        <w:rPr>
          <w:rFonts w:ascii="Times New Roman" w:hAnsi="Times New Roman" w:cs="Times New Roman"/>
          <w:b/>
          <w:bCs/>
          <w:sz w:val="24"/>
          <w:szCs w:val="24"/>
        </w:rPr>
        <w:t>3</w:t>
      </w:r>
      <w:r w:rsidRPr="008C78A2">
        <w:rPr>
          <w:rFonts w:ascii="Times New Roman" w:hAnsi="Times New Roman" w:cs="Times New Roman"/>
          <w:b/>
          <w:bCs/>
          <w:sz w:val="24"/>
          <w:szCs w:val="24"/>
        </w:rPr>
        <w:t>.</w:t>
      </w:r>
      <w:r w:rsidR="00FC4D59" w:rsidRPr="008C78A2">
        <w:rPr>
          <w:rFonts w:ascii="Times New Roman" w:hAnsi="Times New Roman" w:cs="Times New Roman"/>
          <w:b/>
          <w:bCs/>
          <w:sz w:val="24"/>
          <w:szCs w:val="24"/>
        </w:rPr>
        <w:t xml:space="preserve"> </w:t>
      </w:r>
      <w:r w:rsidRPr="008C78A2">
        <w:rPr>
          <w:rFonts w:ascii="Times New Roman" w:hAnsi="Times New Roman" w:cs="Times New Roman"/>
          <w:b/>
          <w:bCs/>
          <w:sz w:val="24"/>
          <w:szCs w:val="24"/>
        </w:rPr>
        <w:t>Плата за навчання</w:t>
      </w:r>
      <w:bookmarkEnd w:id="29"/>
    </w:p>
    <w:p w14:paraId="5B2E63A0" w14:textId="3F0501A0" w:rsidR="001C1F18" w:rsidRPr="008C78A2" w:rsidRDefault="001C1F18"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C78A2">
        <w:rPr>
          <w:rFonts w:ascii="Times New Roman" w:hAnsi="Times New Roman" w:cs="Times New Roman"/>
          <w:kern w:val="0"/>
          <w:sz w:val="24"/>
          <w:szCs w:val="24"/>
        </w:rPr>
        <w:t xml:space="preserve">У деяких випадках додаткові інвестиції, необхідні для реалізації спільних програм, можна залучити за рахунок підвищення плати за навчання. Досягти згоди з </w:t>
      </w:r>
      <w:r w:rsidR="001B5DFA" w:rsidRPr="008C78A2">
        <w:rPr>
          <w:rFonts w:ascii="Times New Roman" w:hAnsi="Times New Roman" w:cs="Times New Roman"/>
          <w:kern w:val="0"/>
          <w:sz w:val="24"/>
          <w:szCs w:val="24"/>
        </w:rPr>
        <w:t>закладами</w:t>
      </w:r>
      <w:r w:rsidRPr="008C78A2">
        <w:rPr>
          <w:rFonts w:ascii="Times New Roman" w:hAnsi="Times New Roman" w:cs="Times New Roman"/>
          <w:kern w:val="0"/>
          <w:sz w:val="24"/>
          <w:szCs w:val="24"/>
        </w:rPr>
        <w:t>-партнерами щодо плати за навчання може бути складно через різну національну та/або інституційну політику щодо плати за навчання.</w:t>
      </w:r>
      <w:r w:rsidR="00FC4D59" w:rsidRPr="008C78A2">
        <w:rPr>
          <w:rFonts w:ascii="Times New Roman" w:hAnsi="Times New Roman" w:cs="Times New Roman"/>
          <w:kern w:val="0"/>
          <w:sz w:val="24"/>
          <w:szCs w:val="24"/>
        </w:rPr>
        <w:t xml:space="preserve"> </w:t>
      </w:r>
      <w:r w:rsidRPr="008C78A2">
        <w:rPr>
          <w:rFonts w:ascii="Times New Roman" w:hAnsi="Times New Roman" w:cs="Times New Roman"/>
          <w:kern w:val="0"/>
          <w:sz w:val="24"/>
          <w:szCs w:val="24"/>
        </w:rPr>
        <w:t xml:space="preserve">Схеми фінансування ЄС для спільних програм вимагають спільної політики щодо плати за навчання, що створює додаткові труднощі в існуючій правовій ситуації. </w:t>
      </w:r>
      <w:r w:rsidR="008C78A2" w:rsidRPr="008C78A2">
        <w:rPr>
          <w:rFonts w:ascii="Times New Roman" w:hAnsi="Times New Roman" w:cs="Times New Roman"/>
          <w:kern w:val="0"/>
          <w:sz w:val="24"/>
          <w:szCs w:val="24"/>
        </w:rPr>
        <w:t>Р</w:t>
      </w:r>
      <w:r w:rsidR="001B5DFA" w:rsidRPr="008C78A2">
        <w:rPr>
          <w:rFonts w:ascii="Times New Roman" w:hAnsi="Times New Roman" w:cs="Times New Roman"/>
          <w:kern w:val="0"/>
          <w:sz w:val="24"/>
          <w:szCs w:val="24"/>
        </w:rPr>
        <w:t>екомендації щодо плати за навчання:</w:t>
      </w:r>
    </w:p>
    <w:p w14:paraId="233ECDB4" w14:textId="04F275C4" w:rsidR="001C1F18" w:rsidRPr="008C78A2" w:rsidRDefault="008C78A2" w:rsidP="008C78A2">
      <w:pPr>
        <w:numPr>
          <w:ilvl w:val="0"/>
          <w:numId w:val="64"/>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8C78A2">
        <w:rPr>
          <w:rFonts w:ascii="Times New Roman" w:hAnsi="Times New Roman" w:cs="Times New Roman"/>
          <w:kern w:val="0"/>
          <w:sz w:val="24"/>
          <w:szCs w:val="24"/>
        </w:rPr>
        <w:t>консорціум має спільну політику щодо плати за навчання;</w:t>
      </w:r>
    </w:p>
    <w:p w14:paraId="3B66499C" w14:textId="1009CCFC" w:rsidR="001C1F18" w:rsidRPr="008C78A2" w:rsidRDefault="008C78A2" w:rsidP="008C78A2">
      <w:pPr>
        <w:numPr>
          <w:ilvl w:val="0"/>
          <w:numId w:val="64"/>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8C78A2">
        <w:rPr>
          <w:rFonts w:ascii="Times New Roman" w:hAnsi="Times New Roman" w:cs="Times New Roman"/>
          <w:kern w:val="0"/>
          <w:sz w:val="24"/>
          <w:szCs w:val="24"/>
        </w:rPr>
        <w:t>опублікован</w:t>
      </w:r>
      <w:r>
        <w:rPr>
          <w:rFonts w:ascii="Times New Roman" w:hAnsi="Times New Roman" w:cs="Times New Roman"/>
          <w:kern w:val="0"/>
          <w:sz w:val="24"/>
          <w:szCs w:val="24"/>
        </w:rPr>
        <w:t xml:space="preserve">ий розмір </w:t>
      </w:r>
      <w:r w:rsidRPr="008C78A2">
        <w:rPr>
          <w:rFonts w:ascii="Times New Roman" w:hAnsi="Times New Roman" w:cs="Times New Roman"/>
          <w:kern w:val="0"/>
          <w:sz w:val="24"/>
          <w:szCs w:val="24"/>
        </w:rPr>
        <w:t>плат</w:t>
      </w:r>
      <w:r>
        <w:rPr>
          <w:rFonts w:ascii="Times New Roman" w:hAnsi="Times New Roman" w:cs="Times New Roman"/>
          <w:kern w:val="0"/>
          <w:sz w:val="24"/>
          <w:szCs w:val="24"/>
        </w:rPr>
        <w:t>и за навчання</w:t>
      </w:r>
      <w:r w:rsidRPr="008C78A2">
        <w:rPr>
          <w:rFonts w:ascii="Times New Roman" w:hAnsi="Times New Roman" w:cs="Times New Roman"/>
          <w:kern w:val="0"/>
          <w:sz w:val="24"/>
          <w:szCs w:val="24"/>
        </w:rPr>
        <w:t xml:space="preserve"> враховує </w:t>
      </w:r>
      <w:r>
        <w:rPr>
          <w:rFonts w:ascii="Times New Roman" w:hAnsi="Times New Roman" w:cs="Times New Roman"/>
          <w:kern w:val="0"/>
          <w:sz w:val="24"/>
          <w:szCs w:val="24"/>
        </w:rPr>
        <w:t>усі</w:t>
      </w:r>
      <w:r w:rsidRPr="008C78A2">
        <w:rPr>
          <w:rFonts w:ascii="Times New Roman" w:hAnsi="Times New Roman" w:cs="Times New Roman"/>
          <w:kern w:val="0"/>
          <w:sz w:val="24"/>
          <w:szCs w:val="24"/>
        </w:rPr>
        <w:t xml:space="preserve"> додатков</w:t>
      </w:r>
      <w:r>
        <w:rPr>
          <w:rFonts w:ascii="Times New Roman" w:hAnsi="Times New Roman" w:cs="Times New Roman"/>
          <w:kern w:val="0"/>
          <w:sz w:val="24"/>
          <w:szCs w:val="24"/>
        </w:rPr>
        <w:t>і</w:t>
      </w:r>
      <w:r w:rsidRPr="008C78A2">
        <w:rPr>
          <w:rFonts w:ascii="Times New Roman" w:hAnsi="Times New Roman" w:cs="Times New Roman"/>
          <w:kern w:val="0"/>
          <w:sz w:val="24"/>
          <w:szCs w:val="24"/>
        </w:rPr>
        <w:t xml:space="preserve"> </w:t>
      </w:r>
      <w:r>
        <w:rPr>
          <w:rFonts w:ascii="Times New Roman" w:hAnsi="Times New Roman" w:cs="Times New Roman"/>
          <w:kern w:val="0"/>
          <w:sz w:val="24"/>
          <w:szCs w:val="24"/>
        </w:rPr>
        <w:t>витрати</w:t>
      </w:r>
      <w:r w:rsidRPr="008C78A2">
        <w:rPr>
          <w:rFonts w:ascii="Times New Roman" w:hAnsi="Times New Roman" w:cs="Times New Roman"/>
          <w:kern w:val="0"/>
          <w:sz w:val="24"/>
          <w:szCs w:val="24"/>
        </w:rPr>
        <w:t>;</w:t>
      </w:r>
    </w:p>
    <w:p w14:paraId="5E22A9A1" w14:textId="5177EAEE" w:rsidR="001C1F18" w:rsidRPr="008C78A2" w:rsidRDefault="008C78A2" w:rsidP="008C78A2">
      <w:pPr>
        <w:numPr>
          <w:ilvl w:val="0"/>
          <w:numId w:val="64"/>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8C78A2">
        <w:rPr>
          <w:rFonts w:ascii="Times New Roman" w:hAnsi="Times New Roman" w:cs="Times New Roman"/>
          <w:kern w:val="0"/>
          <w:sz w:val="24"/>
          <w:szCs w:val="24"/>
        </w:rPr>
        <w:t xml:space="preserve">звільнення </w:t>
      </w:r>
      <w:r w:rsidR="001C1F18" w:rsidRPr="008C78A2">
        <w:rPr>
          <w:rFonts w:ascii="Times New Roman" w:hAnsi="Times New Roman" w:cs="Times New Roman"/>
          <w:kern w:val="0"/>
          <w:sz w:val="24"/>
          <w:szCs w:val="24"/>
        </w:rPr>
        <w:t>від плати за навчання закладається в бюджет і визначається до початку прийому заявок.</w:t>
      </w:r>
    </w:p>
    <w:p w14:paraId="1B824F24" w14:textId="7526B13C" w:rsidR="001C1F18" w:rsidRPr="008C78A2" w:rsidRDefault="001C1F18"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C78A2">
        <w:rPr>
          <w:rFonts w:ascii="Times New Roman" w:hAnsi="Times New Roman" w:cs="Times New Roman"/>
          <w:kern w:val="0"/>
          <w:sz w:val="24"/>
          <w:szCs w:val="24"/>
        </w:rPr>
        <w:t>Різні можливості стягнення плати за навчання</w:t>
      </w:r>
      <w:r w:rsidRPr="008C78A2">
        <w:rPr>
          <w:rFonts w:ascii="Times New Roman" w:hAnsi="Times New Roman" w:cs="Times New Roman"/>
          <w:color w:val="000000"/>
          <w:kern w:val="0"/>
          <w:sz w:val="24"/>
          <w:szCs w:val="24"/>
        </w:rPr>
        <w:t xml:space="preserve"> включають</w:t>
      </w:r>
      <w:r w:rsidR="008C78A2">
        <w:rPr>
          <w:rFonts w:ascii="Times New Roman" w:hAnsi="Times New Roman" w:cs="Times New Roman"/>
          <w:color w:val="000000"/>
          <w:kern w:val="0"/>
          <w:sz w:val="24"/>
          <w:szCs w:val="24"/>
        </w:rPr>
        <w:t>:</w:t>
      </w:r>
      <w:r w:rsidRPr="008C78A2">
        <w:rPr>
          <w:rFonts w:ascii="Times New Roman" w:hAnsi="Times New Roman" w:cs="Times New Roman"/>
          <w:color w:val="000000"/>
          <w:kern w:val="0"/>
          <w:sz w:val="24"/>
          <w:szCs w:val="24"/>
        </w:rPr>
        <w:t xml:space="preserve"> </w:t>
      </w:r>
      <w:r w:rsidR="001B5DFA" w:rsidRPr="008C78A2">
        <w:rPr>
          <w:rFonts w:ascii="Times New Roman" w:hAnsi="Times New Roman" w:cs="Times New Roman"/>
          <w:color w:val="000000"/>
          <w:kern w:val="0"/>
          <w:sz w:val="24"/>
          <w:szCs w:val="24"/>
        </w:rPr>
        <w:t xml:space="preserve">(i) стягнення </w:t>
      </w:r>
      <w:r w:rsidR="00F704C4" w:rsidRPr="008C78A2">
        <w:rPr>
          <w:rFonts w:ascii="Times New Roman" w:hAnsi="Times New Roman" w:cs="Times New Roman"/>
          <w:color w:val="000000"/>
          <w:kern w:val="0"/>
          <w:sz w:val="24"/>
          <w:szCs w:val="24"/>
        </w:rPr>
        <w:t xml:space="preserve">консорціумом </w:t>
      </w:r>
      <w:r w:rsidR="001B5DFA" w:rsidRPr="008C78A2">
        <w:rPr>
          <w:rFonts w:ascii="Times New Roman" w:hAnsi="Times New Roman" w:cs="Times New Roman"/>
          <w:color w:val="000000"/>
          <w:kern w:val="0"/>
          <w:sz w:val="24"/>
          <w:szCs w:val="24"/>
        </w:rPr>
        <w:t xml:space="preserve">єдиного збору, (ii) встановлення плати залежно від місця навчання, (iii) визначення плати залежно від базового закладу </w:t>
      </w:r>
      <w:r w:rsidR="008C78A2">
        <w:rPr>
          <w:rFonts w:ascii="Times New Roman" w:hAnsi="Times New Roman" w:cs="Times New Roman"/>
          <w:color w:val="000000"/>
          <w:kern w:val="0"/>
          <w:sz w:val="24"/>
          <w:szCs w:val="24"/>
        </w:rPr>
        <w:t xml:space="preserve">вищої </w:t>
      </w:r>
      <w:r w:rsidR="001B5DFA" w:rsidRPr="008C78A2">
        <w:rPr>
          <w:rFonts w:ascii="Times New Roman" w:hAnsi="Times New Roman" w:cs="Times New Roman"/>
          <w:color w:val="000000"/>
          <w:kern w:val="0"/>
          <w:sz w:val="24"/>
          <w:szCs w:val="24"/>
        </w:rPr>
        <w:t>освіти.</w:t>
      </w:r>
    </w:p>
    <w:p w14:paraId="6376E3C0" w14:textId="276B0009" w:rsidR="001C1F18" w:rsidRPr="008C78A2" w:rsidRDefault="001C1F18"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C78A2">
        <w:rPr>
          <w:rFonts w:ascii="Times New Roman" w:hAnsi="Times New Roman" w:cs="Times New Roman"/>
          <w:kern w:val="0"/>
          <w:sz w:val="24"/>
          <w:szCs w:val="24"/>
        </w:rPr>
        <w:lastRenderedPageBreak/>
        <w:t xml:space="preserve">Заклади можуть збирати плату за навчання різними способами. Один із них полягає в тому, що плата за навчання сплачується </w:t>
      </w:r>
      <w:r w:rsidR="00F704C4" w:rsidRPr="008C78A2">
        <w:rPr>
          <w:rFonts w:ascii="Times New Roman" w:hAnsi="Times New Roman" w:cs="Times New Roman"/>
          <w:kern w:val="0"/>
          <w:sz w:val="24"/>
          <w:szCs w:val="24"/>
        </w:rPr>
        <w:t>закладу-</w:t>
      </w:r>
      <w:r w:rsidRPr="008C78A2">
        <w:rPr>
          <w:rFonts w:ascii="Times New Roman" w:hAnsi="Times New Roman" w:cs="Times New Roman"/>
          <w:kern w:val="0"/>
          <w:sz w:val="24"/>
          <w:szCs w:val="24"/>
        </w:rPr>
        <w:t>координ</w:t>
      </w:r>
      <w:r w:rsidR="00F704C4" w:rsidRPr="008C78A2">
        <w:rPr>
          <w:rFonts w:ascii="Times New Roman" w:hAnsi="Times New Roman" w:cs="Times New Roman"/>
          <w:kern w:val="0"/>
          <w:sz w:val="24"/>
          <w:szCs w:val="24"/>
        </w:rPr>
        <w:t>атору</w:t>
      </w:r>
      <w:r w:rsidRPr="008C78A2">
        <w:rPr>
          <w:rFonts w:ascii="Times New Roman" w:hAnsi="Times New Roman" w:cs="Times New Roman"/>
          <w:kern w:val="0"/>
          <w:sz w:val="24"/>
          <w:szCs w:val="24"/>
        </w:rPr>
        <w:t>, як</w:t>
      </w:r>
      <w:r w:rsidR="00050A06">
        <w:rPr>
          <w:rFonts w:ascii="Times New Roman" w:hAnsi="Times New Roman" w:cs="Times New Roman"/>
          <w:kern w:val="0"/>
          <w:sz w:val="24"/>
          <w:szCs w:val="24"/>
        </w:rPr>
        <w:t>ий</w:t>
      </w:r>
      <w:r w:rsidRPr="008C78A2">
        <w:rPr>
          <w:rFonts w:ascii="Times New Roman" w:hAnsi="Times New Roman" w:cs="Times New Roman"/>
          <w:kern w:val="0"/>
          <w:sz w:val="24"/>
          <w:szCs w:val="24"/>
        </w:rPr>
        <w:t xml:space="preserve"> потім розподіляє доходи від </w:t>
      </w:r>
      <w:r w:rsidR="00050A06">
        <w:rPr>
          <w:rFonts w:ascii="Times New Roman" w:hAnsi="Times New Roman" w:cs="Times New Roman"/>
          <w:kern w:val="0"/>
          <w:sz w:val="24"/>
          <w:szCs w:val="24"/>
        </w:rPr>
        <w:t xml:space="preserve">плати за </w:t>
      </w:r>
      <w:r w:rsidRPr="008C78A2">
        <w:rPr>
          <w:rFonts w:ascii="Times New Roman" w:hAnsi="Times New Roman" w:cs="Times New Roman"/>
          <w:kern w:val="0"/>
          <w:sz w:val="24"/>
          <w:szCs w:val="24"/>
        </w:rPr>
        <w:t xml:space="preserve">навчання між </w:t>
      </w:r>
      <w:r w:rsidR="00F704C4" w:rsidRPr="008C78A2">
        <w:rPr>
          <w:rFonts w:ascii="Times New Roman" w:hAnsi="Times New Roman" w:cs="Times New Roman"/>
          <w:kern w:val="0"/>
          <w:sz w:val="24"/>
          <w:szCs w:val="24"/>
        </w:rPr>
        <w:t>закладами</w:t>
      </w:r>
      <w:r w:rsidRPr="008C78A2">
        <w:rPr>
          <w:rFonts w:ascii="Times New Roman" w:hAnsi="Times New Roman" w:cs="Times New Roman"/>
          <w:kern w:val="0"/>
          <w:sz w:val="24"/>
          <w:szCs w:val="24"/>
        </w:rPr>
        <w:t xml:space="preserve">-партнерами. Однак </w:t>
      </w:r>
      <w:r w:rsidR="00050A06">
        <w:rPr>
          <w:rFonts w:ascii="Times New Roman" w:hAnsi="Times New Roman" w:cs="Times New Roman"/>
          <w:kern w:val="0"/>
          <w:sz w:val="24"/>
          <w:szCs w:val="24"/>
        </w:rPr>
        <w:t>таке</w:t>
      </w:r>
      <w:r w:rsidRPr="008C78A2">
        <w:rPr>
          <w:rFonts w:ascii="Times New Roman" w:hAnsi="Times New Roman" w:cs="Times New Roman"/>
          <w:kern w:val="0"/>
          <w:sz w:val="24"/>
          <w:szCs w:val="24"/>
        </w:rPr>
        <w:t xml:space="preserve"> дозволено законо</w:t>
      </w:r>
      <w:r w:rsidR="00050A06">
        <w:rPr>
          <w:rFonts w:ascii="Times New Roman" w:hAnsi="Times New Roman" w:cs="Times New Roman"/>
          <w:kern w:val="0"/>
          <w:sz w:val="24"/>
          <w:szCs w:val="24"/>
        </w:rPr>
        <w:t>давством</w:t>
      </w:r>
      <w:r w:rsidRPr="008C78A2">
        <w:rPr>
          <w:rFonts w:ascii="Times New Roman" w:hAnsi="Times New Roman" w:cs="Times New Roman"/>
          <w:kern w:val="0"/>
          <w:sz w:val="24"/>
          <w:szCs w:val="24"/>
        </w:rPr>
        <w:t xml:space="preserve"> не в усіх країнах. Деякі заклади застосовують різні підходи, залежно від рівня</w:t>
      </w:r>
      <w:r w:rsidR="00050A06">
        <w:rPr>
          <w:rFonts w:ascii="Times New Roman" w:hAnsi="Times New Roman" w:cs="Times New Roman"/>
          <w:kern w:val="0"/>
          <w:sz w:val="24"/>
          <w:szCs w:val="24"/>
        </w:rPr>
        <w:t xml:space="preserve"> вищої освіти</w:t>
      </w:r>
      <w:r w:rsidRPr="008C78A2">
        <w:rPr>
          <w:rFonts w:ascii="Times New Roman" w:hAnsi="Times New Roman" w:cs="Times New Roman"/>
          <w:kern w:val="0"/>
          <w:sz w:val="24"/>
          <w:szCs w:val="24"/>
        </w:rPr>
        <w:t xml:space="preserve">: на </w:t>
      </w:r>
      <w:r w:rsidR="00050A06">
        <w:rPr>
          <w:rFonts w:ascii="Times New Roman" w:hAnsi="Times New Roman" w:cs="Times New Roman"/>
          <w:kern w:val="0"/>
          <w:sz w:val="24"/>
          <w:szCs w:val="24"/>
        </w:rPr>
        <w:t>магістерському</w:t>
      </w:r>
      <w:r w:rsidRPr="008C78A2">
        <w:rPr>
          <w:rFonts w:ascii="Times New Roman" w:hAnsi="Times New Roman" w:cs="Times New Roman"/>
          <w:kern w:val="0"/>
          <w:sz w:val="24"/>
          <w:szCs w:val="24"/>
        </w:rPr>
        <w:t xml:space="preserve"> рівні студенти платять </w:t>
      </w:r>
      <w:r w:rsidR="00F704C4" w:rsidRPr="008C78A2">
        <w:rPr>
          <w:rFonts w:ascii="Times New Roman" w:hAnsi="Times New Roman" w:cs="Times New Roman"/>
          <w:kern w:val="0"/>
          <w:sz w:val="24"/>
          <w:szCs w:val="24"/>
        </w:rPr>
        <w:t xml:space="preserve">окремо </w:t>
      </w:r>
      <w:r w:rsidRPr="008C78A2">
        <w:rPr>
          <w:rFonts w:ascii="Times New Roman" w:hAnsi="Times New Roman" w:cs="Times New Roman"/>
          <w:kern w:val="0"/>
          <w:sz w:val="24"/>
          <w:szCs w:val="24"/>
        </w:rPr>
        <w:t xml:space="preserve">у кожному закладі, тоді як на бакалаврському рівні студенти платять лише </w:t>
      </w:r>
      <w:r w:rsidR="00050A06">
        <w:rPr>
          <w:rFonts w:ascii="Times New Roman" w:hAnsi="Times New Roman" w:cs="Times New Roman"/>
          <w:kern w:val="0"/>
          <w:sz w:val="24"/>
          <w:szCs w:val="24"/>
        </w:rPr>
        <w:t>«домашньому»</w:t>
      </w:r>
      <w:r w:rsidRPr="008C78A2">
        <w:rPr>
          <w:rFonts w:ascii="Times New Roman" w:hAnsi="Times New Roman" w:cs="Times New Roman"/>
          <w:kern w:val="0"/>
          <w:sz w:val="24"/>
          <w:szCs w:val="24"/>
        </w:rPr>
        <w:t xml:space="preserve"> закладу</w:t>
      </w:r>
      <w:r w:rsidR="00050A06">
        <w:rPr>
          <w:rFonts w:ascii="Times New Roman" w:hAnsi="Times New Roman" w:cs="Times New Roman"/>
          <w:kern w:val="0"/>
          <w:sz w:val="24"/>
          <w:szCs w:val="24"/>
        </w:rPr>
        <w:t xml:space="preserve"> вищої освіти</w:t>
      </w:r>
      <w:r w:rsidRPr="008C78A2">
        <w:rPr>
          <w:rFonts w:ascii="Times New Roman" w:hAnsi="Times New Roman" w:cs="Times New Roman"/>
          <w:kern w:val="0"/>
          <w:sz w:val="24"/>
          <w:szCs w:val="24"/>
        </w:rPr>
        <w:t>.</w:t>
      </w:r>
    </w:p>
    <w:p w14:paraId="7B28521A" w14:textId="7E1A4EEC" w:rsidR="001C1F18" w:rsidRPr="008C78A2" w:rsidRDefault="001C1F18"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C78A2">
        <w:rPr>
          <w:rFonts w:ascii="Times New Roman" w:hAnsi="Times New Roman" w:cs="Times New Roman"/>
          <w:kern w:val="0"/>
          <w:sz w:val="24"/>
          <w:szCs w:val="24"/>
        </w:rPr>
        <w:t xml:space="preserve">Важливим інструментом для отримання інформації про різні схеми фінансування вищої освіти та політику оплати за навчання </w:t>
      </w:r>
      <w:r w:rsidR="007A70EE" w:rsidRPr="008C78A2">
        <w:rPr>
          <w:rFonts w:ascii="Times New Roman" w:hAnsi="Times New Roman" w:cs="Times New Roman"/>
          <w:kern w:val="0"/>
          <w:sz w:val="24"/>
          <w:szCs w:val="24"/>
        </w:rPr>
        <w:t>в європейських країнах</w:t>
      </w:r>
      <w:r w:rsidR="007A70EE" w:rsidRPr="008C78A2">
        <w:rPr>
          <w:rFonts w:ascii="Times New Roman" w:hAnsi="Times New Roman" w:cs="Times New Roman"/>
          <w:kern w:val="0"/>
          <w:sz w:val="24"/>
          <w:szCs w:val="24"/>
        </w:rPr>
        <w:t xml:space="preserve"> </w:t>
      </w:r>
      <w:r w:rsidRPr="008C78A2">
        <w:rPr>
          <w:rFonts w:ascii="Times New Roman" w:hAnsi="Times New Roman" w:cs="Times New Roman"/>
          <w:kern w:val="0"/>
          <w:sz w:val="24"/>
          <w:szCs w:val="24"/>
        </w:rPr>
        <w:t xml:space="preserve">є </w:t>
      </w:r>
      <w:hyperlink r:id="rId39" w:history="1">
        <w:r w:rsidRPr="008C78A2">
          <w:rPr>
            <w:rStyle w:val="a8"/>
            <w:rFonts w:ascii="Times New Roman" w:hAnsi="Times New Roman" w:cs="Times New Roman"/>
            <w:sz w:val="24"/>
            <w:szCs w:val="24"/>
          </w:rPr>
          <w:t>веб-сайт E</w:t>
        </w:r>
        <w:r w:rsidRPr="008C78A2">
          <w:rPr>
            <w:rStyle w:val="a8"/>
            <w:rFonts w:ascii="Times New Roman" w:hAnsi="Times New Roman" w:cs="Times New Roman"/>
            <w:sz w:val="24"/>
            <w:szCs w:val="24"/>
          </w:rPr>
          <w:t>u</w:t>
        </w:r>
        <w:r w:rsidRPr="008C78A2">
          <w:rPr>
            <w:rStyle w:val="a8"/>
            <w:rFonts w:ascii="Times New Roman" w:hAnsi="Times New Roman" w:cs="Times New Roman"/>
            <w:sz w:val="24"/>
            <w:szCs w:val="24"/>
          </w:rPr>
          <w:t>rydice</w:t>
        </w:r>
      </w:hyperlink>
      <w:r w:rsidRPr="008C78A2">
        <w:rPr>
          <w:rFonts w:ascii="Times New Roman" w:hAnsi="Times New Roman" w:cs="Times New Roman"/>
          <w:kern w:val="0"/>
          <w:sz w:val="24"/>
          <w:szCs w:val="24"/>
        </w:rPr>
        <w:t>.</w:t>
      </w:r>
    </w:p>
    <w:p w14:paraId="0049B077" w14:textId="611A004E" w:rsidR="001C1F18" w:rsidRPr="008C78A2" w:rsidRDefault="001C1F18" w:rsidP="008C78A2">
      <w:pPr>
        <w:pStyle w:val="2"/>
        <w:spacing w:before="100" w:beforeAutospacing="1" w:after="100" w:afterAutospacing="1" w:line="240" w:lineRule="auto"/>
        <w:rPr>
          <w:rFonts w:ascii="Times New Roman" w:hAnsi="Times New Roman" w:cs="Times New Roman"/>
          <w:b/>
          <w:bCs/>
          <w:sz w:val="24"/>
          <w:szCs w:val="24"/>
        </w:rPr>
      </w:pPr>
      <w:bookmarkStart w:id="30" w:name="_Toc188337442"/>
      <w:r w:rsidRPr="008C78A2">
        <w:rPr>
          <w:rFonts w:ascii="Times New Roman" w:hAnsi="Times New Roman" w:cs="Times New Roman"/>
          <w:b/>
          <w:bCs/>
          <w:sz w:val="24"/>
          <w:szCs w:val="24"/>
        </w:rPr>
        <w:t>10.</w:t>
      </w:r>
      <w:r w:rsidR="00CA3F5E" w:rsidRPr="008C78A2">
        <w:rPr>
          <w:rFonts w:ascii="Times New Roman" w:hAnsi="Times New Roman" w:cs="Times New Roman"/>
          <w:b/>
          <w:bCs/>
          <w:sz w:val="24"/>
          <w:szCs w:val="24"/>
        </w:rPr>
        <w:t>4</w:t>
      </w:r>
      <w:r w:rsidRPr="008C78A2">
        <w:rPr>
          <w:rFonts w:ascii="Times New Roman" w:hAnsi="Times New Roman" w:cs="Times New Roman"/>
          <w:b/>
          <w:bCs/>
          <w:sz w:val="24"/>
          <w:szCs w:val="24"/>
        </w:rPr>
        <w:t>.</w:t>
      </w:r>
      <w:r w:rsidR="00FC4D59" w:rsidRPr="008C78A2">
        <w:rPr>
          <w:rFonts w:ascii="Times New Roman" w:hAnsi="Times New Roman" w:cs="Times New Roman"/>
          <w:b/>
          <w:bCs/>
          <w:sz w:val="24"/>
          <w:szCs w:val="24"/>
        </w:rPr>
        <w:t xml:space="preserve"> </w:t>
      </w:r>
      <w:r w:rsidRPr="008C78A2">
        <w:rPr>
          <w:rFonts w:ascii="Times New Roman" w:hAnsi="Times New Roman" w:cs="Times New Roman"/>
          <w:b/>
          <w:bCs/>
          <w:sz w:val="24"/>
          <w:szCs w:val="24"/>
        </w:rPr>
        <w:t>Стипендії</w:t>
      </w:r>
      <w:bookmarkEnd w:id="30"/>
    </w:p>
    <w:p w14:paraId="05A86DCA" w14:textId="34A872E7" w:rsidR="001C1F18" w:rsidRDefault="00D334D5"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C78A2">
        <w:rPr>
          <w:rFonts w:ascii="Times New Roman" w:hAnsi="Times New Roman" w:cs="Times New Roman"/>
          <w:color w:val="000000"/>
          <w:kern w:val="0"/>
          <w:sz w:val="24"/>
          <w:szCs w:val="24"/>
        </w:rPr>
        <w:t>П</w:t>
      </w:r>
      <w:r w:rsidR="00864BAD" w:rsidRPr="008C78A2">
        <w:rPr>
          <w:rFonts w:ascii="Times New Roman" w:hAnsi="Times New Roman" w:cs="Times New Roman"/>
          <w:color w:val="000000"/>
          <w:kern w:val="0"/>
          <w:sz w:val="24"/>
          <w:szCs w:val="24"/>
        </w:rPr>
        <w:t>евну форму стипендій для деяких або всіх своїх студентів пропонують 90</w:t>
      </w:r>
      <w:r w:rsidR="00CA3F5E" w:rsidRPr="008C78A2">
        <w:rPr>
          <w:rFonts w:ascii="Times New Roman" w:hAnsi="Times New Roman" w:cs="Times New Roman"/>
          <w:color w:val="000000"/>
          <w:kern w:val="0"/>
          <w:sz w:val="24"/>
          <w:szCs w:val="24"/>
        </w:rPr>
        <w:t xml:space="preserve"> </w:t>
      </w:r>
      <w:r w:rsidR="00864BAD" w:rsidRPr="008C78A2">
        <w:rPr>
          <w:rFonts w:ascii="Times New Roman" w:hAnsi="Times New Roman" w:cs="Times New Roman"/>
          <w:color w:val="000000"/>
          <w:kern w:val="0"/>
          <w:sz w:val="24"/>
          <w:szCs w:val="24"/>
        </w:rPr>
        <w:t>% закладів</w:t>
      </w:r>
      <w:r w:rsidR="00CA3F5E" w:rsidRPr="008C78A2">
        <w:rPr>
          <w:rFonts w:ascii="Times New Roman" w:hAnsi="Times New Roman" w:cs="Times New Roman"/>
          <w:color w:val="000000"/>
          <w:kern w:val="0"/>
          <w:sz w:val="24"/>
          <w:szCs w:val="24"/>
        </w:rPr>
        <w:t xml:space="preserve"> вищої освіти ЄПВО</w:t>
      </w:r>
      <w:r w:rsidR="001C1F18" w:rsidRPr="008C78A2">
        <w:rPr>
          <w:rFonts w:ascii="Times New Roman" w:hAnsi="Times New Roman" w:cs="Times New Roman"/>
          <w:color w:val="000000"/>
          <w:kern w:val="0"/>
          <w:sz w:val="24"/>
          <w:szCs w:val="24"/>
        </w:rPr>
        <w:t>. Фінансування цих стипендій здебільшого складається з комбінації коштів ЄС та державних або інших джерел.</w:t>
      </w:r>
      <w:r w:rsidR="00FC4D59" w:rsidRPr="008C78A2">
        <w:rPr>
          <w:rFonts w:ascii="Times New Roman" w:hAnsi="Times New Roman" w:cs="Times New Roman"/>
          <w:color w:val="000000"/>
          <w:kern w:val="0"/>
          <w:sz w:val="24"/>
          <w:szCs w:val="24"/>
        </w:rPr>
        <w:t xml:space="preserve"> </w:t>
      </w:r>
      <w:r w:rsidR="001C1F18" w:rsidRPr="008C78A2">
        <w:rPr>
          <w:rFonts w:ascii="Times New Roman" w:hAnsi="Times New Roman" w:cs="Times New Roman"/>
          <w:color w:val="000000"/>
          <w:kern w:val="0"/>
          <w:sz w:val="24"/>
          <w:szCs w:val="24"/>
        </w:rPr>
        <w:t>30</w:t>
      </w:r>
      <w:r w:rsidR="00CA3F5E" w:rsidRPr="008C78A2">
        <w:rPr>
          <w:rFonts w:ascii="Times New Roman" w:hAnsi="Times New Roman" w:cs="Times New Roman"/>
          <w:color w:val="000000"/>
          <w:kern w:val="0"/>
          <w:sz w:val="24"/>
          <w:szCs w:val="24"/>
        </w:rPr>
        <w:t xml:space="preserve"> </w:t>
      </w:r>
      <w:r w:rsidR="001C1F18" w:rsidRPr="008C78A2">
        <w:rPr>
          <w:rFonts w:ascii="Times New Roman" w:hAnsi="Times New Roman" w:cs="Times New Roman"/>
          <w:color w:val="000000"/>
          <w:kern w:val="0"/>
          <w:sz w:val="24"/>
          <w:szCs w:val="24"/>
        </w:rPr>
        <w:t xml:space="preserve">% закладів розподіляють стипендії за системою, що базується на </w:t>
      </w:r>
      <w:r w:rsidR="00CA3F5E" w:rsidRPr="008C78A2">
        <w:rPr>
          <w:rFonts w:ascii="Times New Roman" w:hAnsi="Times New Roman" w:cs="Times New Roman"/>
          <w:color w:val="000000"/>
          <w:kern w:val="0"/>
          <w:sz w:val="24"/>
          <w:szCs w:val="24"/>
        </w:rPr>
        <w:t xml:space="preserve">досягненнях студентів через оцінювання </w:t>
      </w:r>
      <w:r w:rsidR="001C1F18" w:rsidRPr="008C78A2">
        <w:rPr>
          <w:rFonts w:ascii="Times New Roman" w:hAnsi="Times New Roman" w:cs="Times New Roman"/>
          <w:color w:val="000000"/>
          <w:kern w:val="0"/>
          <w:sz w:val="24"/>
          <w:szCs w:val="24"/>
        </w:rPr>
        <w:t>результат</w:t>
      </w:r>
      <w:r w:rsidR="00CA3F5E" w:rsidRPr="008C78A2">
        <w:rPr>
          <w:rFonts w:ascii="Times New Roman" w:hAnsi="Times New Roman" w:cs="Times New Roman"/>
          <w:color w:val="000000"/>
          <w:kern w:val="0"/>
          <w:sz w:val="24"/>
          <w:szCs w:val="24"/>
        </w:rPr>
        <w:t>ів</w:t>
      </w:r>
      <w:r w:rsidR="001C1F18" w:rsidRPr="008C78A2">
        <w:rPr>
          <w:rFonts w:ascii="Times New Roman" w:hAnsi="Times New Roman" w:cs="Times New Roman"/>
          <w:color w:val="000000"/>
          <w:kern w:val="0"/>
          <w:sz w:val="24"/>
          <w:szCs w:val="24"/>
        </w:rPr>
        <w:t xml:space="preserve"> навчання</w:t>
      </w:r>
      <w:r w:rsidR="00864BAD" w:rsidRPr="008C78A2">
        <w:rPr>
          <w:rFonts w:ascii="Times New Roman" w:hAnsi="Times New Roman" w:cs="Times New Roman"/>
          <w:color w:val="000000"/>
          <w:kern w:val="0"/>
          <w:sz w:val="24"/>
          <w:szCs w:val="24"/>
        </w:rPr>
        <w:t>.</w:t>
      </w:r>
      <w:r w:rsidR="00CA3F5E" w:rsidRPr="008C78A2">
        <w:rPr>
          <w:rFonts w:ascii="Times New Roman" w:hAnsi="Times New Roman" w:cs="Times New Roman"/>
          <w:color w:val="000000"/>
          <w:kern w:val="0"/>
          <w:sz w:val="24"/>
          <w:szCs w:val="24"/>
        </w:rPr>
        <w:t xml:space="preserve"> </w:t>
      </w:r>
      <w:r w:rsidR="001C1F18" w:rsidRPr="008C78A2">
        <w:rPr>
          <w:rFonts w:ascii="Times New Roman" w:hAnsi="Times New Roman" w:cs="Times New Roman"/>
          <w:kern w:val="0"/>
          <w:sz w:val="24"/>
          <w:szCs w:val="24"/>
        </w:rPr>
        <w:t>Більшість стипендій (</w:t>
      </w:r>
      <w:r w:rsidR="00864BAD" w:rsidRPr="008C78A2">
        <w:rPr>
          <w:rFonts w:ascii="Times New Roman" w:hAnsi="Times New Roman" w:cs="Times New Roman"/>
          <w:kern w:val="0"/>
          <w:sz w:val="24"/>
          <w:szCs w:val="24"/>
        </w:rPr>
        <w:t xml:space="preserve">як </w:t>
      </w:r>
      <w:r w:rsidR="00CA3F5E" w:rsidRPr="008C78A2">
        <w:rPr>
          <w:rFonts w:ascii="Times New Roman" w:hAnsi="Times New Roman" w:cs="Times New Roman"/>
          <w:kern w:val="0"/>
          <w:sz w:val="24"/>
          <w:szCs w:val="24"/>
        </w:rPr>
        <w:t xml:space="preserve">гранти </w:t>
      </w:r>
      <w:r w:rsidR="001C1F18" w:rsidRPr="008C78A2">
        <w:rPr>
          <w:rFonts w:ascii="Times New Roman" w:hAnsi="Times New Roman" w:cs="Times New Roman"/>
          <w:kern w:val="0"/>
          <w:sz w:val="24"/>
          <w:szCs w:val="24"/>
        </w:rPr>
        <w:t xml:space="preserve">Erasmus Mundus) </w:t>
      </w:r>
      <w:r w:rsidR="00864BAD" w:rsidRPr="008C78A2">
        <w:rPr>
          <w:rFonts w:ascii="Times New Roman" w:hAnsi="Times New Roman" w:cs="Times New Roman"/>
          <w:kern w:val="0"/>
          <w:sz w:val="24"/>
          <w:szCs w:val="24"/>
        </w:rPr>
        <w:t>включ</w:t>
      </w:r>
      <w:r w:rsidR="001C1F18" w:rsidRPr="008C78A2">
        <w:rPr>
          <w:rFonts w:ascii="Times New Roman" w:hAnsi="Times New Roman" w:cs="Times New Roman"/>
          <w:kern w:val="0"/>
          <w:sz w:val="24"/>
          <w:szCs w:val="24"/>
        </w:rPr>
        <w:t xml:space="preserve">ають </w:t>
      </w:r>
      <w:r w:rsidR="00864BAD" w:rsidRPr="008C78A2">
        <w:rPr>
          <w:rFonts w:ascii="Times New Roman" w:hAnsi="Times New Roman" w:cs="Times New Roman"/>
          <w:kern w:val="0"/>
          <w:sz w:val="24"/>
          <w:szCs w:val="24"/>
        </w:rPr>
        <w:t>о</w:t>
      </w:r>
      <w:r w:rsidR="001C1F18" w:rsidRPr="008C78A2">
        <w:rPr>
          <w:rFonts w:ascii="Times New Roman" w:hAnsi="Times New Roman" w:cs="Times New Roman"/>
          <w:kern w:val="0"/>
          <w:sz w:val="24"/>
          <w:szCs w:val="24"/>
        </w:rPr>
        <w:t>плат</w:t>
      </w:r>
      <w:r w:rsidR="00CA3F5E" w:rsidRPr="008C78A2">
        <w:rPr>
          <w:rFonts w:ascii="Times New Roman" w:hAnsi="Times New Roman" w:cs="Times New Roman"/>
          <w:kern w:val="0"/>
          <w:sz w:val="24"/>
          <w:szCs w:val="24"/>
        </w:rPr>
        <w:t>у</w:t>
      </w:r>
      <w:r w:rsidR="001C1F18" w:rsidRPr="008C78A2">
        <w:rPr>
          <w:rFonts w:ascii="Times New Roman" w:hAnsi="Times New Roman" w:cs="Times New Roman"/>
          <w:kern w:val="0"/>
          <w:sz w:val="24"/>
          <w:szCs w:val="24"/>
        </w:rPr>
        <w:t xml:space="preserve"> навчання та фінансування для</w:t>
      </w:r>
      <w:r w:rsidR="00864BAD" w:rsidRPr="008C78A2">
        <w:rPr>
          <w:rFonts w:ascii="Times New Roman" w:hAnsi="Times New Roman" w:cs="Times New Roman"/>
          <w:kern w:val="0"/>
          <w:sz w:val="24"/>
          <w:szCs w:val="24"/>
        </w:rPr>
        <w:t xml:space="preserve"> </w:t>
      </w:r>
      <w:r w:rsidR="001C1F18" w:rsidRPr="008C78A2">
        <w:rPr>
          <w:rFonts w:ascii="Times New Roman" w:hAnsi="Times New Roman" w:cs="Times New Roman"/>
          <w:kern w:val="0"/>
          <w:sz w:val="24"/>
          <w:szCs w:val="24"/>
        </w:rPr>
        <w:t>частково</w:t>
      </w:r>
      <w:r w:rsidR="00864BAD" w:rsidRPr="008C78A2">
        <w:rPr>
          <w:rFonts w:ascii="Times New Roman" w:hAnsi="Times New Roman" w:cs="Times New Roman"/>
          <w:kern w:val="0"/>
          <w:sz w:val="24"/>
          <w:szCs w:val="24"/>
        </w:rPr>
        <w:t>го або повного</w:t>
      </w:r>
      <w:r w:rsidR="001C1F18" w:rsidRPr="008C78A2">
        <w:rPr>
          <w:rFonts w:ascii="Times New Roman" w:hAnsi="Times New Roman" w:cs="Times New Roman"/>
          <w:kern w:val="0"/>
          <w:sz w:val="24"/>
          <w:szCs w:val="24"/>
        </w:rPr>
        <w:t xml:space="preserve"> покриття витрат на проїзд, житло</w:t>
      </w:r>
      <w:r w:rsidR="00CA3F5E" w:rsidRPr="008C78A2">
        <w:rPr>
          <w:rFonts w:ascii="Times New Roman" w:hAnsi="Times New Roman" w:cs="Times New Roman"/>
          <w:kern w:val="0"/>
          <w:sz w:val="24"/>
          <w:szCs w:val="24"/>
        </w:rPr>
        <w:t xml:space="preserve">, </w:t>
      </w:r>
      <w:r w:rsidR="001C1F18" w:rsidRPr="008C78A2">
        <w:rPr>
          <w:rFonts w:ascii="Times New Roman" w:hAnsi="Times New Roman" w:cs="Times New Roman"/>
          <w:kern w:val="0"/>
          <w:sz w:val="24"/>
          <w:szCs w:val="24"/>
        </w:rPr>
        <w:t>проживання</w:t>
      </w:r>
      <w:r w:rsidR="00CA3F5E" w:rsidRPr="008C78A2">
        <w:rPr>
          <w:rFonts w:ascii="Times New Roman" w:hAnsi="Times New Roman" w:cs="Times New Roman"/>
          <w:kern w:val="0"/>
          <w:sz w:val="24"/>
          <w:szCs w:val="24"/>
        </w:rPr>
        <w:t xml:space="preserve"> та додаткові освітні послуги</w:t>
      </w:r>
      <w:r w:rsidR="001C1F18" w:rsidRPr="008C78A2">
        <w:rPr>
          <w:rFonts w:ascii="Times New Roman" w:hAnsi="Times New Roman" w:cs="Times New Roman"/>
          <w:kern w:val="0"/>
          <w:sz w:val="24"/>
          <w:szCs w:val="24"/>
        </w:rPr>
        <w:t>.</w:t>
      </w:r>
    </w:p>
    <w:p w14:paraId="418597E3" w14:textId="77777777" w:rsidR="00E1768F" w:rsidRPr="008C78A2" w:rsidRDefault="00E1768F" w:rsidP="008C78A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p>
    <w:p w14:paraId="08CF6932" w14:textId="2F2F25B4" w:rsidR="001C1F18" w:rsidRPr="00E1768F" w:rsidRDefault="005336FC" w:rsidP="00E1768F">
      <w:pPr>
        <w:pStyle w:val="1"/>
        <w:spacing w:before="100" w:beforeAutospacing="1" w:after="100" w:afterAutospacing="1" w:line="240" w:lineRule="auto"/>
        <w:rPr>
          <w:rFonts w:ascii="Times New Roman" w:hAnsi="Times New Roman" w:cs="Times New Roman"/>
          <w:b/>
          <w:bCs/>
          <w:sz w:val="24"/>
          <w:szCs w:val="24"/>
        </w:rPr>
      </w:pPr>
      <w:bookmarkStart w:id="31" w:name="_Toc188337444"/>
      <w:r w:rsidRPr="005336FC">
        <w:rPr>
          <w:rFonts w:ascii="Times New Roman" w:hAnsi="Times New Roman" w:cs="Times New Roman"/>
          <w:b/>
          <w:bCs/>
          <w:sz w:val="24"/>
          <w:szCs w:val="24"/>
        </w:rPr>
        <w:t xml:space="preserve">11. </w:t>
      </w:r>
      <w:r w:rsidRPr="00E1768F">
        <w:rPr>
          <w:rFonts w:ascii="Times New Roman" w:hAnsi="Times New Roman" w:cs="Times New Roman"/>
          <w:b/>
          <w:bCs/>
          <w:sz w:val="24"/>
          <w:szCs w:val="24"/>
        </w:rPr>
        <w:t>УГОДА ПРО СПІВПРАЦЮ</w:t>
      </w:r>
      <w:bookmarkEnd w:id="31"/>
    </w:p>
    <w:p w14:paraId="6E9CF2D9" w14:textId="16B9050C" w:rsidR="003377CD" w:rsidRPr="00E1768F" w:rsidRDefault="004469C3" w:rsidP="00E1768F">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Угода</w:t>
      </w:r>
      <w:r w:rsidR="003377CD" w:rsidRPr="00E1768F">
        <w:rPr>
          <w:rFonts w:ascii="Times New Roman" w:hAnsi="Times New Roman" w:cs="Times New Roman"/>
          <w:kern w:val="0"/>
          <w:sz w:val="24"/>
          <w:szCs w:val="24"/>
        </w:rPr>
        <w:t xml:space="preserve"> про співпрацю</w:t>
      </w:r>
      <w:r w:rsidRPr="00E1768F">
        <w:rPr>
          <w:rFonts w:ascii="Times New Roman" w:hAnsi="Times New Roman" w:cs="Times New Roman"/>
          <w:kern w:val="0"/>
          <w:sz w:val="24"/>
          <w:szCs w:val="24"/>
        </w:rPr>
        <w:t xml:space="preserve"> та </w:t>
      </w:r>
      <w:r w:rsidR="003377CD" w:rsidRPr="00E1768F">
        <w:rPr>
          <w:rFonts w:ascii="Times New Roman" w:hAnsi="Times New Roman" w:cs="Times New Roman"/>
          <w:kern w:val="0"/>
          <w:sz w:val="24"/>
          <w:szCs w:val="24"/>
        </w:rPr>
        <w:t xml:space="preserve">консорціум </w:t>
      </w:r>
      <w:r w:rsidRPr="00E1768F">
        <w:rPr>
          <w:rFonts w:ascii="Times New Roman" w:hAnsi="Times New Roman" w:cs="Times New Roman"/>
          <w:kern w:val="0"/>
          <w:sz w:val="24"/>
          <w:szCs w:val="24"/>
        </w:rPr>
        <w:t>має бути</w:t>
      </w:r>
      <w:r w:rsidR="003377CD" w:rsidRPr="00E1768F">
        <w:rPr>
          <w:rFonts w:ascii="Times New Roman" w:hAnsi="Times New Roman" w:cs="Times New Roman"/>
          <w:kern w:val="0"/>
          <w:sz w:val="24"/>
          <w:szCs w:val="24"/>
        </w:rPr>
        <w:t xml:space="preserve"> гнучким, оскільки він потребуватиме </w:t>
      </w:r>
      <w:r w:rsidRPr="00E1768F">
        <w:rPr>
          <w:rFonts w:ascii="Times New Roman" w:hAnsi="Times New Roman" w:cs="Times New Roman"/>
          <w:kern w:val="0"/>
          <w:sz w:val="24"/>
          <w:szCs w:val="24"/>
        </w:rPr>
        <w:t>регулярного</w:t>
      </w:r>
      <w:r w:rsidR="003377CD" w:rsidRPr="00E1768F">
        <w:rPr>
          <w:rFonts w:ascii="Times New Roman" w:hAnsi="Times New Roman" w:cs="Times New Roman"/>
          <w:kern w:val="0"/>
          <w:sz w:val="24"/>
          <w:szCs w:val="24"/>
        </w:rPr>
        <w:t xml:space="preserve"> оновлення</w:t>
      </w:r>
      <w:r w:rsidRPr="00E1768F">
        <w:rPr>
          <w:rFonts w:ascii="Times New Roman" w:hAnsi="Times New Roman" w:cs="Times New Roman"/>
          <w:kern w:val="0"/>
          <w:sz w:val="24"/>
          <w:szCs w:val="24"/>
        </w:rPr>
        <w:t xml:space="preserve"> та доповнення</w:t>
      </w:r>
      <w:r w:rsidR="003377CD" w:rsidRPr="00E1768F">
        <w:rPr>
          <w:rFonts w:ascii="Times New Roman" w:hAnsi="Times New Roman" w:cs="Times New Roman"/>
          <w:kern w:val="0"/>
          <w:sz w:val="24"/>
          <w:szCs w:val="24"/>
        </w:rPr>
        <w:t>. Можливим рішенням є загальна угода з посиланнями на більш детальні додатки, що регулюють різні питання співпраці.</w:t>
      </w:r>
    </w:p>
    <w:p w14:paraId="236CCCB8" w14:textId="3FA02923" w:rsidR="001C1F18" w:rsidRPr="002E2FF2" w:rsidRDefault="001C1F18" w:rsidP="00E1768F">
      <w:pPr>
        <w:pStyle w:val="2"/>
        <w:spacing w:before="100" w:beforeAutospacing="1" w:after="100" w:afterAutospacing="1" w:line="240" w:lineRule="auto"/>
        <w:rPr>
          <w:rFonts w:ascii="Times New Roman" w:hAnsi="Times New Roman" w:cs="Times New Roman"/>
          <w:b/>
          <w:bCs/>
          <w:sz w:val="24"/>
          <w:szCs w:val="24"/>
        </w:rPr>
      </w:pPr>
      <w:bookmarkStart w:id="32" w:name="_Toc188337446"/>
      <w:r w:rsidRPr="002E2FF2">
        <w:rPr>
          <w:rFonts w:ascii="Times New Roman" w:hAnsi="Times New Roman" w:cs="Times New Roman"/>
          <w:b/>
          <w:bCs/>
          <w:sz w:val="24"/>
          <w:szCs w:val="24"/>
        </w:rPr>
        <w:t>11.</w:t>
      </w:r>
      <w:r w:rsidR="003377CD" w:rsidRPr="002E2FF2">
        <w:rPr>
          <w:rFonts w:ascii="Times New Roman" w:hAnsi="Times New Roman" w:cs="Times New Roman"/>
          <w:b/>
          <w:bCs/>
          <w:sz w:val="24"/>
          <w:szCs w:val="24"/>
        </w:rPr>
        <w:t>1</w:t>
      </w:r>
      <w:r w:rsidRPr="002E2FF2">
        <w:rPr>
          <w:rFonts w:ascii="Times New Roman" w:hAnsi="Times New Roman" w:cs="Times New Roman"/>
          <w:b/>
          <w:bCs/>
          <w:sz w:val="24"/>
          <w:szCs w:val="24"/>
        </w:rPr>
        <w:t>.</w:t>
      </w:r>
      <w:r w:rsidR="00FC4D59" w:rsidRPr="002E2FF2">
        <w:rPr>
          <w:rFonts w:ascii="Times New Roman" w:hAnsi="Times New Roman" w:cs="Times New Roman"/>
          <w:b/>
          <w:bCs/>
          <w:sz w:val="24"/>
          <w:szCs w:val="24"/>
        </w:rPr>
        <w:t xml:space="preserve"> </w:t>
      </w:r>
      <w:r w:rsidRPr="002E2FF2">
        <w:rPr>
          <w:rFonts w:ascii="Times New Roman" w:hAnsi="Times New Roman" w:cs="Times New Roman"/>
          <w:b/>
          <w:bCs/>
          <w:sz w:val="24"/>
          <w:szCs w:val="24"/>
        </w:rPr>
        <w:t>Елементи, які слід включити в угоду про співпрацю</w:t>
      </w:r>
      <w:bookmarkEnd w:id="32"/>
    </w:p>
    <w:p w14:paraId="4DB8CC56" w14:textId="00E451AE" w:rsidR="001C1F18" w:rsidRPr="00E1768F" w:rsidRDefault="002E2FF2" w:rsidP="004D3541">
      <w:pPr>
        <w:autoSpaceDE w:val="0"/>
        <w:autoSpaceDN w:val="0"/>
        <w:adjustRightInd w:val="0"/>
        <w:spacing w:before="100" w:beforeAutospacing="1" w:after="0" w:line="240" w:lineRule="auto"/>
        <w:jc w:val="both"/>
        <w:rPr>
          <w:rFonts w:ascii="Times New Roman" w:hAnsi="Times New Roman" w:cs="Times New Roman"/>
          <w:kern w:val="0"/>
          <w:sz w:val="24"/>
          <w:szCs w:val="24"/>
        </w:rPr>
      </w:pPr>
      <w:r w:rsidRPr="002E2FF2">
        <w:rPr>
          <w:rFonts w:ascii="Times New Roman" w:hAnsi="Times New Roman" w:cs="Times New Roman"/>
          <w:kern w:val="0"/>
          <w:sz w:val="24"/>
          <w:szCs w:val="24"/>
        </w:rPr>
        <w:t>Угода про співпрацю повинна описувати способи, за допомогою яких було розроблено</w:t>
      </w:r>
      <w:r w:rsidRPr="00E1768F">
        <w:rPr>
          <w:rFonts w:ascii="Times New Roman" w:hAnsi="Times New Roman" w:cs="Times New Roman"/>
          <w:kern w:val="0"/>
          <w:sz w:val="24"/>
          <w:szCs w:val="24"/>
        </w:rPr>
        <w:t xml:space="preserve"> спільність</w:t>
      </w:r>
      <w:r w:rsidRPr="00E1768F">
        <w:rPr>
          <w:rFonts w:ascii="Times New Roman" w:hAnsi="Times New Roman" w:cs="Times New Roman"/>
          <w:i/>
          <w:iCs/>
          <w:kern w:val="0"/>
          <w:sz w:val="24"/>
          <w:szCs w:val="24"/>
        </w:rPr>
        <w:t xml:space="preserve"> </w:t>
      </w:r>
      <w:r w:rsidRPr="00E1768F">
        <w:rPr>
          <w:rFonts w:ascii="Times New Roman" w:hAnsi="Times New Roman" w:cs="Times New Roman"/>
          <w:kern w:val="0"/>
          <w:sz w:val="24"/>
          <w:szCs w:val="24"/>
        </w:rPr>
        <w:t>усіх аспектів спільної програми</w:t>
      </w:r>
      <w:r>
        <w:rPr>
          <w:rFonts w:ascii="Times New Roman" w:hAnsi="Times New Roman" w:cs="Times New Roman"/>
          <w:kern w:val="0"/>
          <w:sz w:val="24"/>
          <w:szCs w:val="24"/>
        </w:rPr>
        <w:t>, зокрема с</w:t>
      </w:r>
      <w:r w:rsidRPr="00E1768F">
        <w:rPr>
          <w:rFonts w:ascii="Times New Roman" w:hAnsi="Times New Roman" w:cs="Times New Roman"/>
          <w:kern w:val="0"/>
          <w:sz w:val="24"/>
          <w:szCs w:val="24"/>
        </w:rPr>
        <w:t>пільність</w:t>
      </w:r>
      <w:r>
        <w:rPr>
          <w:rFonts w:ascii="Times New Roman" w:hAnsi="Times New Roman" w:cs="Times New Roman"/>
          <w:kern w:val="0"/>
          <w:sz w:val="24"/>
          <w:szCs w:val="24"/>
        </w:rPr>
        <w:t xml:space="preserve"> прийняття</w:t>
      </w:r>
      <w:r w:rsidRPr="00E1768F">
        <w:rPr>
          <w:rFonts w:ascii="Times New Roman" w:hAnsi="Times New Roman" w:cs="Times New Roman"/>
          <w:kern w:val="0"/>
          <w:sz w:val="24"/>
          <w:szCs w:val="24"/>
        </w:rPr>
        <w:t xml:space="preserve"> рішень, розроблення навчальних планів</w:t>
      </w:r>
      <w:r>
        <w:rPr>
          <w:rFonts w:ascii="Times New Roman" w:hAnsi="Times New Roman" w:cs="Times New Roman"/>
          <w:kern w:val="0"/>
          <w:sz w:val="24"/>
          <w:szCs w:val="24"/>
        </w:rPr>
        <w:t xml:space="preserve">, </w:t>
      </w:r>
      <w:r w:rsidRPr="00E1768F">
        <w:rPr>
          <w:rFonts w:ascii="Times New Roman" w:hAnsi="Times New Roman" w:cs="Times New Roman"/>
          <w:kern w:val="0"/>
          <w:sz w:val="24"/>
          <w:szCs w:val="24"/>
        </w:rPr>
        <w:t>процедур зовнішнього забезпечення якості</w:t>
      </w:r>
      <w:r>
        <w:rPr>
          <w:rFonts w:ascii="Times New Roman" w:hAnsi="Times New Roman" w:cs="Times New Roman"/>
          <w:kern w:val="0"/>
          <w:sz w:val="24"/>
          <w:szCs w:val="24"/>
        </w:rPr>
        <w:t xml:space="preserve"> тощо. </w:t>
      </w:r>
      <w:r w:rsidR="001C1F18" w:rsidRPr="00E1768F">
        <w:rPr>
          <w:rFonts w:ascii="Times New Roman" w:hAnsi="Times New Roman" w:cs="Times New Roman"/>
          <w:kern w:val="0"/>
          <w:sz w:val="24"/>
          <w:szCs w:val="24"/>
        </w:rPr>
        <w:t xml:space="preserve">Корисно включити в угоду про співпрацю </w:t>
      </w:r>
      <w:r>
        <w:rPr>
          <w:rFonts w:ascii="Times New Roman" w:hAnsi="Times New Roman" w:cs="Times New Roman"/>
          <w:kern w:val="0"/>
          <w:sz w:val="24"/>
          <w:szCs w:val="24"/>
        </w:rPr>
        <w:t>такі елементи</w:t>
      </w:r>
      <w:r w:rsidR="001C1F18" w:rsidRPr="00E1768F">
        <w:rPr>
          <w:rFonts w:ascii="Times New Roman" w:hAnsi="Times New Roman" w:cs="Times New Roman"/>
          <w:kern w:val="0"/>
          <w:sz w:val="24"/>
          <w:szCs w:val="24"/>
        </w:rPr>
        <w:t>:</w:t>
      </w:r>
    </w:p>
    <w:p w14:paraId="6D2ED7AE" w14:textId="3EA99716" w:rsidR="001C1F18" w:rsidRPr="00E1768F" w:rsidRDefault="001C1F18" w:rsidP="004D3541">
      <w:pPr>
        <w:keepNext/>
        <w:numPr>
          <w:ilvl w:val="0"/>
          <w:numId w:val="6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E1768F">
        <w:rPr>
          <w:rFonts w:ascii="Times New Roman" w:hAnsi="Times New Roman" w:cs="Times New Roman"/>
          <w:kern w:val="0"/>
          <w:sz w:val="24"/>
          <w:szCs w:val="24"/>
        </w:rPr>
        <w:t>Мета та сфера застосування угоди</w:t>
      </w:r>
      <w:r w:rsidR="00C04976">
        <w:rPr>
          <w:rFonts w:ascii="Times New Roman" w:hAnsi="Times New Roman" w:cs="Times New Roman"/>
          <w:kern w:val="0"/>
          <w:sz w:val="24"/>
          <w:szCs w:val="24"/>
        </w:rPr>
        <w:t>.</w:t>
      </w:r>
    </w:p>
    <w:p w14:paraId="796C4F3D" w14:textId="633F5EAC" w:rsidR="001C1F18" w:rsidRPr="00E1768F" w:rsidRDefault="001C1F18" w:rsidP="00E30007">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Законодавча база та національні кваліфікації </w:t>
      </w:r>
      <w:r w:rsidR="00BF0986" w:rsidRPr="00E1768F">
        <w:rPr>
          <w:rFonts w:ascii="Times New Roman" w:hAnsi="Times New Roman" w:cs="Times New Roman"/>
          <w:kern w:val="0"/>
          <w:sz w:val="24"/>
          <w:szCs w:val="24"/>
        </w:rPr>
        <w:t>–</w:t>
      </w:r>
      <w:r w:rsidRPr="00E1768F">
        <w:rPr>
          <w:rFonts w:ascii="Times New Roman" w:hAnsi="Times New Roman" w:cs="Times New Roman"/>
          <w:kern w:val="0"/>
          <w:sz w:val="24"/>
          <w:szCs w:val="24"/>
        </w:rPr>
        <w:t xml:space="preserve"> включіть</w:t>
      </w:r>
      <w:r w:rsidR="00BF0986" w:rsidRPr="00E1768F">
        <w:rPr>
          <w:rFonts w:ascii="Times New Roman" w:hAnsi="Times New Roman" w:cs="Times New Roman"/>
          <w:kern w:val="0"/>
          <w:sz w:val="24"/>
          <w:szCs w:val="24"/>
        </w:rPr>
        <w:t xml:space="preserve"> </w:t>
      </w:r>
      <w:r w:rsidRPr="00E1768F">
        <w:rPr>
          <w:rFonts w:ascii="Times New Roman" w:hAnsi="Times New Roman" w:cs="Times New Roman"/>
          <w:kern w:val="0"/>
          <w:sz w:val="24"/>
          <w:szCs w:val="24"/>
        </w:rPr>
        <w:t>документацію в додаток</w:t>
      </w:r>
      <w:r w:rsidR="00C04976">
        <w:rPr>
          <w:rFonts w:ascii="Times New Roman" w:hAnsi="Times New Roman" w:cs="Times New Roman"/>
          <w:kern w:val="0"/>
          <w:sz w:val="24"/>
          <w:szCs w:val="24"/>
        </w:rPr>
        <w:t>.</w:t>
      </w:r>
    </w:p>
    <w:p w14:paraId="783CC391" w14:textId="1032BC1D"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Структура та організація співпраці, розподіл завдань</w:t>
      </w:r>
      <w:r w:rsidR="00C04976">
        <w:rPr>
          <w:rFonts w:ascii="Times New Roman" w:hAnsi="Times New Roman" w:cs="Times New Roman"/>
          <w:kern w:val="0"/>
          <w:sz w:val="24"/>
          <w:szCs w:val="24"/>
        </w:rPr>
        <w:t xml:space="preserve"> і повноважень.</w:t>
      </w:r>
    </w:p>
    <w:p w14:paraId="5E7BDD6A" w14:textId="1A3A40B8"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Структура </w:t>
      </w:r>
      <w:r w:rsidR="00C04976">
        <w:rPr>
          <w:rFonts w:ascii="Times New Roman" w:hAnsi="Times New Roman" w:cs="Times New Roman"/>
          <w:kern w:val="0"/>
          <w:sz w:val="24"/>
          <w:szCs w:val="24"/>
        </w:rPr>
        <w:t xml:space="preserve">спільної </w:t>
      </w:r>
      <w:r w:rsidRPr="00E1768F">
        <w:rPr>
          <w:rFonts w:ascii="Times New Roman" w:hAnsi="Times New Roman" w:cs="Times New Roman"/>
          <w:kern w:val="0"/>
          <w:sz w:val="24"/>
          <w:szCs w:val="24"/>
        </w:rPr>
        <w:t>програми (</w:t>
      </w:r>
      <w:r w:rsidR="00C04976">
        <w:rPr>
          <w:rFonts w:ascii="Times New Roman" w:hAnsi="Times New Roman" w:cs="Times New Roman"/>
          <w:kern w:val="0"/>
          <w:sz w:val="24"/>
          <w:szCs w:val="24"/>
        </w:rPr>
        <w:t xml:space="preserve">компетентності та </w:t>
      </w:r>
      <w:r w:rsidRPr="00E1768F">
        <w:rPr>
          <w:rFonts w:ascii="Times New Roman" w:hAnsi="Times New Roman" w:cs="Times New Roman"/>
          <w:kern w:val="0"/>
          <w:sz w:val="24"/>
          <w:szCs w:val="24"/>
        </w:rPr>
        <w:t xml:space="preserve">результати навчання, навчальні </w:t>
      </w:r>
      <w:r w:rsidR="00C04976">
        <w:rPr>
          <w:rFonts w:ascii="Times New Roman" w:hAnsi="Times New Roman" w:cs="Times New Roman"/>
          <w:kern w:val="0"/>
          <w:sz w:val="24"/>
          <w:szCs w:val="24"/>
        </w:rPr>
        <w:t>дисципліни/</w:t>
      </w:r>
      <w:r w:rsidRPr="00E1768F">
        <w:rPr>
          <w:rFonts w:ascii="Times New Roman" w:hAnsi="Times New Roman" w:cs="Times New Roman"/>
          <w:kern w:val="0"/>
          <w:sz w:val="24"/>
          <w:szCs w:val="24"/>
        </w:rPr>
        <w:t>модулі, методологія, мобільність</w:t>
      </w:r>
      <w:r w:rsidR="00C04976">
        <w:rPr>
          <w:rFonts w:ascii="Times New Roman" w:hAnsi="Times New Roman" w:cs="Times New Roman"/>
          <w:kern w:val="0"/>
          <w:sz w:val="24"/>
          <w:szCs w:val="24"/>
        </w:rPr>
        <w:t xml:space="preserve"> тощо</w:t>
      </w:r>
      <w:r w:rsidRPr="00E1768F">
        <w:rPr>
          <w:rFonts w:ascii="Times New Roman" w:hAnsi="Times New Roman" w:cs="Times New Roman"/>
          <w:kern w:val="0"/>
          <w:sz w:val="24"/>
          <w:szCs w:val="24"/>
        </w:rPr>
        <w:t>)</w:t>
      </w:r>
      <w:r w:rsidR="00C04976">
        <w:rPr>
          <w:rFonts w:ascii="Times New Roman" w:hAnsi="Times New Roman" w:cs="Times New Roman"/>
          <w:kern w:val="0"/>
          <w:sz w:val="24"/>
          <w:szCs w:val="24"/>
        </w:rPr>
        <w:t xml:space="preserve"> </w:t>
      </w:r>
      <w:r w:rsidR="00C04976" w:rsidRPr="00E1768F">
        <w:rPr>
          <w:rFonts w:ascii="Times New Roman" w:hAnsi="Times New Roman" w:cs="Times New Roman"/>
          <w:kern w:val="0"/>
          <w:sz w:val="24"/>
          <w:szCs w:val="24"/>
        </w:rPr>
        <w:t>– включіть документацію в додаток</w:t>
      </w:r>
      <w:r w:rsidR="00C04976">
        <w:rPr>
          <w:rFonts w:ascii="Times New Roman" w:hAnsi="Times New Roman" w:cs="Times New Roman"/>
          <w:kern w:val="0"/>
          <w:sz w:val="24"/>
          <w:szCs w:val="24"/>
        </w:rPr>
        <w:t>.</w:t>
      </w:r>
    </w:p>
    <w:p w14:paraId="3D1E1608" w14:textId="0F9A9222" w:rsidR="001C1F18" w:rsidRPr="00E1768F" w:rsidRDefault="00C04976"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w:t>
      </w:r>
      <w:r w:rsidR="001C1F18" w:rsidRPr="00E1768F">
        <w:rPr>
          <w:rFonts w:ascii="Times New Roman" w:hAnsi="Times New Roman" w:cs="Times New Roman"/>
          <w:kern w:val="0"/>
          <w:sz w:val="24"/>
          <w:szCs w:val="24"/>
        </w:rPr>
        <w:t xml:space="preserve">тупінь </w:t>
      </w:r>
      <w:r w:rsidR="00BF0986" w:rsidRPr="00E1768F">
        <w:rPr>
          <w:rFonts w:ascii="Times New Roman" w:hAnsi="Times New Roman" w:cs="Times New Roman"/>
          <w:kern w:val="0"/>
          <w:sz w:val="24"/>
          <w:szCs w:val="24"/>
        </w:rPr>
        <w:t>і</w:t>
      </w:r>
      <w:r w:rsidR="001C1F18" w:rsidRPr="00E1768F">
        <w:rPr>
          <w:rFonts w:ascii="Times New Roman" w:hAnsi="Times New Roman" w:cs="Times New Roman"/>
          <w:kern w:val="0"/>
          <w:sz w:val="24"/>
          <w:szCs w:val="24"/>
        </w:rPr>
        <w:t xml:space="preserve"> диплом </w:t>
      </w:r>
      <w:r w:rsidR="00BF0986" w:rsidRPr="00E1768F">
        <w:rPr>
          <w:rFonts w:ascii="Times New Roman" w:hAnsi="Times New Roman" w:cs="Times New Roman"/>
          <w:kern w:val="0"/>
          <w:sz w:val="24"/>
          <w:szCs w:val="24"/>
        </w:rPr>
        <w:t>–</w:t>
      </w:r>
      <w:r w:rsidR="001C1F18" w:rsidRPr="00E1768F">
        <w:rPr>
          <w:rFonts w:ascii="Times New Roman" w:hAnsi="Times New Roman" w:cs="Times New Roman"/>
          <w:kern w:val="0"/>
          <w:sz w:val="24"/>
          <w:szCs w:val="24"/>
        </w:rPr>
        <w:t xml:space="preserve"> включіть</w:t>
      </w:r>
      <w:r w:rsidR="00BF0986" w:rsidRPr="00E1768F">
        <w:rPr>
          <w:rFonts w:ascii="Times New Roman" w:hAnsi="Times New Roman" w:cs="Times New Roman"/>
          <w:kern w:val="0"/>
          <w:sz w:val="24"/>
          <w:szCs w:val="24"/>
        </w:rPr>
        <w:t xml:space="preserve"> </w:t>
      </w:r>
      <w:r w:rsidR="001C1F18" w:rsidRPr="00E1768F">
        <w:rPr>
          <w:rFonts w:ascii="Times New Roman" w:hAnsi="Times New Roman" w:cs="Times New Roman"/>
          <w:kern w:val="0"/>
          <w:sz w:val="24"/>
          <w:szCs w:val="24"/>
        </w:rPr>
        <w:t>шаблон у додат</w:t>
      </w:r>
      <w:r>
        <w:rPr>
          <w:rFonts w:ascii="Times New Roman" w:hAnsi="Times New Roman" w:cs="Times New Roman"/>
          <w:kern w:val="0"/>
          <w:sz w:val="24"/>
          <w:szCs w:val="24"/>
        </w:rPr>
        <w:t>ок.</w:t>
      </w:r>
    </w:p>
    <w:p w14:paraId="1F231301" w14:textId="702DD2A4"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Прийом, відбір, реєстрація </w:t>
      </w:r>
      <w:r w:rsidR="00C04976" w:rsidRPr="00E1768F">
        <w:rPr>
          <w:rFonts w:ascii="Times New Roman" w:hAnsi="Times New Roman" w:cs="Times New Roman"/>
          <w:kern w:val="0"/>
          <w:sz w:val="24"/>
          <w:szCs w:val="24"/>
        </w:rPr>
        <w:t>студентів</w:t>
      </w:r>
      <w:r w:rsidR="00C04976">
        <w:rPr>
          <w:rFonts w:ascii="Times New Roman" w:hAnsi="Times New Roman" w:cs="Times New Roman"/>
          <w:kern w:val="0"/>
          <w:sz w:val="24"/>
          <w:szCs w:val="24"/>
        </w:rPr>
        <w:t>, оцінювання</w:t>
      </w:r>
      <w:r w:rsidR="00C04976" w:rsidRPr="00E1768F">
        <w:rPr>
          <w:rFonts w:ascii="Times New Roman" w:hAnsi="Times New Roman" w:cs="Times New Roman"/>
          <w:kern w:val="0"/>
          <w:sz w:val="24"/>
          <w:szCs w:val="24"/>
        </w:rPr>
        <w:t xml:space="preserve"> </w:t>
      </w:r>
      <w:r w:rsidRPr="00E1768F">
        <w:rPr>
          <w:rFonts w:ascii="Times New Roman" w:hAnsi="Times New Roman" w:cs="Times New Roman"/>
          <w:kern w:val="0"/>
          <w:sz w:val="24"/>
          <w:szCs w:val="24"/>
        </w:rPr>
        <w:t xml:space="preserve">та </w:t>
      </w:r>
      <w:r w:rsidR="00C04976">
        <w:rPr>
          <w:rFonts w:ascii="Times New Roman" w:hAnsi="Times New Roman" w:cs="Times New Roman"/>
          <w:kern w:val="0"/>
          <w:sz w:val="24"/>
          <w:szCs w:val="24"/>
        </w:rPr>
        <w:t>екзамени.</w:t>
      </w:r>
    </w:p>
    <w:p w14:paraId="5E9E473F" w14:textId="3576BAAC"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Фінансовий менеджмент (включаючи </w:t>
      </w:r>
      <w:r w:rsidR="00BF0986" w:rsidRPr="00E1768F">
        <w:rPr>
          <w:rFonts w:ascii="Times New Roman" w:hAnsi="Times New Roman" w:cs="Times New Roman"/>
          <w:kern w:val="0"/>
          <w:sz w:val="24"/>
          <w:szCs w:val="24"/>
        </w:rPr>
        <w:t>о</w:t>
      </w:r>
      <w:r w:rsidRPr="00E1768F">
        <w:rPr>
          <w:rFonts w:ascii="Times New Roman" w:hAnsi="Times New Roman" w:cs="Times New Roman"/>
          <w:kern w:val="0"/>
          <w:sz w:val="24"/>
          <w:szCs w:val="24"/>
        </w:rPr>
        <w:t>плату навчання та розподіл доходу між партнерами)</w:t>
      </w:r>
      <w:r w:rsidR="00C04976" w:rsidRPr="00C04976">
        <w:rPr>
          <w:rFonts w:ascii="Times New Roman" w:hAnsi="Times New Roman" w:cs="Times New Roman"/>
          <w:kern w:val="0"/>
          <w:sz w:val="24"/>
          <w:szCs w:val="24"/>
        </w:rPr>
        <w:t xml:space="preserve"> </w:t>
      </w:r>
      <w:r w:rsidR="00C04976">
        <w:rPr>
          <w:rFonts w:ascii="Times New Roman" w:hAnsi="Times New Roman" w:cs="Times New Roman"/>
          <w:kern w:val="0"/>
          <w:sz w:val="24"/>
          <w:szCs w:val="24"/>
        </w:rPr>
        <w:t xml:space="preserve">– </w:t>
      </w:r>
      <w:r w:rsidR="00C04976" w:rsidRPr="00E1768F">
        <w:rPr>
          <w:rFonts w:ascii="Times New Roman" w:hAnsi="Times New Roman" w:cs="Times New Roman"/>
          <w:kern w:val="0"/>
          <w:sz w:val="24"/>
          <w:szCs w:val="24"/>
        </w:rPr>
        <w:t>включіть документацію в додаток</w:t>
      </w:r>
      <w:r w:rsidR="001758B7">
        <w:rPr>
          <w:rFonts w:ascii="Times New Roman" w:hAnsi="Times New Roman" w:cs="Times New Roman"/>
          <w:kern w:val="0"/>
          <w:sz w:val="24"/>
          <w:szCs w:val="24"/>
        </w:rPr>
        <w:t>.</w:t>
      </w:r>
    </w:p>
    <w:p w14:paraId="60B19DF0" w14:textId="2B193A8F"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Забезпечення якості </w:t>
      </w:r>
      <w:r w:rsidR="001758B7">
        <w:rPr>
          <w:rFonts w:ascii="Times New Roman" w:hAnsi="Times New Roman" w:cs="Times New Roman"/>
          <w:kern w:val="0"/>
          <w:sz w:val="24"/>
          <w:szCs w:val="24"/>
        </w:rPr>
        <w:t xml:space="preserve">– </w:t>
      </w:r>
      <w:r w:rsidR="001758B7" w:rsidRPr="00E1768F">
        <w:rPr>
          <w:rFonts w:ascii="Times New Roman" w:hAnsi="Times New Roman" w:cs="Times New Roman"/>
          <w:kern w:val="0"/>
          <w:sz w:val="24"/>
          <w:szCs w:val="24"/>
        </w:rPr>
        <w:t>включіть документацію в додаток</w:t>
      </w:r>
      <w:r w:rsidR="00C04976">
        <w:rPr>
          <w:rFonts w:ascii="Times New Roman" w:hAnsi="Times New Roman" w:cs="Times New Roman"/>
          <w:kern w:val="0"/>
          <w:sz w:val="24"/>
          <w:szCs w:val="24"/>
        </w:rPr>
        <w:t>.</w:t>
      </w:r>
    </w:p>
    <w:p w14:paraId="6AE507F0" w14:textId="62CF6AF3" w:rsidR="001C1F18" w:rsidRPr="00E1768F" w:rsidRDefault="001C1F18"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sidRPr="00E1768F">
        <w:rPr>
          <w:rFonts w:ascii="Times New Roman" w:hAnsi="Times New Roman" w:cs="Times New Roman"/>
          <w:kern w:val="0"/>
          <w:sz w:val="24"/>
          <w:szCs w:val="24"/>
        </w:rPr>
        <w:t>Права інтелектуальної власності</w:t>
      </w:r>
      <w:r w:rsidR="00C04976">
        <w:rPr>
          <w:rFonts w:ascii="Times New Roman" w:hAnsi="Times New Roman" w:cs="Times New Roman"/>
          <w:kern w:val="0"/>
          <w:sz w:val="24"/>
          <w:szCs w:val="24"/>
        </w:rPr>
        <w:t>.</w:t>
      </w:r>
    </w:p>
    <w:p w14:paraId="787402C9" w14:textId="059DA707" w:rsidR="001C1F18" w:rsidRPr="00E1768F" w:rsidRDefault="001758B7" w:rsidP="00C04976">
      <w:pPr>
        <w:numPr>
          <w:ilvl w:val="0"/>
          <w:numId w:val="69"/>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w:t>
      </w:r>
      <w:r w:rsidR="001C1F18" w:rsidRPr="00E1768F">
        <w:rPr>
          <w:rFonts w:ascii="Times New Roman" w:hAnsi="Times New Roman" w:cs="Times New Roman"/>
          <w:kern w:val="0"/>
          <w:sz w:val="24"/>
          <w:szCs w:val="24"/>
        </w:rPr>
        <w:t>озірвання, внесення змін та вирішення спорів</w:t>
      </w:r>
      <w:r w:rsidR="00C04976">
        <w:rPr>
          <w:rFonts w:ascii="Times New Roman" w:hAnsi="Times New Roman" w:cs="Times New Roman"/>
          <w:kern w:val="0"/>
          <w:sz w:val="24"/>
          <w:szCs w:val="24"/>
        </w:rPr>
        <w:t>.</w:t>
      </w:r>
    </w:p>
    <w:p w14:paraId="1692F556" w14:textId="2111EB52" w:rsidR="001C1F18" w:rsidRPr="00E1768F" w:rsidRDefault="001C1F18" w:rsidP="00C04976">
      <w:pPr>
        <w:numPr>
          <w:ilvl w:val="0"/>
          <w:numId w:val="69"/>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r w:rsidRPr="00E1768F">
        <w:rPr>
          <w:rFonts w:ascii="Times New Roman" w:hAnsi="Times New Roman" w:cs="Times New Roman"/>
          <w:kern w:val="0"/>
          <w:sz w:val="24"/>
          <w:szCs w:val="24"/>
        </w:rPr>
        <w:t>Застосування права та вирішення спорів.</w:t>
      </w:r>
    </w:p>
    <w:p w14:paraId="60543842" w14:textId="6F184DC2" w:rsidR="001C1F18" w:rsidRPr="00E1768F" w:rsidRDefault="00E30007" w:rsidP="004D3541">
      <w:pPr>
        <w:keepNext/>
        <w:autoSpaceDE w:val="0"/>
        <w:autoSpaceDN w:val="0"/>
        <w:adjustRightInd w:val="0"/>
        <w:spacing w:before="100" w:beforeAutospacing="1" w:after="0" w:line="240" w:lineRule="auto"/>
        <w:jc w:val="both"/>
        <w:rPr>
          <w:rFonts w:ascii="Times New Roman" w:hAnsi="Times New Roman" w:cs="Times New Roman"/>
          <w:color w:val="365F91" w:themeColor="accent1" w:themeShade="BF"/>
          <w:kern w:val="0"/>
          <w:sz w:val="24"/>
          <w:szCs w:val="24"/>
        </w:rPr>
      </w:pPr>
      <w:r>
        <w:rPr>
          <w:rFonts w:ascii="Times New Roman" w:hAnsi="Times New Roman" w:cs="Times New Roman"/>
          <w:b/>
          <w:bCs/>
          <w:color w:val="365F91" w:themeColor="accent1" w:themeShade="BF"/>
          <w:kern w:val="0"/>
          <w:sz w:val="24"/>
          <w:szCs w:val="24"/>
        </w:rPr>
        <w:t xml:space="preserve">11.2. </w:t>
      </w:r>
      <w:r w:rsidR="001C1F18" w:rsidRPr="00E1768F">
        <w:rPr>
          <w:rFonts w:ascii="Times New Roman" w:hAnsi="Times New Roman" w:cs="Times New Roman"/>
          <w:b/>
          <w:bCs/>
          <w:color w:val="365F91" w:themeColor="accent1" w:themeShade="BF"/>
          <w:kern w:val="0"/>
          <w:sz w:val="24"/>
          <w:szCs w:val="24"/>
        </w:rPr>
        <w:t>Шаблони та приклади угод про співпрацю</w:t>
      </w:r>
      <w:r w:rsidR="003F7155">
        <w:rPr>
          <w:rFonts w:ascii="Times New Roman" w:hAnsi="Times New Roman" w:cs="Times New Roman"/>
          <w:b/>
          <w:bCs/>
          <w:color w:val="365F91" w:themeColor="accent1" w:themeShade="BF"/>
          <w:kern w:val="0"/>
          <w:sz w:val="24"/>
          <w:szCs w:val="24"/>
        </w:rPr>
        <w:t xml:space="preserve"> з реалізації міжнародних спільних програм</w:t>
      </w:r>
      <w:r w:rsidR="001C1F18" w:rsidRPr="00E1768F">
        <w:rPr>
          <w:rFonts w:ascii="Times New Roman" w:hAnsi="Times New Roman" w:cs="Times New Roman"/>
          <w:b/>
          <w:bCs/>
          <w:color w:val="365F91" w:themeColor="accent1" w:themeShade="BF"/>
          <w:kern w:val="0"/>
          <w:sz w:val="24"/>
          <w:szCs w:val="24"/>
        </w:rPr>
        <w:t>:</w:t>
      </w:r>
    </w:p>
    <w:p w14:paraId="122D02BB" w14:textId="7C15834B" w:rsidR="004C6252" w:rsidRPr="00E1768F" w:rsidRDefault="001C1F18" w:rsidP="002D06B3">
      <w:pPr>
        <w:numPr>
          <w:ilvl w:val="0"/>
          <w:numId w:val="7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E1768F">
        <w:rPr>
          <w:rFonts w:ascii="Times New Roman" w:hAnsi="Times New Roman" w:cs="Times New Roman"/>
          <w:kern w:val="0"/>
          <w:sz w:val="24"/>
          <w:szCs w:val="24"/>
        </w:rPr>
        <w:t>Консорціум EMLE (2017)</w:t>
      </w:r>
      <w:r w:rsidR="00FC4D59" w:rsidRPr="00E1768F">
        <w:rPr>
          <w:rFonts w:ascii="Times New Roman" w:hAnsi="Times New Roman" w:cs="Times New Roman"/>
          <w:kern w:val="0"/>
          <w:sz w:val="24"/>
          <w:szCs w:val="24"/>
        </w:rPr>
        <w:t xml:space="preserve"> </w:t>
      </w:r>
      <w:hyperlink r:id="rId40" w:history="1">
        <w:r w:rsidRPr="00E1768F">
          <w:rPr>
            <w:rStyle w:val="a8"/>
            <w:rFonts w:ascii="Times New Roman" w:hAnsi="Times New Roman" w:cs="Times New Roman"/>
            <w:sz w:val="24"/>
            <w:szCs w:val="24"/>
          </w:rPr>
          <w:t>Угода про співпрацю</w:t>
        </w:r>
      </w:hyperlink>
      <w:r w:rsidR="004C6252" w:rsidRPr="00E1768F">
        <w:rPr>
          <w:rFonts w:ascii="Times New Roman" w:hAnsi="Times New Roman" w:cs="Times New Roman"/>
          <w:kern w:val="0"/>
          <w:sz w:val="24"/>
          <w:szCs w:val="24"/>
        </w:rPr>
        <w:t xml:space="preserve"> (Спільна магістерська програма Erasmus Mundus)</w:t>
      </w:r>
      <w:r w:rsidR="002F54A6">
        <w:rPr>
          <w:rFonts w:ascii="Times New Roman" w:hAnsi="Times New Roman" w:cs="Times New Roman"/>
          <w:kern w:val="0"/>
          <w:sz w:val="24"/>
          <w:szCs w:val="24"/>
        </w:rPr>
        <w:t>;</w:t>
      </w:r>
    </w:p>
    <w:p w14:paraId="55BE63A1" w14:textId="161C8265" w:rsidR="001C1F18" w:rsidRPr="00E1768F" w:rsidRDefault="001C1F18" w:rsidP="002D06B3">
      <w:pPr>
        <w:numPr>
          <w:ilvl w:val="0"/>
          <w:numId w:val="7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E1768F">
        <w:rPr>
          <w:rFonts w:ascii="Times New Roman" w:hAnsi="Times New Roman" w:cs="Times New Roman"/>
          <w:kern w:val="0"/>
          <w:sz w:val="24"/>
          <w:szCs w:val="24"/>
        </w:rPr>
        <w:t>Консорціум Global Minds (2017)</w:t>
      </w:r>
      <w:r w:rsidR="00FC4D59" w:rsidRPr="00E1768F">
        <w:rPr>
          <w:rFonts w:ascii="Times New Roman" w:hAnsi="Times New Roman" w:cs="Times New Roman"/>
          <w:kern w:val="0"/>
          <w:sz w:val="24"/>
          <w:szCs w:val="24"/>
        </w:rPr>
        <w:t xml:space="preserve"> </w:t>
      </w:r>
      <w:hyperlink r:id="rId41" w:history="1">
        <w:r w:rsidRPr="00E1768F">
          <w:rPr>
            <w:rStyle w:val="a8"/>
            <w:rFonts w:ascii="Times New Roman" w:hAnsi="Times New Roman" w:cs="Times New Roman"/>
            <w:sz w:val="24"/>
            <w:szCs w:val="24"/>
          </w:rPr>
          <w:t xml:space="preserve">Меморандум </w:t>
        </w:r>
      </w:hyperlink>
      <w:hyperlink r:id="rId42" w:history="1">
        <w:r w:rsidRPr="00E1768F">
          <w:rPr>
            <w:rStyle w:val="a8"/>
            <w:rFonts w:ascii="Times New Roman" w:hAnsi="Times New Roman" w:cs="Times New Roman"/>
            <w:sz w:val="24"/>
            <w:szCs w:val="24"/>
          </w:rPr>
          <w:t>про співпрацю</w:t>
        </w:r>
      </w:hyperlink>
      <w:r w:rsidR="004C6252" w:rsidRPr="00E1768F">
        <w:rPr>
          <w:rStyle w:val="a8"/>
          <w:rFonts w:ascii="Times New Roman" w:hAnsi="Times New Roman" w:cs="Times New Roman"/>
          <w:sz w:val="24"/>
          <w:szCs w:val="24"/>
        </w:rPr>
        <w:t xml:space="preserve"> </w:t>
      </w:r>
      <w:r w:rsidR="004C6252" w:rsidRPr="00E1768F">
        <w:rPr>
          <w:rFonts w:ascii="Times New Roman" w:hAnsi="Times New Roman" w:cs="Times New Roman"/>
          <w:kern w:val="0"/>
          <w:sz w:val="24"/>
          <w:szCs w:val="24"/>
        </w:rPr>
        <w:t>(Спільна магістерська програма Erasmus Mundus)</w:t>
      </w:r>
      <w:r w:rsidR="002F54A6">
        <w:rPr>
          <w:rFonts w:ascii="Times New Roman" w:hAnsi="Times New Roman" w:cs="Times New Roman"/>
          <w:kern w:val="0"/>
          <w:sz w:val="24"/>
          <w:szCs w:val="24"/>
        </w:rPr>
        <w:t>;</w:t>
      </w:r>
    </w:p>
    <w:p w14:paraId="33B31EF9" w14:textId="4BBF5CF4" w:rsidR="001C1F18" w:rsidRPr="00E1768F" w:rsidRDefault="001C1F18" w:rsidP="002D06B3">
      <w:pPr>
        <w:numPr>
          <w:ilvl w:val="0"/>
          <w:numId w:val="7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E1768F">
        <w:rPr>
          <w:rFonts w:ascii="Times New Roman" w:hAnsi="Times New Roman" w:cs="Times New Roman"/>
          <w:kern w:val="0"/>
          <w:sz w:val="24"/>
          <w:szCs w:val="24"/>
        </w:rPr>
        <w:t xml:space="preserve">Консорціум NOHA (2017) </w:t>
      </w:r>
      <w:hyperlink r:id="rId43" w:history="1">
        <w:r w:rsidRPr="00E1768F">
          <w:rPr>
            <w:rStyle w:val="a8"/>
            <w:rFonts w:ascii="Times New Roman" w:hAnsi="Times New Roman" w:cs="Times New Roman"/>
            <w:sz w:val="24"/>
            <w:szCs w:val="24"/>
          </w:rPr>
          <w:t>Спільна уго</w:t>
        </w:r>
        <w:r w:rsidRPr="00E1768F">
          <w:rPr>
            <w:rStyle w:val="a8"/>
            <w:rFonts w:ascii="Times New Roman" w:hAnsi="Times New Roman" w:cs="Times New Roman"/>
            <w:sz w:val="24"/>
            <w:szCs w:val="24"/>
          </w:rPr>
          <w:t>д</w:t>
        </w:r>
        <w:r w:rsidRPr="00E1768F">
          <w:rPr>
            <w:rStyle w:val="a8"/>
            <w:rFonts w:ascii="Times New Roman" w:hAnsi="Times New Roman" w:cs="Times New Roman"/>
            <w:sz w:val="24"/>
            <w:szCs w:val="24"/>
          </w:rPr>
          <w:t>а про консорціум</w:t>
        </w:r>
      </w:hyperlink>
      <w:r w:rsidR="004C6252" w:rsidRPr="00E1768F">
        <w:rPr>
          <w:rFonts w:ascii="Times New Roman" w:hAnsi="Times New Roman" w:cs="Times New Roman"/>
          <w:kern w:val="0"/>
          <w:sz w:val="24"/>
          <w:szCs w:val="24"/>
        </w:rPr>
        <w:t xml:space="preserve"> (Спільна магістерська програма Erasmus Mundus).</w:t>
      </w:r>
    </w:p>
    <w:p w14:paraId="329FFE86" w14:textId="3DD4F426" w:rsidR="001C1F18" w:rsidRPr="00667A2C" w:rsidRDefault="008941D6" w:rsidP="00667A2C">
      <w:pPr>
        <w:pStyle w:val="1"/>
        <w:spacing w:before="100" w:beforeAutospacing="1" w:after="100" w:afterAutospacing="1" w:line="240" w:lineRule="auto"/>
        <w:rPr>
          <w:rFonts w:ascii="Times New Roman" w:hAnsi="Times New Roman" w:cs="Times New Roman"/>
          <w:b/>
          <w:bCs/>
          <w:sz w:val="24"/>
          <w:szCs w:val="24"/>
        </w:rPr>
      </w:pPr>
      <w:bookmarkStart w:id="33" w:name="_Toc188337448"/>
      <w:r w:rsidRPr="00667A2C">
        <w:rPr>
          <w:rFonts w:ascii="Times New Roman" w:hAnsi="Times New Roman" w:cs="Times New Roman"/>
          <w:b/>
          <w:bCs/>
          <w:sz w:val="24"/>
          <w:szCs w:val="24"/>
        </w:rPr>
        <w:lastRenderedPageBreak/>
        <w:t>12. ЗАБЕЗПЕЧЕННЯ ЯКОСТІ ТА АКРЕДИТАЦІЯ</w:t>
      </w:r>
      <w:bookmarkEnd w:id="33"/>
    </w:p>
    <w:p w14:paraId="3F556BA2" w14:textId="77777777" w:rsidR="00D051ED" w:rsidRDefault="00D051ED" w:rsidP="00D051E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Важливо </w:t>
      </w:r>
      <w:r w:rsidR="00B31650" w:rsidRPr="00667A2C">
        <w:rPr>
          <w:rFonts w:ascii="Times New Roman" w:hAnsi="Times New Roman" w:cs="Times New Roman"/>
          <w:kern w:val="0"/>
          <w:sz w:val="24"/>
          <w:szCs w:val="24"/>
        </w:rPr>
        <w:t>ознайомтес</w:t>
      </w:r>
      <w:r>
        <w:rPr>
          <w:rFonts w:ascii="Times New Roman" w:hAnsi="Times New Roman" w:cs="Times New Roman"/>
          <w:kern w:val="0"/>
          <w:sz w:val="24"/>
          <w:szCs w:val="24"/>
        </w:rPr>
        <w:t>я</w:t>
      </w:r>
      <w:r w:rsidR="00B31650" w:rsidRPr="00667A2C">
        <w:rPr>
          <w:rFonts w:ascii="Times New Roman" w:hAnsi="Times New Roman" w:cs="Times New Roman"/>
          <w:kern w:val="0"/>
          <w:sz w:val="24"/>
          <w:szCs w:val="24"/>
        </w:rPr>
        <w:t xml:space="preserve"> з національним законодавством щодо забезпечення якості та акредитації в усіх країнах</w:t>
      </w:r>
      <w:r>
        <w:rPr>
          <w:rFonts w:ascii="Times New Roman" w:hAnsi="Times New Roman" w:cs="Times New Roman"/>
          <w:kern w:val="0"/>
          <w:sz w:val="24"/>
          <w:szCs w:val="24"/>
        </w:rPr>
        <w:t>-учасницях консорціуму</w:t>
      </w:r>
      <w:r w:rsidR="00B31650" w:rsidRPr="00667A2C">
        <w:rPr>
          <w:rFonts w:ascii="Times New Roman" w:hAnsi="Times New Roman" w:cs="Times New Roman"/>
          <w:kern w:val="0"/>
          <w:sz w:val="24"/>
          <w:szCs w:val="24"/>
        </w:rPr>
        <w:t xml:space="preserve">, де </w:t>
      </w:r>
      <w:r>
        <w:rPr>
          <w:rFonts w:ascii="Times New Roman" w:hAnsi="Times New Roman" w:cs="Times New Roman"/>
          <w:kern w:val="0"/>
          <w:sz w:val="24"/>
          <w:szCs w:val="24"/>
        </w:rPr>
        <w:t xml:space="preserve">заклади-партнери реалізуватимуть </w:t>
      </w:r>
      <w:r w:rsidR="00B31650" w:rsidRPr="00667A2C">
        <w:rPr>
          <w:rFonts w:ascii="Times New Roman" w:hAnsi="Times New Roman" w:cs="Times New Roman"/>
          <w:kern w:val="0"/>
          <w:sz w:val="24"/>
          <w:szCs w:val="24"/>
        </w:rPr>
        <w:t>частини спільної програми</w:t>
      </w:r>
      <w:r>
        <w:rPr>
          <w:rFonts w:ascii="Times New Roman" w:hAnsi="Times New Roman" w:cs="Times New Roman"/>
          <w:kern w:val="0"/>
          <w:sz w:val="24"/>
          <w:szCs w:val="24"/>
        </w:rPr>
        <w:t>, та визначити</w:t>
      </w:r>
      <w:r w:rsidR="00B31650" w:rsidRPr="00667A2C">
        <w:rPr>
          <w:rFonts w:ascii="Times New Roman" w:hAnsi="Times New Roman" w:cs="Times New Roman"/>
          <w:kern w:val="0"/>
          <w:sz w:val="24"/>
          <w:szCs w:val="24"/>
        </w:rPr>
        <w:t xml:space="preserve"> спільні орієнтири для моніторингу якості.</w:t>
      </w:r>
    </w:p>
    <w:p w14:paraId="12D10E8F" w14:textId="12D4EE61" w:rsidR="00B31650" w:rsidRPr="00667A2C" w:rsidRDefault="00D051ED" w:rsidP="00D051E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міжнародних спільних програм необхідно р</w:t>
      </w:r>
      <w:r w:rsidR="00B31650" w:rsidRPr="00667A2C">
        <w:rPr>
          <w:rFonts w:ascii="Times New Roman" w:hAnsi="Times New Roman" w:cs="Times New Roman"/>
          <w:kern w:val="0"/>
          <w:sz w:val="24"/>
          <w:szCs w:val="24"/>
        </w:rPr>
        <w:t>озглян</w:t>
      </w:r>
      <w:r>
        <w:rPr>
          <w:rFonts w:ascii="Times New Roman" w:hAnsi="Times New Roman" w:cs="Times New Roman"/>
          <w:kern w:val="0"/>
          <w:sz w:val="24"/>
          <w:szCs w:val="24"/>
        </w:rPr>
        <w:t>ути</w:t>
      </w:r>
      <w:r w:rsidR="00B31650" w:rsidRPr="00667A2C">
        <w:rPr>
          <w:rFonts w:ascii="Times New Roman" w:hAnsi="Times New Roman" w:cs="Times New Roman"/>
          <w:kern w:val="0"/>
          <w:sz w:val="24"/>
          <w:szCs w:val="24"/>
        </w:rPr>
        <w:t xml:space="preserve"> можливість використання </w:t>
      </w:r>
      <w:hyperlink r:id="rId44" w:history="1">
        <w:r w:rsidR="00B31650" w:rsidRPr="00667A2C">
          <w:rPr>
            <w:rStyle w:val="a8"/>
            <w:rFonts w:ascii="Times New Roman" w:hAnsi="Times New Roman" w:cs="Times New Roman"/>
            <w:sz w:val="24"/>
            <w:szCs w:val="24"/>
          </w:rPr>
          <w:t>Європейського підходу до забезпечення якості спільних програм</w:t>
        </w:r>
        <w:r w:rsidR="00B31650" w:rsidRPr="00DF0250">
          <w:rPr>
            <w:rStyle w:val="a8"/>
            <w:rFonts w:ascii="Times New Roman" w:hAnsi="Times New Roman" w:cs="Times New Roman"/>
            <w:sz w:val="24"/>
            <w:szCs w:val="24"/>
            <w:u w:val="none"/>
          </w:rPr>
          <w:t xml:space="preserve"> </w:t>
        </w:r>
      </w:hyperlink>
      <w:r w:rsidR="00B31650" w:rsidRPr="00667A2C">
        <w:rPr>
          <w:rFonts w:ascii="Times New Roman" w:hAnsi="Times New Roman" w:cs="Times New Roman"/>
          <w:color w:val="000000"/>
          <w:kern w:val="0"/>
          <w:sz w:val="24"/>
          <w:szCs w:val="24"/>
        </w:rPr>
        <w:t xml:space="preserve">– єдиного оцінювання </w:t>
      </w:r>
      <w:r w:rsidR="00A74166">
        <w:rPr>
          <w:rFonts w:ascii="Times New Roman" w:hAnsi="Times New Roman" w:cs="Times New Roman"/>
          <w:color w:val="000000"/>
          <w:kern w:val="0"/>
          <w:sz w:val="24"/>
          <w:szCs w:val="24"/>
        </w:rPr>
        <w:t xml:space="preserve">освітньої </w:t>
      </w:r>
      <w:r w:rsidR="00B31650" w:rsidRPr="00667A2C">
        <w:rPr>
          <w:rFonts w:ascii="Times New Roman" w:hAnsi="Times New Roman" w:cs="Times New Roman"/>
          <w:color w:val="000000"/>
          <w:kern w:val="0"/>
          <w:sz w:val="24"/>
          <w:szCs w:val="24"/>
        </w:rPr>
        <w:t>програми, яке може заощадити багато часу. Це особливо корисно, коли два чи більше партнерів консорціуму знаходяться в країн</w:t>
      </w:r>
      <w:r w:rsidR="009A60C3">
        <w:rPr>
          <w:rFonts w:ascii="Times New Roman" w:hAnsi="Times New Roman" w:cs="Times New Roman"/>
          <w:color w:val="000000"/>
          <w:kern w:val="0"/>
          <w:sz w:val="24"/>
          <w:szCs w:val="24"/>
        </w:rPr>
        <w:t>ах</w:t>
      </w:r>
      <w:r w:rsidR="00B31650" w:rsidRPr="00667A2C">
        <w:rPr>
          <w:rFonts w:ascii="Times New Roman" w:hAnsi="Times New Roman" w:cs="Times New Roman"/>
          <w:color w:val="000000"/>
          <w:kern w:val="0"/>
          <w:sz w:val="24"/>
          <w:szCs w:val="24"/>
        </w:rPr>
        <w:t xml:space="preserve">, </w:t>
      </w:r>
      <w:r w:rsidR="009A60C3">
        <w:rPr>
          <w:rFonts w:ascii="Times New Roman" w:hAnsi="Times New Roman" w:cs="Times New Roman"/>
          <w:color w:val="000000"/>
          <w:kern w:val="0"/>
          <w:sz w:val="24"/>
          <w:szCs w:val="24"/>
        </w:rPr>
        <w:t>де</w:t>
      </w:r>
      <w:r w:rsidR="00B31650" w:rsidRPr="00667A2C">
        <w:rPr>
          <w:rFonts w:ascii="Times New Roman" w:hAnsi="Times New Roman" w:cs="Times New Roman"/>
          <w:color w:val="000000"/>
          <w:kern w:val="0"/>
          <w:sz w:val="24"/>
          <w:szCs w:val="24"/>
        </w:rPr>
        <w:t xml:space="preserve"> вимагає</w:t>
      </w:r>
      <w:r w:rsidR="009A60C3">
        <w:rPr>
          <w:rFonts w:ascii="Times New Roman" w:hAnsi="Times New Roman" w:cs="Times New Roman"/>
          <w:color w:val="000000"/>
          <w:kern w:val="0"/>
          <w:sz w:val="24"/>
          <w:szCs w:val="24"/>
        </w:rPr>
        <w:t>ться</w:t>
      </w:r>
      <w:r w:rsidR="00B31650" w:rsidRPr="00667A2C">
        <w:rPr>
          <w:rFonts w:ascii="Times New Roman" w:hAnsi="Times New Roman" w:cs="Times New Roman"/>
          <w:color w:val="000000"/>
          <w:kern w:val="0"/>
          <w:sz w:val="24"/>
          <w:szCs w:val="24"/>
        </w:rPr>
        <w:t xml:space="preserve"> акредитаці</w:t>
      </w:r>
      <w:r w:rsidR="009A60C3">
        <w:rPr>
          <w:rFonts w:ascii="Times New Roman" w:hAnsi="Times New Roman" w:cs="Times New Roman"/>
          <w:color w:val="000000"/>
          <w:kern w:val="0"/>
          <w:sz w:val="24"/>
          <w:szCs w:val="24"/>
        </w:rPr>
        <w:t>я</w:t>
      </w:r>
      <w:r w:rsidR="00B31650" w:rsidRPr="00667A2C">
        <w:rPr>
          <w:rFonts w:ascii="Times New Roman" w:hAnsi="Times New Roman" w:cs="Times New Roman"/>
          <w:color w:val="000000"/>
          <w:kern w:val="0"/>
          <w:sz w:val="24"/>
          <w:szCs w:val="24"/>
        </w:rPr>
        <w:t xml:space="preserve"> на рівні </w:t>
      </w:r>
      <w:r w:rsidR="009A60C3">
        <w:rPr>
          <w:rFonts w:ascii="Times New Roman" w:hAnsi="Times New Roman" w:cs="Times New Roman"/>
          <w:color w:val="000000"/>
          <w:kern w:val="0"/>
          <w:sz w:val="24"/>
          <w:szCs w:val="24"/>
        </w:rPr>
        <w:t xml:space="preserve">освітньої </w:t>
      </w:r>
      <w:r w:rsidR="00B31650" w:rsidRPr="00667A2C">
        <w:rPr>
          <w:rFonts w:ascii="Times New Roman" w:hAnsi="Times New Roman" w:cs="Times New Roman"/>
          <w:color w:val="000000"/>
          <w:kern w:val="0"/>
          <w:sz w:val="24"/>
          <w:szCs w:val="24"/>
        </w:rPr>
        <w:t>програми</w:t>
      </w:r>
      <w:r w:rsidR="00B31650" w:rsidRPr="00667A2C">
        <w:rPr>
          <w:rFonts w:ascii="Times New Roman" w:hAnsi="Times New Roman" w:cs="Times New Roman"/>
          <w:kern w:val="0"/>
          <w:sz w:val="24"/>
          <w:szCs w:val="24"/>
        </w:rPr>
        <w:t>.</w:t>
      </w:r>
    </w:p>
    <w:p w14:paraId="7E7910DA" w14:textId="64E640D2" w:rsidR="001C1F18" w:rsidRPr="009031B0" w:rsidRDefault="001C1F18" w:rsidP="00667A2C">
      <w:pPr>
        <w:pStyle w:val="2"/>
        <w:spacing w:before="100" w:beforeAutospacing="1" w:after="100" w:afterAutospacing="1" w:line="240" w:lineRule="auto"/>
        <w:rPr>
          <w:rFonts w:ascii="Times New Roman" w:hAnsi="Times New Roman" w:cs="Times New Roman"/>
          <w:b/>
          <w:bCs/>
          <w:sz w:val="24"/>
          <w:szCs w:val="24"/>
        </w:rPr>
      </w:pPr>
      <w:bookmarkStart w:id="34" w:name="_Toc188337451"/>
      <w:r w:rsidRPr="009031B0">
        <w:rPr>
          <w:rFonts w:ascii="Times New Roman" w:hAnsi="Times New Roman" w:cs="Times New Roman"/>
          <w:b/>
          <w:bCs/>
          <w:sz w:val="24"/>
          <w:szCs w:val="24"/>
        </w:rPr>
        <w:t>12.</w:t>
      </w:r>
      <w:r w:rsidR="003B1479" w:rsidRPr="009031B0">
        <w:rPr>
          <w:rFonts w:ascii="Times New Roman" w:hAnsi="Times New Roman" w:cs="Times New Roman"/>
          <w:b/>
          <w:bCs/>
          <w:sz w:val="24"/>
          <w:szCs w:val="24"/>
        </w:rPr>
        <w:t>1</w:t>
      </w:r>
      <w:r w:rsidRPr="009031B0">
        <w:rPr>
          <w:rFonts w:ascii="Times New Roman" w:hAnsi="Times New Roman" w:cs="Times New Roman"/>
          <w:b/>
          <w:bCs/>
          <w:sz w:val="24"/>
          <w:szCs w:val="24"/>
        </w:rPr>
        <w:t>.</w:t>
      </w:r>
      <w:r w:rsidR="00FC4D59" w:rsidRPr="009031B0">
        <w:rPr>
          <w:rFonts w:ascii="Times New Roman" w:hAnsi="Times New Roman" w:cs="Times New Roman"/>
          <w:b/>
          <w:bCs/>
          <w:sz w:val="24"/>
          <w:szCs w:val="24"/>
        </w:rPr>
        <w:t xml:space="preserve"> </w:t>
      </w:r>
      <w:r w:rsidRPr="009031B0">
        <w:rPr>
          <w:rFonts w:ascii="Times New Roman" w:hAnsi="Times New Roman" w:cs="Times New Roman"/>
          <w:b/>
          <w:bCs/>
          <w:sz w:val="24"/>
          <w:szCs w:val="24"/>
        </w:rPr>
        <w:t>Внутрішнє забезпечення якості</w:t>
      </w:r>
      <w:bookmarkEnd w:id="34"/>
    </w:p>
    <w:p w14:paraId="5DC242F2" w14:textId="43A6DCBA" w:rsidR="001C1F18" w:rsidRPr="00667A2C" w:rsidRDefault="00385B0E"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w:t>
      </w:r>
      <w:r w:rsidR="001C1F18" w:rsidRPr="00667A2C">
        <w:rPr>
          <w:rFonts w:ascii="Times New Roman" w:hAnsi="Times New Roman" w:cs="Times New Roman"/>
          <w:kern w:val="0"/>
          <w:sz w:val="24"/>
          <w:szCs w:val="24"/>
        </w:rPr>
        <w:t xml:space="preserve">нутрішні заходи забезпечення якості для спільної програми </w:t>
      </w:r>
      <w:r>
        <w:rPr>
          <w:rFonts w:ascii="Times New Roman" w:hAnsi="Times New Roman" w:cs="Times New Roman"/>
          <w:kern w:val="0"/>
          <w:sz w:val="24"/>
          <w:szCs w:val="24"/>
        </w:rPr>
        <w:t xml:space="preserve">слід розробляти </w:t>
      </w:r>
      <w:r w:rsidR="001C1F18" w:rsidRPr="00667A2C">
        <w:rPr>
          <w:rFonts w:ascii="Times New Roman" w:hAnsi="Times New Roman" w:cs="Times New Roman"/>
          <w:kern w:val="0"/>
          <w:sz w:val="24"/>
          <w:szCs w:val="24"/>
        </w:rPr>
        <w:t>на</w:t>
      </w:r>
      <w:r w:rsidR="003C2D56" w:rsidRPr="00667A2C">
        <w:rPr>
          <w:rFonts w:ascii="Times New Roman" w:hAnsi="Times New Roman" w:cs="Times New Roman"/>
          <w:kern w:val="0"/>
          <w:sz w:val="24"/>
          <w:szCs w:val="24"/>
        </w:rPr>
        <w:t xml:space="preserve"> основі вже</w:t>
      </w:r>
      <w:r w:rsidR="001C1F18" w:rsidRPr="00667A2C">
        <w:rPr>
          <w:rFonts w:ascii="Times New Roman" w:hAnsi="Times New Roman" w:cs="Times New Roman"/>
          <w:kern w:val="0"/>
          <w:sz w:val="24"/>
          <w:szCs w:val="24"/>
        </w:rPr>
        <w:t xml:space="preserve"> існуючих внутрішніх заход</w:t>
      </w:r>
      <w:r w:rsidR="003C2D56" w:rsidRPr="00667A2C">
        <w:rPr>
          <w:rFonts w:ascii="Times New Roman" w:hAnsi="Times New Roman" w:cs="Times New Roman"/>
          <w:kern w:val="0"/>
          <w:sz w:val="24"/>
          <w:szCs w:val="24"/>
        </w:rPr>
        <w:t>ів</w:t>
      </w:r>
      <w:r w:rsidR="001C1F18" w:rsidRPr="00667A2C">
        <w:rPr>
          <w:rFonts w:ascii="Times New Roman" w:hAnsi="Times New Roman" w:cs="Times New Roman"/>
          <w:kern w:val="0"/>
          <w:sz w:val="24"/>
          <w:szCs w:val="24"/>
        </w:rPr>
        <w:t xml:space="preserve"> забезпечення якості. Одним із варіантів є взаємне визнання внутрішніх схем забезпечення якості </w:t>
      </w:r>
      <w:r w:rsidR="003C2D56" w:rsidRPr="00667A2C">
        <w:rPr>
          <w:rFonts w:ascii="Times New Roman" w:hAnsi="Times New Roman" w:cs="Times New Roman"/>
          <w:kern w:val="0"/>
          <w:sz w:val="24"/>
          <w:szCs w:val="24"/>
        </w:rPr>
        <w:t>закладів</w:t>
      </w:r>
      <w:r w:rsidR="001C1F18" w:rsidRPr="00667A2C">
        <w:rPr>
          <w:rFonts w:ascii="Times New Roman" w:hAnsi="Times New Roman" w:cs="Times New Roman"/>
          <w:kern w:val="0"/>
          <w:sz w:val="24"/>
          <w:szCs w:val="24"/>
        </w:rPr>
        <w:t>-</w:t>
      </w:r>
      <w:r>
        <w:rPr>
          <w:rFonts w:ascii="Times New Roman" w:hAnsi="Times New Roman" w:cs="Times New Roman"/>
          <w:kern w:val="0"/>
          <w:sz w:val="24"/>
          <w:szCs w:val="24"/>
        </w:rPr>
        <w:t>партнерів</w:t>
      </w:r>
      <w:r w:rsidR="001C1F18" w:rsidRPr="00667A2C">
        <w:rPr>
          <w:rFonts w:ascii="Times New Roman" w:hAnsi="Times New Roman" w:cs="Times New Roman"/>
          <w:kern w:val="0"/>
          <w:sz w:val="24"/>
          <w:szCs w:val="24"/>
        </w:rPr>
        <w:t xml:space="preserve"> і включення </w:t>
      </w:r>
      <w:r w:rsidR="003C2D56" w:rsidRPr="00667A2C">
        <w:rPr>
          <w:rFonts w:ascii="Times New Roman" w:hAnsi="Times New Roman" w:cs="Times New Roman"/>
          <w:kern w:val="0"/>
          <w:sz w:val="24"/>
          <w:szCs w:val="24"/>
        </w:rPr>
        <w:t>відповідного</w:t>
      </w:r>
      <w:r w:rsidR="001C1F18" w:rsidRPr="00667A2C">
        <w:rPr>
          <w:rFonts w:ascii="Times New Roman" w:hAnsi="Times New Roman" w:cs="Times New Roman"/>
          <w:kern w:val="0"/>
          <w:sz w:val="24"/>
          <w:szCs w:val="24"/>
        </w:rPr>
        <w:t xml:space="preserve"> положення в угоду </w:t>
      </w:r>
      <w:r>
        <w:rPr>
          <w:rFonts w:ascii="Times New Roman" w:hAnsi="Times New Roman" w:cs="Times New Roman"/>
          <w:kern w:val="0"/>
          <w:sz w:val="24"/>
          <w:szCs w:val="24"/>
        </w:rPr>
        <w:t xml:space="preserve">про співпрацю </w:t>
      </w:r>
      <w:r w:rsidR="001C1F18" w:rsidRPr="00667A2C">
        <w:rPr>
          <w:rFonts w:ascii="Times New Roman" w:hAnsi="Times New Roman" w:cs="Times New Roman"/>
          <w:kern w:val="0"/>
          <w:sz w:val="24"/>
          <w:szCs w:val="24"/>
        </w:rPr>
        <w:t xml:space="preserve">між </w:t>
      </w:r>
      <w:r w:rsidR="003C2D56" w:rsidRPr="00667A2C">
        <w:rPr>
          <w:rFonts w:ascii="Times New Roman" w:hAnsi="Times New Roman" w:cs="Times New Roman"/>
          <w:kern w:val="0"/>
          <w:sz w:val="24"/>
          <w:szCs w:val="24"/>
        </w:rPr>
        <w:t>заклад</w:t>
      </w:r>
      <w:r w:rsidR="001C1F18" w:rsidRPr="00667A2C">
        <w:rPr>
          <w:rFonts w:ascii="Times New Roman" w:hAnsi="Times New Roman" w:cs="Times New Roman"/>
          <w:kern w:val="0"/>
          <w:sz w:val="24"/>
          <w:szCs w:val="24"/>
        </w:rPr>
        <w:t>ами.</w:t>
      </w:r>
      <w:r w:rsidR="00FC4D59" w:rsidRPr="00667A2C">
        <w:rPr>
          <w:rFonts w:ascii="Times New Roman" w:hAnsi="Times New Roman" w:cs="Times New Roman"/>
          <w:kern w:val="0"/>
          <w:sz w:val="24"/>
          <w:szCs w:val="24"/>
        </w:rPr>
        <w:t xml:space="preserve"> </w:t>
      </w:r>
      <w:r w:rsidR="003C2D56" w:rsidRPr="00667A2C">
        <w:rPr>
          <w:rFonts w:ascii="Times New Roman" w:hAnsi="Times New Roman" w:cs="Times New Roman"/>
          <w:kern w:val="0"/>
          <w:sz w:val="24"/>
          <w:szCs w:val="24"/>
        </w:rPr>
        <w:t xml:space="preserve">Консорціум може розробити додаткові критерії, які детальніше </w:t>
      </w:r>
      <w:r>
        <w:rPr>
          <w:rFonts w:ascii="Times New Roman" w:hAnsi="Times New Roman" w:cs="Times New Roman"/>
          <w:kern w:val="0"/>
          <w:sz w:val="24"/>
          <w:szCs w:val="24"/>
        </w:rPr>
        <w:t>презентують</w:t>
      </w:r>
      <w:r w:rsidR="003C2D56" w:rsidRPr="00667A2C">
        <w:rPr>
          <w:rFonts w:ascii="Times New Roman" w:hAnsi="Times New Roman" w:cs="Times New Roman"/>
          <w:kern w:val="0"/>
          <w:sz w:val="24"/>
          <w:szCs w:val="24"/>
        </w:rPr>
        <w:t xml:space="preserve"> аспекти, пов’язані зі «спільністю» програми, наприклад способи спільного формування навчального плану, організації та забезпечення якості спільної програми.</w:t>
      </w:r>
    </w:p>
    <w:p w14:paraId="3F52D33C" w14:textId="41A4B6A7" w:rsidR="001C1F18" w:rsidRPr="00667A2C" w:rsidRDefault="001C2C6A"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w:t>
      </w:r>
      <w:r w:rsidR="001C1F18" w:rsidRPr="00667A2C">
        <w:rPr>
          <w:rFonts w:ascii="Times New Roman" w:hAnsi="Times New Roman" w:cs="Times New Roman"/>
          <w:kern w:val="0"/>
          <w:sz w:val="24"/>
          <w:szCs w:val="24"/>
        </w:rPr>
        <w:t xml:space="preserve">оцільно </w:t>
      </w:r>
      <w:r>
        <w:rPr>
          <w:rFonts w:ascii="Times New Roman" w:hAnsi="Times New Roman" w:cs="Times New Roman"/>
          <w:kern w:val="0"/>
          <w:sz w:val="24"/>
          <w:szCs w:val="24"/>
        </w:rPr>
        <w:t>додатково розробити</w:t>
      </w:r>
      <w:r w:rsidR="001C1F18" w:rsidRPr="00667A2C">
        <w:rPr>
          <w:rFonts w:ascii="Times New Roman" w:hAnsi="Times New Roman" w:cs="Times New Roman"/>
          <w:kern w:val="0"/>
          <w:sz w:val="24"/>
          <w:szCs w:val="24"/>
        </w:rPr>
        <w:t xml:space="preserve"> спільну систему внутрішнього забезпечення якості, використовуючи, наприклад, опитування студентів, обраних представників студент</w:t>
      </w:r>
      <w:r w:rsidR="003C2D56" w:rsidRPr="00667A2C">
        <w:rPr>
          <w:rFonts w:ascii="Times New Roman" w:hAnsi="Times New Roman" w:cs="Times New Roman"/>
          <w:kern w:val="0"/>
          <w:sz w:val="24"/>
          <w:szCs w:val="24"/>
        </w:rPr>
        <w:t>ства</w:t>
      </w:r>
      <w:r>
        <w:rPr>
          <w:rFonts w:ascii="Times New Roman" w:hAnsi="Times New Roman" w:cs="Times New Roman"/>
          <w:kern w:val="0"/>
          <w:sz w:val="24"/>
          <w:szCs w:val="24"/>
        </w:rPr>
        <w:t>,</w:t>
      </w:r>
      <w:r w:rsidR="001C1F18" w:rsidRPr="00667A2C">
        <w:rPr>
          <w:rFonts w:ascii="Times New Roman" w:hAnsi="Times New Roman" w:cs="Times New Roman"/>
          <w:kern w:val="0"/>
          <w:sz w:val="24"/>
          <w:szCs w:val="24"/>
        </w:rPr>
        <w:t xml:space="preserve"> обговорення </w:t>
      </w:r>
      <w:r>
        <w:rPr>
          <w:rFonts w:ascii="Times New Roman" w:hAnsi="Times New Roman" w:cs="Times New Roman"/>
          <w:kern w:val="0"/>
          <w:sz w:val="24"/>
          <w:szCs w:val="24"/>
        </w:rPr>
        <w:t>п</w:t>
      </w:r>
      <w:r w:rsidR="001C1F18" w:rsidRPr="00667A2C">
        <w:rPr>
          <w:rFonts w:ascii="Times New Roman" w:hAnsi="Times New Roman" w:cs="Times New Roman"/>
          <w:kern w:val="0"/>
          <w:sz w:val="24"/>
          <w:szCs w:val="24"/>
        </w:rPr>
        <w:t>равління</w:t>
      </w:r>
      <w:r w:rsidR="003C2D56" w:rsidRPr="00667A2C">
        <w:rPr>
          <w:rFonts w:ascii="Times New Roman" w:hAnsi="Times New Roman" w:cs="Times New Roman"/>
          <w:kern w:val="0"/>
          <w:sz w:val="24"/>
          <w:szCs w:val="24"/>
        </w:rPr>
        <w:t>м</w:t>
      </w:r>
      <w:r w:rsidR="001C1F18" w:rsidRPr="00667A2C">
        <w:rPr>
          <w:rFonts w:ascii="Times New Roman" w:hAnsi="Times New Roman" w:cs="Times New Roman"/>
          <w:kern w:val="0"/>
          <w:sz w:val="24"/>
          <w:szCs w:val="24"/>
        </w:rPr>
        <w:t xml:space="preserve"> </w:t>
      </w:r>
      <w:r>
        <w:rPr>
          <w:rFonts w:ascii="Times New Roman" w:hAnsi="Times New Roman" w:cs="Times New Roman"/>
          <w:kern w:val="0"/>
          <w:sz w:val="24"/>
          <w:szCs w:val="24"/>
        </w:rPr>
        <w:t>к</w:t>
      </w:r>
      <w:r w:rsidR="001C1F18" w:rsidRPr="00667A2C">
        <w:rPr>
          <w:rFonts w:ascii="Times New Roman" w:hAnsi="Times New Roman" w:cs="Times New Roman"/>
          <w:kern w:val="0"/>
          <w:sz w:val="24"/>
          <w:szCs w:val="24"/>
        </w:rPr>
        <w:t>онсорціуму на кожному засіданні (дв</w:t>
      </w:r>
      <w:r w:rsidR="003C2D56" w:rsidRPr="00667A2C">
        <w:rPr>
          <w:rFonts w:ascii="Times New Roman" w:hAnsi="Times New Roman" w:cs="Times New Roman"/>
          <w:kern w:val="0"/>
          <w:sz w:val="24"/>
          <w:szCs w:val="24"/>
        </w:rPr>
        <w:t>ічі</w:t>
      </w:r>
      <w:r w:rsidR="001C1F18" w:rsidRPr="00667A2C">
        <w:rPr>
          <w:rFonts w:ascii="Times New Roman" w:hAnsi="Times New Roman" w:cs="Times New Roman"/>
          <w:kern w:val="0"/>
          <w:sz w:val="24"/>
          <w:szCs w:val="24"/>
        </w:rPr>
        <w:t xml:space="preserve"> </w:t>
      </w:r>
      <w:r>
        <w:rPr>
          <w:rFonts w:ascii="Times New Roman" w:hAnsi="Times New Roman" w:cs="Times New Roman"/>
          <w:kern w:val="0"/>
          <w:sz w:val="24"/>
          <w:szCs w:val="24"/>
        </w:rPr>
        <w:t>/</w:t>
      </w:r>
      <w:r w:rsidR="001C1F18" w:rsidRPr="00667A2C">
        <w:rPr>
          <w:rFonts w:ascii="Times New Roman" w:hAnsi="Times New Roman" w:cs="Times New Roman"/>
          <w:kern w:val="0"/>
          <w:sz w:val="24"/>
          <w:szCs w:val="24"/>
        </w:rPr>
        <w:t xml:space="preserve"> три</w:t>
      </w:r>
      <w:r w:rsidR="003C2D56" w:rsidRPr="00667A2C">
        <w:rPr>
          <w:rFonts w:ascii="Times New Roman" w:hAnsi="Times New Roman" w:cs="Times New Roman"/>
          <w:kern w:val="0"/>
          <w:sz w:val="24"/>
          <w:szCs w:val="24"/>
        </w:rPr>
        <w:t>чі</w:t>
      </w:r>
      <w:r w:rsidR="001C1F18" w:rsidRPr="00667A2C">
        <w:rPr>
          <w:rFonts w:ascii="Times New Roman" w:hAnsi="Times New Roman" w:cs="Times New Roman"/>
          <w:kern w:val="0"/>
          <w:sz w:val="24"/>
          <w:szCs w:val="24"/>
        </w:rPr>
        <w:t xml:space="preserve"> на рік).</w:t>
      </w:r>
      <w:r w:rsidR="00EA230D">
        <w:rPr>
          <w:rFonts w:ascii="Times New Roman" w:hAnsi="Times New Roman" w:cs="Times New Roman"/>
          <w:kern w:val="0"/>
          <w:sz w:val="24"/>
          <w:szCs w:val="24"/>
        </w:rPr>
        <w:t xml:space="preserve"> </w:t>
      </w:r>
      <w:r w:rsidR="003164E3" w:rsidRPr="00667A2C">
        <w:rPr>
          <w:rFonts w:ascii="Times New Roman" w:hAnsi="Times New Roman" w:cs="Times New Roman"/>
          <w:color w:val="000000"/>
          <w:kern w:val="0"/>
          <w:sz w:val="24"/>
          <w:szCs w:val="24"/>
        </w:rPr>
        <w:t>Для</w:t>
      </w:r>
      <w:r w:rsidR="003C2D56" w:rsidRPr="00667A2C">
        <w:rPr>
          <w:rFonts w:ascii="Times New Roman" w:hAnsi="Times New Roman" w:cs="Times New Roman"/>
          <w:color w:val="000000"/>
          <w:kern w:val="0"/>
          <w:sz w:val="24"/>
          <w:szCs w:val="24"/>
        </w:rPr>
        <w:t xml:space="preserve"> забезпечення міжнародної акредитації спільних програм </w:t>
      </w:r>
      <w:r w:rsidR="001C1F18" w:rsidRPr="00667A2C">
        <w:rPr>
          <w:rFonts w:ascii="Times New Roman" w:hAnsi="Times New Roman" w:cs="Times New Roman"/>
          <w:color w:val="000000"/>
          <w:kern w:val="0"/>
          <w:sz w:val="24"/>
          <w:szCs w:val="24"/>
        </w:rPr>
        <w:t>важливо розробити політику забезпечення якості, включ</w:t>
      </w:r>
      <w:r w:rsidR="003C2D56" w:rsidRPr="00667A2C">
        <w:rPr>
          <w:rFonts w:ascii="Times New Roman" w:hAnsi="Times New Roman" w:cs="Times New Roman"/>
          <w:color w:val="000000"/>
          <w:kern w:val="0"/>
          <w:sz w:val="24"/>
          <w:szCs w:val="24"/>
        </w:rPr>
        <w:t>но з</w:t>
      </w:r>
      <w:r w:rsidR="001C1F18" w:rsidRPr="00667A2C">
        <w:rPr>
          <w:rFonts w:ascii="Times New Roman" w:hAnsi="Times New Roman" w:cs="Times New Roman"/>
          <w:color w:val="000000"/>
          <w:kern w:val="0"/>
          <w:sz w:val="24"/>
          <w:szCs w:val="24"/>
        </w:rPr>
        <w:t xml:space="preserve"> адміністративн</w:t>
      </w:r>
      <w:r w:rsidR="003C2D56" w:rsidRPr="00667A2C">
        <w:rPr>
          <w:rFonts w:ascii="Times New Roman" w:hAnsi="Times New Roman" w:cs="Times New Roman"/>
          <w:color w:val="000000"/>
          <w:kern w:val="0"/>
          <w:sz w:val="24"/>
          <w:szCs w:val="24"/>
        </w:rPr>
        <w:t>ими</w:t>
      </w:r>
      <w:r w:rsidR="001C1F18" w:rsidRPr="00667A2C">
        <w:rPr>
          <w:rFonts w:ascii="Times New Roman" w:hAnsi="Times New Roman" w:cs="Times New Roman"/>
          <w:color w:val="000000"/>
          <w:kern w:val="0"/>
          <w:sz w:val="24"/>
          <w:szCs w:val="24"/>
        </w:rPr>
        <w:t xml:space="preserve"> та академічн</w:t>
      </w:r>
      <w:r w:rsidR="003C2D56" w:rsidRPr="00667A2C">
        <w:rPr>
          <w:rFonts w:ascii="Times New Roman" w:hAnsi="Times New Roman" w:cs="Times New Roman"/>
          <w:color w:val="000000"/>
          <w:kern w:val="0"/>
          <w:sz w:val="24"/>
          <w:szCs w:val="24"/>
        </w:rPr>
        <w:t>ими</w:t>
      </w:r>
      <w:r w:rsidR="001C1F18" w:rsidRPr="00667A2C">
        <w:rPr>
          <w:rFonts w:ascii="Times New Roman" w:hAnsi="Times New Roman" w:cs="Times New Roman"/>
          <w:color w:val="000000"/>
          <w:kern w:val="0"/>
          <w:sz w:val="24"/>
          <w:szCs w:val="24"/>
        </w:rPr>
        <w:t xml:space="preserve"> процедур</w:t>
      </w:r>
      <w:r w:rsidR="003C2D56" w:rsidRPr="00667A2C">
        <w:rPr>
          <w:rFonts w:ascii="Times New Roman" w:hAnsi="Times New Roman" w:cs="Times New Roman"/>
          <w:color w:val="000000"/>
          <w:kern w:val="0"/>
          <w:sz w:val="24"/>
          <w:szCs w:val="24"/>
        </w:rPr>
        <w:t>ам</w:t>
      </w:r>
      <w:r w:rsidR="001C1F18" w:rsidRPr="00667A2C">
        <w:rPr>
          <w:rFonts w:ascii="Times New Roman" w:hAnsi="Times New Roman" w:cs="Times New Roman"/>
          <w:color w:val="000000"/>
          <w:kern w:val="0"/>
          <w:sz w:val="24"/>
          <w:szCs w:val="24"/>
        </w:rPr>
        <w:t>и.</w:t>
      </w:r>
    </w:p>
    <w:p w14:paraId="636DF653" w14:textId="05EC7BD1" w:rsidR="001C1F18" w:rsidRPr="009031B0" w:rsidRDefault="001C1F18" w:rsidP="00667A2C">
      <w:pPr>
        <w:pStyle w:val="2"/>
        <w:spacing w:before="100" w:beforeAutospacing="1" w:after="100" w:afterAutospacing="1" w:line="240" w:lineRule="auto"/>
        <w:rPr>
          <w:rFonts w:ascii="Times New Roman" w:hAnsi="Times New Roman" w:cs="Times New Roman"/>
          <w:b/>
          <w:bCs/>
          <w:sz w:val="24"/>
          <w:szCs w:val="24"/>
        </w:rPr>
      </w:pPr>
      <w:bookmarkStart w:id="35" w:name="_Toc188337452"/>
      <w:r w:rsidRPr="009031B0">
        <w:rPr>
          <w:rFonts w:ascii="Times New Roman" w:hAnsi="Times New Roman" w:cs="Times New Roman"/>
          <w:b/>
          <w:bCs/>
          <w:sz w:val="24"/>
          <w:szCs w:val="24"/>
        </w:rPr>
        <w:t>12.</w:t>
      </w:r>
      <w:r w:rsidR="003B1479" w:rsidRPr="009031B0">
        <w:rPr>
          <w:rFonts w:ascii="Times New Roman" w:hAnsi="Times New Roman" w:cs="Times New Roman"/>
          <w:b/>
          <w:bCs/>
          <w:sz w:val="24"/>
          <w:szCs w:val="24"/>
        </w:rPr>
        <w:t>2</w:t>
      </w:r>
      <w:r w:rsidRPr="009031B0">
        <w:rPr>
          <w:rFonts w:ascii="Times New Roman" w:hAnsi="Times New Roman" w:cs="Times New Roman"/>
          <w:b/>
          <w:bCs/>
          <w:sz w:val="24"/>
          <w:szCs w:val="24"/>
        </w:rPr>
        <w:t>.</w:t>
      </w:r>
      <w:r w:rsidR="00FC4D59" w:rsidRPr="009031B0">
        <w:rPr>
          <w:rFonts w:ascii="Times New Roman" w:hAnsi="Times New Roman" w:cs="Times New Roman"/>
          <w:b/>
          <w:bCs/>
          <w:sz w:val="24"/>
          <w:szCs w:val="24"/>
        </w:rPr>
        <w:t xml:space="preserve"> </w:t>
      </w:r>
      <w:r w:rsidRPr="009031B0">
        <w:rPr>
          <w:rFonts w:ascii="Times New Roman" w:hAnsi="Times New Roman" w:cs="Times New Roman"/>
          <w:b/>
          <w:bCs/>
          <w:sz w:val="24"/>
          <w:szCs w:val="24"/>
        </w:rPr>
        <w:t>Зовнішнє забезпечення якості</w:t>
      </w:r>
      <w:bookmarkEnd w:id="35"/>
    </w:p>
    <w:p w14:paraId="370D3BB1" w14:textId="3A1EF39A" w:rsidR="001C1F18" w:rsidRPr="00667A2C" w:rsidRDefault="001C1F18"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67A2C">
        <w:rPr>
          <w:rFonts w:ascii="Times New Roman" w:hAnsi="Times New Roman" w:cs="Times New Roman"/>
          <w:kern w:val="0"/>
          <w:sz w:val="24"/>
          <w:szCs w:val="24"/>
        </w:rPr>
        <w:t>Координатори спільних програм повинні заздалегідь з</w:t>
      </w:r>
      <w:r w:rsidR="003C2D56" w:rsidRPr="00667A2C">
        <w:rPr>
          <w:rFonts w:ascii="Times New Roman" w:hAnsi="Times New Roman" w:cs="Times New Roman"/>
          <w:kern w:val="0"/>
          <w:sz w:val="24"/>
          <w:szCs w:val="24"/>
        </w:rPr>
        <w:t>’</w:t>
      </w:r>
      <w:r w:rsidRPr="00667A2C">
        <w:rPr>
          <w:rFonts w:ascii="Times New Roman" w:hAnsi="Times New Roman" w:cs="Times New Roman"/>
          <w:kern w:val="0"/>
          <w:sz w:val="24"/>
          <w:szCs w:val="24"/>
        </w:rPr>
        <w:t xml:space="preserve">ясувати, які системи зовнішнього забезпечення якості </w:t>
      </w:r>
      <w:r w:rsidR="00E95F0F" w:rsidRPr="00667A2C">
        <w:rPr>
          <w:rFonts w:ascii="Times New Roman" w:hAnsi="Times New Roman" w:cs="Times New Roman"/>
          <w:kern w:val="0"/>
          <w:sz w:val="24"/>
          <w:szCs w:val="24"/>
        </w:rPr>
        <w:t>є чинними</w:t>
      </w:r>
      <w:r w:rsidRPr="00667A2C">
        <w:rPr>
          <w:rFonts w:ascii="Times New Roman" w:hAnsi="Times New Roman" w:cs="Times New Roman"/>
          <w:kern w:val="0"/>
          <w:sz w:val="24"/>
          <w:szCs w:val="24"/>
        </w:rPr>
        <w:t xml:space="preserve"> для їхньої спільної програми, які аспекти ця система охоплює, а які ні. Національні процеси зовнішнього забезпечення якості вищої освіти відрізняються в різних країнах: в одних країнах існує </w:t>
      </w:r>
      <w:r w:rsidR="009F0B47">
        <w:rPr>
          <w:rFonts w:ascii="Times New Roman" w:hAnsi="Times New Roman" w:cs="Times New Roman"/>
          <w:kern w:val="0"/>
          <w:sz w:val="24"/>
          <w:szCs w:val="24"/>
        </w:rPr>
        <w:t xml:space="preserve">інституційна </w:t>
      </w:r>
      <w:r w:rsidRPr="00667A2C">
        <w:rPr>
          <w:rFonts w:ascii="Times New Roman" w:hAnsi="Times New Roman" w:cs="Times New Roman"/>
          <w:kern w:val="0"/>
          <w:sz w:val="24"/>
          <w:szCs w:val="24"/>
        </w:rPr>
        <w:t xml:space="preserve">акредитація або </w:t>
      </w:r>
      <w:r w:rsidR="009F0B47">
        <w:rPr>
          <w:rFonts w:ascii="Times New Roman" w:hAnsi="Times New Roman" w:cs="Times New Roman"/>
          <w:kern w:val="0"/>
          <w:sz w:val="24"/>
          <w:szCs w:val="24"/>
        </w:rPr>
        <w:t>оцінювання</w:t>
      </w:r>
      <w:r w:rsidR="00E95F0F" w:rsidRPr="00667A2C">
        <w:rPr>
          <w:rFonts w:ascii="Times New Roman" w:hAnsi="Times New Roman" w:cs="Times New Roman"/>
          <w:kern w:val="0"/>
          <w:sz w:val="24"/>
          <w:szCs w:val="24"/>
        </w:rPr>
        <w:t xml:space="preserve"> закладів</w:t>
      </w:r>
      <w:r w:rsidRPr="00667A2C">
        <w:rPr>
          <w:rFonts w:ascii="Times New Roman" w:hAnsi="Times New Roman" w:cs="Times New Roman"/>
          <w:kern w:val="0"/>
          <w:sz w:val="24"/>
          <w:szCs w:val="24"/>
        </w:rPr>
        <w:t xml:space="preserve">, в інших </w:t>
      </w:r>
      <w:r w:rsidR="00E95F0F" w:rsidRPr="00667A2C">
        <w:rPr>
          <w:rFonts w:ascii="Times New Roman" w:hAnsi="Times New Roman" w:cs="Times New Roman"/>
          <w:kern w:val="0"/>
          <w:sz w:val="24"/>
          <w:szCs w:val="24"/>
        </w:rPr>
        <w:t>–</w:t>
      </w:r>
      <w:r w:rsidRPr="00667A2C">
        <w:rPr>
          <w:rFonts w:ascii="Times New Roman" w:hAnsi="Times New Roman" w:cs="Times New Roman"/>
          <w:kern w:val="0"/>
          <w:sz w:val="24"/>
          <w:szCs w:val="24"/>
        </w:rPr>
        <w:t xml:space="preserve"> акредитація</w:t>
      </w:r>
      <w:r w:rsidR="00E95F0F" w:rsidRPr="00667A2C">
        <w:rPr>
          <w:rFonts w:ascii="Times New Roman" w:hAnsi="Times New Roman" w:cs="Times New Roman"/>
          <w:kern w:val="0"/>
          <w:sz w:val="24"/>
          <w:szCs w:val="24"/>
        </w:rPr>
        <w:t xml:space="preserve"> </w:t>
      </w:r>
      <w:r w:rsidRPr="00667A2C">
        <w:rPr>
          <w:rFonts w:ascii="Times New Roman" w:hAnsi="Times New Roman" w:cs="Times New Roman"/>
          <w:kern w:val="0"/>
          <w:sz w:val="24"/>
          <w:szCs w:val="24"/>
        </w:rPr>
        <w:t xml:space="preserve">або оцінювання </w:t>
      </w:r>
      <w:r w:rsidR="009F0B47">
        <w:rPr>
          <w:rFonts w:ascii="Times New Roman" w:hAnsi="Times New Roman" w:cs="Times New Roman"/>
          <w:kern w:val="0"/>
          <w:sz w:val="24"/>
          <w:szCs w:val="24"/>
        </w:rPr>
        <w:t xml:space="preserve">освітніх </w:t>
      </w:r>
      <w:r w:rsidRPr="00667A2C">
        <w:rPr>
          <w:rFonts w:ascii="Times New Roman" w:hAnsi="Times New Roman" w:cs="Times New Roman"/>
          <w:kern w:val="0"/>
          <w:sz w:val="24"/>
          <w:szCs w:val="24"/>
        </w:rPr>
        <w:t>програм, або поєднання</w:t>
      </w:r>
      <w:r w:rsidR="00E95F0F" w:rsidRPr="00667A2C">
        <w:rPr>
          <w:rFonts w:ascii="Times New Roman" w:hAnsi="Times New Roman" w:cs="Times New Roman"/>
          <w:kern w:val="0"/>
          <w:sz w:val="24"/>
          <w:szCs w:val="24"/>
        </w:rPr>
        <w:t xml:space="preserve"> обох підходів</w:t>
      </w:r>
      <w:r w:rsidRPr="00667A2C">
        <w:rPr>
          <w:rFonts w:ascii="Times New Roman" w:hAnsi="Times New Roman" w:cs="Times New Roman"/>
          <w:kern w:val="0"/>
          <w:sz w:val="24"/>
          <w:szCs w:val="24"/>
        </w:rPr>
        <w:t xml:space="preserve">. Вимоги та процедури акредитації на рівні </w:t>
      </w:r>
      <w:r w:rsidR="00D92208">
        <w:rPr>
          <w:rFonts w:ascii="Times New Roman" w:hAnsi="Times New Roman" w:cs="Times New Roman"/>
          <w:kern w:val="0"/>
          <w:sz w:val="24"/>
          <w:szCs w:val="24"/>
        </w:rPr>
        <w:t xml:space="preserve">освітніх </w:t>
      </w:r>
      <w:r w:rsidRPr="00667A2C">
        <w:rPr>
          <w:rFonts w:ascii="Times New Roman" w:hAnsi="Times New Roman" w:cs="Times New Roman"/>
          <w:kern w:val="0"/>
          <w:sz w:val="24"/>
          <w:szCs w:val="24"/>
        </w:rPr>
        <w:t xml:space="preserve">програм </w:t>
      </w:r>
      <w:r w:rsidR="00D92208">
        <w:rPr>
          <w:rFonts w:ascii="Times New Roman" w:hAnsi="Times New Roman" w:cs="Times New Roman"/>
          <w:kern w:val="0"/>
          <w:sz w:val="24"/>
          <w:szCs w:val="24"/>
        </w:rPr>
        <w:t xml:space="preserve">можуть </w:t>
      </w:r>
      <w:r w:rsidRPr="00667A2C">
        <w:rPr>
          <w:rFonts w:ascii="Times New Roman" w:hAnsi="Times New Roman" w:cs="Times New Roman"/>
          <w:kern w:val="0"/>
          <w:sz w:val="24"/>
          <w:szCs w:val="24"/>
        </w:rPr>
        <w:t>відрізня</w:t>
      </w:r>
      <w:r w:rsidR="00D92208">
        <w:rPr>
          <w:rFonts w:ascii="Times New Roman" w:hAnsi="Times New Roman" w:cs="Times New Roman"/>
          <w:kern w:val="0"/>
          <w:sz w:val="24"/>
          <w:szCs w:val="24"/>
        </w:rPr>
        <w:t>тис</w:t>
      </w:r>
      <w:r w:rsidRPr="00667A2C">
        <w:rPr>
          <w:rFonts w:ascii="Times New Roman" w:hAnsi="Times New Roman" w:cs="Times New Roman"/>
          <w:kern w:val="0"/>
          <w:sz w:val="24"/>
          <w:szCs w:val="24"/>
        </w:rPr>
        <w:t>я в різних національних системах</w:t>
      </w:r>
      <w:r w:rsidR="00D92208">
        <w:rPr>
          <w:rFonts w:ascii="Times New Roman" w:hAnsi="Times New Roman" w:cs="Times New Roman"/>
          <w:kern w:val="0"/>
          <w:sz w:val="24"/>
          <w:szCs w:val="24"/>
        </w:rPr>
        <w:t xml:space="preserve"> вищої ос</w:t>
      </w:r>
      <w:r w:rsidR="00A6634F">
        <w:rPr>
          <w:rFonts w:ascii="Times New Roman" w:hAnsi="Times New Roman" w:cs="Times New Roman"/>
          <w:kern w:val="0"/>
          <w:sz w:val="24"/>
          <w:szCs w:val="24"/>
        </w:rPr>
        <w:t>в</w:t>
      </w:r>
      <w:r w:rsidR="00D92208">
        <w:rPr>
          <w:rFonts w:ascii="Times New Roman" w:hAnsi="Times New Roman" w:cs="Times New Roman"/>
          <w:kern w:val="0"/>
          <w:sz w:val="24"/>
          <w:szCs w:val="24"/>
        </w:rPr>
        <w:t>іти</w:t>
      </w:r>
      <w:r w:rsidR="00E95F0F" w:rsidRPr="00667A2C">
        <w:rPr>
          <w:rFonts w:ascii="Times New Roman" w:hAnsi="Times New Roman" w:cs="Times New Roman"/>
          <w:kern w:val="0"/>
          <w:sz w:val="24"/>
          <w:szCs w:val="24"/>
        </w:rPr>
        <w:t>, що</w:t>
      </w:r>
      <w:r w:rsidRPr="00667A2C">
        <w:rPr>
          <w:rFonts w:ascii="Times New Roman" w:hAnsi="Times New Roman" w:cs="Times New Roman"/>
          <w:kern w:val="0"/>
          <w:sz w:val="24"/>
          <w:szCs w:val="24"/>
        </w:rPr>
        <w:t xml:space="preserve"> ускладнює акредитацію спільних програм.</w:t>
      </w:r>
    </w:p>
    <w:p w14:paraId="47D9B917" w14:textId="48A9BF80" w:rsidR="001C1F18" w:rsidRPr="00BE2ACC" w:rsidRDefault="001C1F18" w:rsidP="00667A2C">
      <w:pPr>
        <w:pStyle w:val="2"/>
        <w:spacing w:before="100" w:beforeAutospacing="1" w:after="100" w:afterAutospacing="1" w:line="240" w:lineRule="auto"/>
        <w:rPr>
          <w:rFonts w:ascii="Times New Roman" w:hAnsi="Times New Roman" w:cs="Times New Roman"/>
          <w:b/>
          <w:bCs/>
          <w:sz w:val="24"/>
          <w:szCs w:val="24"/>
        </w:rPr>
      </w:pPr>
      <w:bookmarkStart w:id="36" w:name="_Toc188337453"/>
      <w:r w:rsidRPr="00BE2ACC">
        <w:rPr>
          <w:rFonts w:ascii="Times New Roman" w:hAnsi="Times New Roman" w:cs="Times New Roman"/>
          <w:b/>
          <w:bCs/>
          <w:sz w:val="24"/>
          <w:szCs w:val="24"/>
        </w:rPr>
        <w:t>12.</w:t>
      </w:r>
      <w:r w:rsidR="00BE2ACC" w:rsidRPr="00BE2ACC">
        <w:rPr>
          <w:rFonts w:ascii="Times New Roman" w:hAnsi="Times New Roman" w:cs="Times New Roman"/>
          <w:b/>
          <w:bCs/>
          <w:sz w:val="24"/>
          <w:szCs w:val="24"/>
        </w:rPr>
        <w:t>3</w:t>
      </w:r>
      <w:r w:rsidRPr="00BE2ACC">
        <w:rPr>
          <w:rFonts w:ascii="Times New Roman" w:hAnsi="Times New Roman" w:cs="Times New Roman"/>
          <w:b/>
          <w:bCs/>
          <w:sz w:val="24"/>
          <w:szCs w:val="24"/>
        </w:rPr>
        <w:t>.</w:t>
      </w:r>
      <w:r w:rsidR="00FC4D59" w:rsidRPr="00BE2ACC">
        <w:rPr>
          <w:rFonts w:ascii="Times New Roman" w:hAnsi="Times New Roman" w:cs="Times New Roman"/>
          <w:b/>
          <w:bCs/>
          <w:sz w:val="24"/>
          <w:szCs w:val="24"/>
        </w:rPr>
        <w:t xml:space="preserve"> </w:t>
      </w:r>
      <w:r w:rsidRPr="00BE2ACC">
        <w:rPr>
          <w:rFonts w:ascii="Times New Roman" w:hAnsi="Times New Roman" w:cs="Times New Roman"/>
          <w:b/>
          <w:bCs/>
          <w:sz w:val="24"/>
          <w:szCs w:val="24"/>
        </w:rPr>
        <w:t>Європейський підхід до забезпечення якості спільних програм</w:t>
      </w:r>
      <w:bookmarkEnd w:id="36"/>
    </w:p>
    <w:p w14:paraId="0B983847" w14:textId="0D7CC0A7" w:rsidR="001C1F18" w:rsidRPr="00667A2C" w:rsidRDefault="001C1F18"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hyperlink r:id="rId45" w:history="1">
        <w:r w:rsidRPr="00667A2C">
          <w:rPr>
            <w:rStyle w:val="a8"/>
            <w:rFonts w:ascii="Times New Roman" w:hAnsi="Times New Roman" w:cs="Times New Roman"/>
            <w:sz w:val="24"/>
            <w:szCs w:val="24"/>
          </w:rPr>
          <w:t>Європейський підхід до забезпечення якості спільних програм</w:t>
        </w:r>
      </w:hyperlink>
      <w:r w:rsidR="00E95F0F" w:rsidRPr="00667A2C">
        <w:rPr>
          <w:rFonts w:ascii="Times New Roman" w:hAnsi="Times New Roman" w:cs="Times New Roman"/>
          <w:kern w:val="0"/>
          <w:sz w:val="24"/>
          <w:szCs w:val="24"/>
        </w:rPr>
        <w:t xml:space="preserve"> ґрунтується на єдиній </w:t>
      </w:r>
      <w:r w:rsidRPr="00667A2C">
        <w:rPr>
          <w:rFonts w:ascii="Times New Roman" w:hAnsi="Times New Roman" w:cs="Times New Roman"/>
          <w:kern w:val="0"/>
          <w:sz w:val="24"/>
          <w:szCs w:val="24"/>
        </w:rPr>
        <w:t xml:space="preserve">акредитації </w:t>
      </w:r>
      <w:r w:rsidR="00E95F0F" w:rsidRPr="00667A2C">
        <w:rPr>
          <w:rFonts w:ascii="Times New Roman" w:hAnsi="Times New Roman" w:cs="Times New Roman"/>
          <w:kern w:val="0"/>
          <w:sz w:val="24"/>
          <w:szCs w:val="24"/>
        </w:rPr>
        <w:t xml:space="preserve">спільних </w:t>
      </w:r>
      <w:r w:rsidRPr="00667A2C">
        <w:rPr>
          <w:rFonts w:ascii="Times New Roman" w:hAnsi="Times New Roman" w:cs="Times New Roman"/>
          <w:kern w:val="0"/>
          <w:sz w:val="24"/>
          <w:szCs w:val="24"/>
        </w:rPr>
        <w:t>програм, яка, в принципі, визнається в усіх країнах ЄПВО.</w:t>
      </w:r>
      <w:r w:rsidR="00FC4D59" w:rsidRPr="00667A2C">
        <w:rPr>
          <w:rFonts w:ascii="Times New Roman" w:hAnsi="Times New Roman" w:cs="Times New Roman"/>
          <w:kern w:val="0"/>
          <w:sz w:val="24"/>
          <w:szCs w:val="24"/>
        </w:rPr>
        <w:t xml:space="preserve"> </w:t>
      </w:r>
      <w:r w:rsidRPr="00667A2C">
        <w:rPr>
          <w:rFonts w:ascii="Times New Roman" w:hAnsi="Times New Roman" w:cs="Times New Roman"/>
          <w:kern w:val="0"/>
          <w:sz w:val="24"/>
          <w:szCs w:val="24"/>
        </w:rPr>
        <w:t xml:space="preserve">Цей підхід має замінити окремі національні акредитації </w:t>
      </w:r>
      <w:r w:rsidR="00D37589">
        <w:rPr>
          <w:rFonts w:ascii="Times New Roman" w:hAnsi="Times New Roman" w:cs="Times New Roman"/>
          <w:kern w:val="0"/>
          <w:sz w:val="24"/>
          <w:szCs w:val="24"/>
        </w:rPr>
        <w:t xml:space="preserve">спільних </w:t>
      </w:r>
      <w:r w:rsidRPr="00667A2C">
        <w:rPr>
          <w:rFonts w:ascii="Times New Roman" w:hAnsi="Times New Roman" w:cs="Times New Roman"/>
          <w:kern w:val="0"/>
          <w:sz w:val="24"/>
          <w:szCs w:val="24"/>
        </w:rPr>
        <w:t>програм у країнах-</w:t>
      </w:r>
      <w:r w:rsidR="00D37589">
        <w:rPr>
          <w:rFonts w:ascii="Times New Roman" w:hAnsi="Times New Roman" w:cs="Times New Roman"/>
          <w:kern w:val="0"/>
          <w:sz w:val="24"/>
          <w:szCs w:val="24"/>
        </w:rPr>
        <w:t>партнерах</w:t>
      </w:r>
      <w:r w:rsidRPr="00667A2C">
        <w:rPr>
          <w:rFonts w:ascii="Times New Roman" w:hAnsi="Times New Roman" w:cs="Times New Roman"/>
          <w:kern w:val="0"/>
          <w:sz w:val="24"/>
          <w:szCs w:val="24"/>
        </w:rPr>
        <w:t xml:space="preserve"> консорціуму спільн</w:t>
      </w:r>
      <w:r w:rsidR="00D37589">
        <w:rPr>
          <w:rFonts w:ascii="Times New Roman" w:hAnsi="Times New Roman" w:cs="Times New Roman"/>
          <w:kern w:val="0"/>
          <w:sz w:val="24"/>
          <w:szCs w:val="24"/>
        </w:rPr>
        <w:t>ої</w:t>
      </w:r>
      <w:r w:rsidRPr="00667A2C">
        <w:rPr>
          <w:rFonts w:ascii="Times New Roman" w:hAnsi="Times New Roman" w:cs="Times New Roman"/>
          <w:kern w:val="0"/>
          <w:sz w:val="24"/>
          <w:szCs w:val="24"/>
        </w:rPr>
        <w:t xml:space="preserve"> програм</w:t>
      </w:r>
      <w:r w:rsidR="00D37589">
        <w:rPr>
          <w:rFonts w:ascii="Times New Roman" w:hAnsi="Times New Roman" w:cs="Times New Roman"/>
          <w:kern w:val="0"/>
          <w:sz w:val="24"/>
          <w:szCs w:val="24"/>
        </w:rPr>
        <w:t>и</w:t>
      </w:r>
      <w:r w:rsidRPr="00667A2C">
        <w:rPr>
          <w:rFonts w:ascii="Times New Roman" w:hAnsi="Times New Roman" w:cs="Times New Roman"/>
          <w:kern w:val="0"/>
          <w:sz w:val="24"/>
          <w:szCs w:val="24"/>
        </w:rPr>
        <w:t xml:space="preserve">. </w:t>
      </w:r>
      <w:r w:rsidR="00E95F0F" w:rsidRPr="00667A2C">
        <w:rPr>
          <w:rFonts w:ascii="Times New Roman" w:hAnsi="Times New Roman" w:cs="Times New Roman"/>
          <w:kern w:val="0"/>
          <w:sz w:val="24"/>
          <w:szCs w:val="24"/>
        </w:rPr>
        <w:t xml:space="preserve">Європейський підхід </w:t>
      </w:r>
      <w:r w:rsidRPr="00667A2C">
        <w:rPr>
          <w:rFonts w:ascii="Times New Roman" w:hAnsi="Times New Roman" w:cs="Times New Roman"/>
          <w:kern w:val="0"/>
          <w:sz w:val="24"/>
          <w:szCs w:val="24"/>
        </w:rPr>
        <w:t xml:space="preserve">ґрунтується на узгоджених європейських </w:t>
      </w:r>
      <w:r w:rsidRPr="00D37589">
        <w:rPr>
          <w:rFonts w:ascii="Times New Roman" w:hAnsi="Times New Roman" w:cs="Times New Roman"/>
          <w:sz w:val="24"/>
          <w:szCs w:val="24"/>
        </w:rPr>
        <w:t>стандартах і процедурах</w:t>
      </w:r>
      <w:r w:rsidR="00E95F0F" w:rsidRPr="00667A2C">
        <w:rPr>
          <w:rFonts w:ascii="Times New Roman" w:hAnsi="Times New Roman" w:cs="Times New Roman"/>
          <w:color w:val="000000"/>
          <w:kern w:val="0"/>
          <w:sz w:val="24"/>
          <w:szCs w:val="24"/>
        </w:rPr>
        <w:t xml:space="preserve">, які дійсно </w:t>
      </w:r>
      <w:r w:rsidRPr="00667A2C">
        <w:rPr>
          <w:rFonts w:ascii="Times New Roman" w:hAnsi="Times New Roman" w:cs="Times New Roman"/>
          <w:color w:val="000000"/>
          <w:kern w:val="0"/>
          <w:sz w:val="24"/>
          <w:szCs w:val="24"/>
        </w:rPr>
        <w:t xml:space="preserve">відображають спільний характер </w:t>
      </w:r>
      <w:r w:rsidR="00D37589">
        <w:rPr>
          <w:rFonts w:ascii="Times New Roman" w:hAnsi="Times New Roman" w:cs="Times New Roman"/>
          <w:color w:val="000000"/>
          <w:kern w:val="0"/>
          <w:sz w:val="24"/>
          <w:szCs w:val="24"/>
        </w:rPr>
        <w:t>таких</w:t>
      </w:r>
      <w:r w:rsidRPr="00667A2C">
        <w:rPr>
          <w:rFonts w:ascii="Times New Roman" w:hAnsi="Times New Roman" w:cs="Times New Roman"/>
          <w:color w:val="000000"/>
          <w:kern w:val="0"/>
          <w:sz w:val="24"/>
          <w:szCs w:val="24"/>
        </w:rPr>
        <w:t xml:space="preserve"> програм. Основні характеристики Європейського підходу:</w:t>
      </w:r>
    </w:p>
    <w:p w14:paraId="2CD0A1D1" w14:textId="7656FA2E" w:rsidR="001C1F18" w:rsidRPr="00667A2C" w:rsidRDefault="00D37589" w:rsidP="00D37589">
      <w:pPr>
        <w:numPr>
          <w:ilvl w:val="0"/>
          <w:numId w:val="74"/>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я</w:t>
      </w:r>
      <w:r w:rsidR="001C1F18" w:rsidRPr="00667A2C">
        <w:rPr>
          <w:rFonts w:ascii="Times New Roman" w:hAnsi="Times New Roman" w:cs="Times New Roman"/>
          <w:kern w:val="0"/>
          <w:sz w:val="24"/>
          <w:szCs w:val="24"/>
        </w:rPr>
        <w:t xml:space="preserve">кщо деякі з </w:t>
      </w:r>
      <w:r w:rsidR="00E95F0F" w:rsidRPr="00667A2C">
        <w:rPr>
          <w:rFonts w:ascii="Times New Roman" w:hAnsi="Times New Roman" w:cs="Times New Roman"/>
          <w:kern w:val="0"/>
          <w:sz w:val="24"/>
          <w:szCs w:val="24"/>
        </w:rPr>
        <w:t>закладів вищої освіти з консорціуму</w:t>
      </w:r>
      <w:r w:rsidR="001C1F18" w:rsidRPr="00667A2C">
        <w:rPr>
          <w:rFonts w:ascii="Times New Roman" w:hAnsi="Times New Roman" w:cs="Times New Roman"/>
          <w:kern w:val="0"/>
          <w:sz w:val="24"/>
          <w:szCs w:val="24"/>
        </w:rPr>
        <w:t xml:space="preserve"> повинні пройти зовнішнє оцінювання якості або акредитацію на рівні </w:t>
      </w:r>
      <w:r w:rsidR="00807437">
        <w:rPr>
          <w:rFonts w:ascii="Times New Roman" w:hAnsi="Times New Roman" w:cs="Times New Roman"/>
          <w:kern w:val="0"/>
          <w:sz w:val="24"/>
          <w:szCs w:val="24"/>
        </w:rPr>
        <w:t xml:space="preserve">освітньої </w:t>
      </w:r>
      <w:r w:rsidR="001C1F18" w:rsidRPr="00667A2C">
        <w:rPr>
          <w:rFonts w:ascii="Times New Roman" w:hAnsi="Times New Roman" w:cs="Times New Roman"/>
          <w:kern w:val="0"/>
          <w:sz w:val="24"/>
          <w:szCs w:val="24"/>
        </w:rPr>
        <w:t xml:space="preserve">програми, то </w:t>
      </w:r>
      <w:r w:rsidR="00E95F0F" w:rsidRPr="00667A2C">
        <w:rPr>
          <w:rFonts w:ascii="Times New Roman" w:hAnsi="Times New Roman" w:cs="Times New Roman"/>
          <w:kern w:val="0"/>
          <w:sz w:val="24"/>
          <w:szCs w:val="24"/>
        </w:rPr>
        <w:t>так</w:t>
      </w:r>
      <w:r w:rsidR="00E16DA7">
        <w:rPr>
          <w:rFonts w:ascii="Times New Roman" w:hAnsi="Times New Roman" w:cs="Times New Roman"/>
          <w:kern w:val="0"/>
          <w:sz w:val="24"/>
          <w:szCs w:val="24"/>
        </w:rPr>
        <w:t>і</w:t>
      </w:r>
      <w:r w:rsidR="00E95F0F" w:rsidRPr="00667A2C">
        <w:rPr>
          <w:rFonts w:ascii="Times New Roman" w:hAnsi="Times New Roman" w:cs="Times New Roman"/>
          <w:kern w:val="0"/>
          <w:sz w:val="24"/>
          <w:szCs w:val="24"/>
        </w:rPr>
        <w:t xml:space="preserve"> </w:t>
      </w:r>
      <w:r w:rsidR="001C1F18" w:rsidRPr="00667A2C">
        <w:rPr>
          <w:rFonts w:ascii="Times New Roman" w:hAnsi="Times New Roman" w:cs="Times New Roman"/>
          <w:kern w:val="0"/>
          <w:sz w:val="24"/>
          <w:szCs w:val="24"/>
        </w:rPr>
        <w:t>заклад</w:t>
      </w:r>
      <w:r w:rsidR="00E16DA7">
        <w:rPr>
          <w:rFonts w:ascii="Times New Roman" w:hAnsi="Times New Roman" w:cs="Times New Roman"/>
          <w:kern w:val="0"/>
          <w:sz w:val="24"/>
          <w:szCs w:val="24"/>
        </w:rPr>
        <w:t>и</w:t>
      </w:r>
      <w:r w:rsidR="001C1F18" w:rsidRPr="00667A2C">
        <w:rPr>
          <w:rFonts w:ascii="Times New Roman" w:hAnsi="Times New Roman" w:cs="Times New Roman"/>
          <w:kern w:val="0"/>
          <w:sz w:val="24"/>
          <w:szCs w:val="24"/>
        </w:rPr>
        <w:t xml:space="preserve"> </w:t>
      </w:r>
      <w:r w:rsidR="00657A8A">
        <w:rPr>
          <w:rFonts w:ascii="Times New Roman" w:hAnsi="Times New Roman" w:cs="Times New Roman"/>
          <w:kern w:val="0"/>
          <w:sz w:val="24"/>
          <w:szCs w:val="24"/>
        </w:rPr>
        <w:t>мають</w:t>
      </w:r>
      <w:r w:rsidR="001C1F18" w:rsidRPr="00667A2C">
        <w:rPr>
          <w:rFonts w:ascii="Times New Roman" w:hAnsi="Times New Roman" w:cs="Times New Roman"/>
          <w:kern w:val="0"/>
          <w:sz w:val="24"/>
          <w:szCs w:val="24"/>
        </w:rPr>
        <w:t xml:space="preserve"> обрати відповідну агенцію із забезпечення якості зі списку агентств</w:t>
      </w:r>
      <w:r w:rsidR="00E95F0F" w:rsidRPr="00667A2C">
        <w:rPr>
          <w:rFonts w:ascii="Times New Roman" w:hAnsi="Times New Roman" w:cs="Times New Roman"/>
          <w:kern w:val="0"/>
          <w:sz w:val="24"/>
          <w:szCs w:val="24"/>
        </w:rPr>
        <w:t xml:space="preserve">, </w:t>
      </w:r>
      <w:hyperlink r:id="rId46" w:history="1">
        <w:r w:rsidR="001C1F18" w:rsidRPr="00E16DA7">
          <w:rPr>
            <w:rFonts w:ascii="Times New Roman" w:hAnsi="Times New Roman" w:cs="Times New Roman"/>
            <w:kern w:val="0"/>
            <w:sz w:val="24"/>
            <w:szCs w:val="24"/>
          </w:rPr>
          <w:t>зареєстровани</w:t>
        </w:r>
        <w:r w:rsidR="00E95F0F" w:rsidRPr="00E16DA7">
          <w:rPr>
            <w:rFonts w:ascii="Times New Roman" w:hAnsi="Times New Roman" w:cs="Times New Roman"/>
            <w:kern w:val="0"/>
            <w:sz w:val="24"/>
            <w:szCs w:val="24"/>
          </w:rPr>
          <w:t>х в EQAR</w:t>
        </w:r>
      </w:hyperlink>
      <w:hyperlink r:id="rId47" w:history="1">
        <w:r w:rsidR="001C1F18" w:rsidRPr="00E16DA7">
          <w:rPr>
            <w:rFonts w:ascii="Times New Roman" w:hAnsi="Times New Roman" w:cs="Times New Roman"/>
            <w:kern w:val="0"/>
            <w:sz w:val="24"/>
            <w:szCs w:val="24"/>
          </w:rPr>
          <w:t>;</w:t>
        </w:r>
      </w:hyperlink>
    </w:p>
    <w:p w14:paraId="03239EB1" w14:textId="4D6FA31C" w:rsidR="001C1F18" w:rsidRPr="00667A2C" w:rsidRDefault="00D37589" w:rsidP="00D37589">
      <w:pPr>
        <w:numPr>
          <w:ilvl w:val="0"/>
          <w:numId w:val="74"/>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п</w:t>
      </w:r>
      <w:r w:rsidR="001C1F18" w:rsidRPr="00667A2C">
        <w:rPr>
          <w:rFonts w:ascii="Times New Roman" w:hAnsi="Times New Roman" w:cs="Times New Roman"/>
          <w:kern w:val="0"/>
          <w:sz w:val="24"/>
          <w:szCs w:val="24"/>
        </w:rPr>
        <w:t>отім ця агенція використовуватиме узгоджені стандарти та процедури Європейського</w:t>
      </w:r>
      <w:r w:rsidR="00E95F0F" w:rsidRPr="00667A2C">
        <w:rPr>
          <w:rFonts w:ascii="Times New Roman" w:hAnsi="Times New Roman" w:cs="Times New Roman"/>
          <w:kern w:val="0"/>
          <w:sz w:val="24"/>
          <w:szCs w:val="24"/>
        </w:rPr>
        <w:t xml:space="preserve"> пі</w:t>
      </w:r>
      <w:r w:rsidR="001C1F18" w:rsidRPr="00667A2C">
        <w:rPr>
          <w:rFonts w:ascii="Times New Roman" w:hAnsi="Times New Roman" w:cs="Times New Roman"/>
          <w:kern w:val="0"/>
          <w:sz w:val="24"/>
          <w:szCs w:val="24"/>
        </w:rPr>
        <w:t>дх</w:t>
      </w:r>
      <w:r w:rsidR="00E95F0F" w:rsidRPr="00667A2C">
        <w:rPr>
          <w:rFonts w:ascii="Times New Roman" w:hAnsi="Times New Roman" w:cs="Times New Roman"/>
          <w:kern w:val="0"/>
          <w:sz w:val="24"/>
          <w:szCs w:val="24"/>
        </w:rPr>
        <w:t>оду</w:t>
      </w:r>
      <w:r w:rsidR="001C1F18" w:rsidRPr="00667A2C">
        <w:rPr>
          <w:rFonts w:ascii="Times New Roman" w:hAnsi="Times New Roman" w:cs="Times New Roman"/>
          <w:kern w:val="0"/>
          <w:sz w:val="24"/>
          <w:szCs w:val="24"/>
        </w:rPr>
        <w:t xml:space="preserve"> до проведення єдиної акредитації всієї спільної програми;</w:t>
      </w:r>
      <w:r w:rsidR="00E95F0F" w:rsidRPr="00667A2C">
        <w:rPr>
          <w:rFonts w:ascii="Times New Roman" w:hAnsi="Times New Roman" w:cs="Times New Roman"/>
          <w:kern w:val="0"/>
          <w:sz w:val="24"/>
          <w:szCs w:val="24"/>
        </w:rPr>
        <w:t xml:space="preserve"> </w:t>
      </w:r>
    </w:p>
    <w:p w14:paraId="6ED0EEB9" w14:textId="188CB10B" w:rsidR="001C1F18" w:rsidRPr="00667A2C" w:rsidRDefault="00D37589" w:rsidP="00D37589">
      <w:pPr>
        <w:numPr>
          <w:ilvl w:val="0"/>
          <w:numId w:val="74"/>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р</w:t>
      </w:r>
      <w:r w:rsidR="001C1F18" w:rsidRPr="00667A2C">
        <w:rPr>
          <w:rFonts w:ascii="Times New Roman" w:hAnsi="Times New Roman" w:cs="Times New Roman"/>
          <w:kern w:val="0"/>
          <w:sz w:val="24"/>
          <w:szCs w:val="24"/>
        </w:rPr>
        <w:t xml:space="preserve">ішення про зовнішнє забезпечення якості має бути прийняте і визнане в усіх країнах ЄПВО, де </w:t>
      </w:r>
      <w:r w:rsidR="00E95F0F" w:rsidRPr="00667A2C">
        <w:rPr>
          <w:rFonts w:ascii="Times New Roman" w:hAnsi="Times New Roman" w:cs="Times New Roman"/>
          <w:kern w:val="0"/>
          <w:sz w:val="24"/>
          <w:szCs w:val="24"/>
        </w:rPr>
        <w:t>виклада</w:t>
      </w:r>
      <w:r w:rsidR="001C1F18" w:rsidRPr="00667A2C">
        <w:rPr>
          <w:rFonts w:ascii="Times New Roman" w:hAnsi="Times New Roman" w:cs="Times New Roman"/>
          <w:kern w:val="0"/>
          <w:sz w:val="24"/>
          <w:szCs w:val="24"/>
        </w:rPr>
        <w:t xml:space="preserve">ється </w:t>
      </w:r>
      <w:r w:rsidR="00996A51">
        <w:rPr>
          <w:rFonts w:ascii="Times New Roman" w:hAnsi="Times New Roman" w:cs="Times New Roman"/>
          <w:kern w:val="0"/>
          <w:sz w:val="24"/>
          <w:szCs w:val="24"/>
        </w:rPr>
        <w:t xml:space="preserve">спільна </w:t>
      </w:r>
      <w:r w:rsidR="001C1F18" w:rsidRPr="00667A2C">
        <w:rPr>
          <w:rFonts w:ascii="Times New Roman" w:hAnsi="Times New Roman" w:cs="Times New Roman"/>
          <w:kern w:val="0"/>
          <w:sz w:val="24"/>
          <w:szCs w:val="24"/>
        </w:rPr>
        <w:t>програма.</w:t>
      </w:r>
      <w:r w:rsidR="00FC4D59" w:rsidRPr="00667A2C">
        <w:rPr>
          <w:rFonts w:ascii="Times New Roman" w:hAnsi="Times New Roman" w:cs="Times New Roman"/>
          <w:kern w:val="0"/>
          <w:sz w:val="24"/>
          <w:szCs w:val="24"/>
        </w:rPr>
        <w:t xml:space="preserve"> </w:t>
      </w:r>
      <w:r w:rsidR="001C1F18" w:rsidRPr="00667A2C">
        <w:rPr>
          <w:rFonts w:ascii="Times New Roman" w:hAnsi="Times New Roman" w:cs="Times New Roman"/>
          <w:kern w:val="0"/>
          <w:sz w:val="24"/>
          <w:szCs w:val="24"/>
        </w:rPr>
        <w:t>Країни не повинні застосовувати жодних додаткових національних критеріїв.</w:t>
      </w:r>
    </w:p>
    <w:p w14:paraId="584F22C1" w14:textId="11F7198F" w:rsidR="001C1F18" w:rsidRPr="00667A2C" w:rsidRDefault="003D6251"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67A2C">
        <w:rPr>
          <w:rFonts w:ascii="Times New Roman" w:hAnsi="Times New Roman" w:cs="Times New Roman"/>
          <w:kern w:val="0"/>
          <w:sz w:val="24"/>
          <w:szCs w:val="24"/>
        </w:rPr>
        <w:t>Згідно</w:t>
      </w:r>
      <w:r w:rsidR="00B10531" w:rsidRPr="00667A2C">
        <w:rPr>
          <w:rFonts w:ascii="Times New Roman" w:hAnsi="Times New Roman" w:cs="Times New Roman"/>
          <w:kern w:val="0"/>
          <w:sz w:val="24"/>
          <w:szCs w:val="24"/>
        </w:rPr>
        <w:t xml:space="preserve"> з</w:t>
      </w:r>
      <w:r w:rsidR="001C1F18" w:rsidRPr="00667A2C">
        <w:rPr>
          <w:rFonts w:ascii="Times New Roman" w:hAnsi="Times New Roman" w:cs="Times New Roman"/>
          <w:kern w:val="0"/>
          <w:sz w:val="24"/>
          <w:szCs w:val="24"/>
        </w:rPr>
        <w:t xml:space="preserve"> </w:t>
      </w:r>
      <w:hyperlink r:id="rId48" w:history="1">
        <w:r w:rsidR="001C1F18" w:rsidRPr="00667A2C">
          <w:rPr>
            <w:rStyle w:val="a8"/>
            <w:rFonts w:ascii="Times New Roman" w:hAnsi="Times New Roman" w:cs="Times New Roman"/>
            <w:sz w:val="24"/>
            <w:szCs w:val="24"/>
          </w:rPr>
          <w:t>Єреванськ</w:t>
        </w:r>
        <w:r w:rsidR="00B10531" w:rsidRPr="00667A2C">
          <w:rPr>
            <w:rStyle w:val="a8"/>
            <w:rFonts w:ascii="Times New Roman" w:hAnsi="Times New Roman" w:cs="Times New Roman"/>
            <w:sz w:val="24"/>
            <w:szCs w:val="24"/>
          </w:rPr>
          <w:t>им</w:t>
        </w:r>
        <w:r w:rsidR="001C1F18" w:rsidRPr="00667A2C">
          <w:rPr>
            <w:rStyle w:val="a8"/>
            <w:rFonts w:ascii="Times New Roman" w:hAnsi="Times New Roman" w:cs="Times New Roman"/>
            <w:sz w:val="24"/>
            <w:szCs w:val="24"/>
          </w:rPr>
          <w:t xml:space="preserve"> </w:t>
        </w:r>
        <w:r w:rsidR="00B10531" w:rsidRPr="00667A2C">
          <w:rPr>
            <w:rStyle w:val="a8"/>
            <w:rFonts w:ascii="Times New Roman" w:hAnsi="Times New Roman" w:cs="Times New Roman"/>
            <w:sz w:val="24"/>
            <w:szCs w:val="24"/>
          </w:rPr>
          <w:t>комюніке</w:t>
        </w:r>
        <w:r w:rsidR="001C1F18" w:rsidRPr="00667A2C">
          <w:rPr>
            <w:rStyle w:val="a8"/>
            <w:rFonts w:ascii="Times New Roman" w:hAnsi="Times New Roman" w:cs="Times New Roman"/>
            <w:sz w:val="24"/>
            <w:szCs w:val="24"/>
          </w:rPr>
          <w:t xml:space="preserve"> 2015</w:t>
        </w:r>
      </w:hyperlink>
      <w:r w:rsidRPr="00667A2C">
        <w:rPr>
          <w:rFonts w:ascii="Times New Roman" w:hAnsi="Times New Roman" w:cs="Times New Roman"/>
          <w:color w:val="000000"/>
          <w:kern w:val="0"/>
          <w:sz w:val="24"/>
          <w:szCs w:val="24"/>
        </w:rPr>
        <w:t xml:space="preserve"> міністри освіти країн </w:t>
      </w:r>
      <w:r w:rsidR="00D14DF8">
        <w:rPr>
          <w:rFonts w:ascii="Times New Roman" w:hAnsi="Times New Roman" w:cs="Times New Roman"/>
          <w:color w:val="000000"/>
          <w:kern w:val="0"/>
          <w:sz w:val="24"/>
          <w:szCs w:val="24"/>
        </w:rPr>
        <w:t>ЄПВО</w:t>
      </w:r>
      <w:r w:rsidRPr="00667A2C">
        <w:rPr>
          <w:rFonts w:ascii="Times New Roman" w:hAnsi="Times New Roman" w:cs="Times New Roman"/>
          <w:color w:val="000000"/>
          <w:kern w:val="0"/>
          <w:sz w:val="24"/>
          <w:szCs w:val="24"/>
        </w:rPr>
        <w:t xml:space="preserve"> </w:t>
      </w:r>
      <w:r w:rsidR="001C1F18" w:rsidRPr="00667A2C">
        <w:rPr>
          <w:rFonts w:ascii="Times New Roman" w:hAnsi="Times New Roman" w:cs="Times New Roman"/>
          <w:color w:val="000000"/>
          <w:kern w:val="0"/>
          <w:sz w:val="24"/>
          <w:szCs w:val="24"/>
        </w:rPr>
        <w:t xml:space="preserve">погодилися прийняти Європейський підхід. Важливість впровадження </w:t>
      </w:r>
      <w:r w:rsidRPr="00667A2C">
        <w:rPr>
          <w:rFonts w:ascii="Times New Roman" w:hAnsi="Times New Roman" w:cs="Times New Roman"/>
          <w:color w:val="000000"/>
          <w:kern w:val="0"/>
          <w:sz w:val="24"/>
          <w:szCs w:val="24"/>
        </w:rPr>
        <w:t>Європейського підходу</w:t>
      </w:r>
      <w:r w:rsidR="00E95F0F" w:rsidRPr="00667A2C">
        <w:rPr>
          <w:rFonts w:ascii="Times New Roman" w:hAnsi="Times New Roman" w:cs="Times New Roman"/>
          <w:color w:val="000000"/>
          <w:kern w:val="0"/>
          <w:sz w:val="24"/>
          <w:szCs w:val="24"/>
        </w:rPr>
        <w:t xml:space="preserve"> </w:t>
      </w:r>
      <w:r w:rsidR="001C1F18" w:rsidRPr="00667A2C">
        <w:rPr>
          <w:rFonts w:ascii="Times New Roman" w:hAnsi="Times New Roman" w:cs="Times New Roman"/>
          <w:color w:val="000000"/>
          <w:kern w:val="0"/>
          <w:sz w:val="24"/>
          <w:szCs w:val="24"/>
        </w:rPr>
        <w:t xml:space="preserve">була підтверджена на </w:t>
      </w:r>
      <w:hyperlink r:id="rId49" w:history="1">
        <w:r w:rsidR="001C1F18" w:rsidRPr="00667A2C">
          <w:rPr>
            <w:rStyle w:val="a8"/>
            <w:rFonts w:ascii="Times New Roman" w:hAnsi="Times New Roman" w:cs="Times New Roman"/>
            <w:sz w:val="24"/>
            <w:szCs w:val="24"/>
          </w:rPr>
          <w:t>зустрічі міністрів ЄПВО в Парижі</w:t>
        </w:r>
      </w:hyperlink>
      <w:r w:rsidRPr="00667A2C">
        <w:rPr>
          <w:rFonts w:ascii="Times New Roman" w:hAnsi="Times New Roman" w:cs="Times New Roman"/>
          <w:color w:val="000000"/>
          <w:kern w:val="0"/>
          <w:sz w:val="24"/>
          <w:szCs w:val="24"/>
        </w:rPr>
        <w:t xml:space="preserve"> у 2018 р. </w:t>
      </w:r>
      <w:r w:rsidR="00B10531" w:rsidRPr="00667A2C">
        <w:rPr>
          <w:rFonts w:ascii="Times New Roman" w:hAnsi="Times New Roman" w:cs="Times New Roman"/>
          <w:color w:val="000000"/>
          <w:kern w:val="0"/>
          <w:sz w:val="24"/>
          <w:szCs w:val="24"/>
        </w:rPr>
        <w:t>Однак, з</w:t>
      </w:r>
      <w:r w:rsidRPr="00667A2C">
        <w:rPr>
          <w:rFonts w:ascii="Times New Roman" w:hAnsi="Times New Roman" w:cs="Times New Roman"/>
          <w:color w:val="000000"/>
          <w:kern w:val="0"/>
          <w:sz w:val="24"/>
          <w:szCs w:val="24"/>
        </w:rPr>
        <w:t xml:space="preserve"> того часу лише деякі країни </w:t>
      </w:r>
      <w:r w:rsidR="001C1F18" w:rsidRPr="00667A2C">
        <w:rPr>
          <w:rFonts w:ascii="Times New Roman" w:hAnsi="Times New Roman" w:cs="Times New Roman"/>
          <w:color w:val="000000"/>
          <w:kern w:val="0"/>
          <w:sz w:val="24"/>
          <w:szCs w:val="24"/>
        </w:rPr>
        <w:t>впровади</w:t>
      </w:r>
      <w:r w:rsidR="00B10531" w:rsidRPr="00667A2C">
        <w:rPr>
          <w:rFonts w:ascii="Times New Roman" w:hAnsi="Times New Roman" w:cs="Times New Roman"/>
          <w:color w:val="000000"/>
          <w:kern w:val="0"/>
          <w:sz w:val="24"/>
          <w:szCs w:val="24"/>
        </w:rPr>
        <w:t>ли</w:t>
      </w:r>
      <w:r w:rsidR="001C1F18" w:rsidRPr="00667A2C">
        <w:rPr>
          <w:rFonts w:ascii="Times New Roman" w:hAnsi="Times New Roman" w:cs="Times New Roman"/>
          <w:color w:val="000000"/>
          <w:kern w:val="0"/>
          <w:sz w:val="24"/>
          <w:szCs w:val="24"/>
        </w:rPr>
        <w:t xml:space="preserve"> Європейський підхід.</w:t>
      </w:r>
    </w:p>
    <w:p w14:paraId="3D5DD74C" w14:textId="1C3E5E18" w:rsidR="007812EB" w:rsidRPr="00667A2C" w:rsidRDefault="001C1F18" w:rsidP="007812EB">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67A2C">
        <w:rPr>
          <w:rFonts w:ascii="Times New Roman" w:hAnsi="Times New Roman" w:cs="Times New Roman"/>
          <w:color w:val="000000"/>
          <w:kern w:val="0"/>
          <w:sz w:val="24"/>
          <w:szCs w:val="24"/>
        </w:rPr>
        <w:t xml:space="preserve">На </w:t>
      </w:r>
      <w:hyperlink r:id="rId50" w:history="1">
        <w:r w:rsidRPr="00667A2C">
          <w:rPr>
            <w:rStyle w:val="a8"/>
            <w:rFonts w:ascii="Times New Roman" w:hAnsi="Times New Roman" w:cs="Times New Roman"/>
            <w:sz w:val="24"/>
            <w:szCs w:val="24"/>
          </w:rPr>
          <w:t>веб-са</w:t>
        </w:r>
        <w:r w:rsidRPr="00667A2C">
          <w:rPr>
            <w:rStyle w:val="a8"/>
            <w:rFonts w:ascii="Times New Roman" w:hAnsi="Times New Roman" w:cs="Times New Roman"/>
            <w:sz w:val="24"/>
            <w:szCs w:val="24"/>
          </w:rPr>
          <w:t>й</w:t>
        </w:r>
        <w:r w:rsidRPr="00667A2C">
          <w:rPr>
            <w:rStyle w:val="a8"/>
            <w:rFonts w:ascii="Times New Roman" w:hAnsi="Times New Roman" w:cs="Times New Roman"/>
            <w:sz w:val="24"/>
            <w:szCs w:val="24"/>
          </w:rPr>
          <w:t>ті EQAR</w:t>
        </w:r>
      </w:hyperlink>
      <w:r w:rsidRPr="00667A2C">
        <w:rPr>
          <w:rFonts w:ascii="Times New Roman" w:hAnsi="Times New Roman" w:cs="Times New Roman"/>
          <w:kern w:val="0"/>
          <w:sz w:val="24"/>
          <w:szCs w:val="24"/>
        </w:rPr>
        <w:t xml:space="preserve"> </w:t>
      </w:r>
      <w:r w:rsidR="003D6251" w:rsidRPr="00667A2C">
        <w:rPr>
          <w:rFonts w:ascii="Times New Roman" w:hAnsi="Times New Roman" w:cs="Times New Roman"/>
          <w:kern w:val="0"/>
          <w:sz w:val="24"/>
          <w:szCs w:val="24"/>
        </w:rPr>
        <w:t>зазначено, що 13 країн ЄПВО дозволяють усім закладам вищої освіти використовувати Європейський підхід</w:t>
      </w:r>
      <w:r w:rsidRPr="00667A2C">
        <w:rPr>
          <w:rFonts w:ascii="Times New Roman" w:hAnsi="Times New Roman" w:cs="Times New Roman"/>
          <w:kern w:val="0"/>
          <w:sz w:val="24"/>
          <w:szCs w:val="24"/>
        </w:rPr>
        <w:t xml:space="preserve">, 20 країн ЄПВО не дозволяють </w:t>
      </w:r>
      <w:r w:rsidR="003D6251" w:rsidRPr="00667A2C">
        <w:rPr>
          <w:rFonts w:ascii="Times New Roman" w:hAnsi="Times New Roman" w:cs="Times New Roman"/>
          <w:kern w:val="0"/>
          <w:sz w:val="24"/>
          <w:szCs w:val="24"/>
        </w:rPr>
        <w:t xml:space="preserve">його </w:t>
      </w:r>
      <w:r w:rsidRPr="00667A2C">
        <w:rPr>
          <w:rFonts w:ascii="Times New Roman" w:hAnsi="Times New Roman" w:cs="Times New Roman"/>
          <w:kern w:val="0"/>
          <w:sz w:val="24"/>
          <w:szCs w:val="24"/>
        </w:rPr>
        <w:t>використовувати, а 16 країн ЄПВО дозволяють</w:t>
      </w:r>
      <w:r w:rsidR="003D6251" w:rsidRPr="00667A2C">
        <w:rPr>
          <w:rFonts w:ascii="Times New Roman" w:hAnsi="Times New Roman" w:cs="Times New Roman"/>
          <w:kern w:val="0"/>
          <w:sz w:val="24"/>
          <w:szCs w:val="24"/>
        </w:rPr>
        <w:t xml:space="preserve"> його</w:t>
      </w:r>
      <w:r w:rsidRPr="00667A2C">
        <w:rPr>
          <w:rFonts w:ascii="Times New Roman" w:hAnsi="Times New Roman" w:cs="Times New Roman"/>
          <w:kern w:val="0"/>
          <w:sz w:val="24"/>
          <w:szCs w:val="24"/>
        </w:rPr>
        <w:t xml:space="preserve"> </w:t>
      </w:r>
      <w:r w:rsidR="003D6251" w:rsidRPr="00667A2C">
        <w:rPr>
          <w:rFonts w:ascii="Times New Roman" w:hAnsi="Times New Roman" w:cs="Times New Roman"/>
          <w:kern w:val="0"/>
          <w:sz w:val="24"/>
          <w:szCs w:val="24"/>
        </w:rPr>
        <w:t>використання</w:t>
      </w:r>
      <w:r w:rsidRPr="00667A2C">
        <w:rPr>
          <w:rFonts w:ascii="Times New Roman" w:hAnsi="Times New Roman" w:cs="Times New Roman"/>
          <w:kern w:val="0"/>
          <w:sz w:val="24"/>
          <w:szCs w:val="24"/>
        </w:rPr>
        <w:t xml:space="preserve"> лише </w:t>
      </w:r>
      <w:r w:rsidRPr="00F118C1">
        <w:rPr>
          <w:rFonts w:ascii="Times New Roman" w:hAnsi="Times New Roman" w:cs="Times New Roman"/>
          <w:kern w:val="0"/>
          <w:sz w:val="24"/>
          <w:szCs w:val="24"/>
        </w:rPr>
        <w:t>деяким</w:t>
      </w:r>
      <w:r w:rsidRPr="00667A2C">
        <w:rPr>
          <w:rFonts w:ascii="Times New Roman" w:hAnsi="Times New Roman" w:cs="Times New Roman"/>
          <w:i/>
          <w:iCs/>
          <w:kern w:val="0"/>
          <w:sz w:val="24"/>
          <w:szCs w:val="24"/>
        </w:rPr>
        <w:t xml:space="preserve"> </w:t>
      </w:r>
      <w:r w:rsidRPr="00667A2C">
        <w:rPr>
          <w:rFonts w:ascii="Times New Roman" w:hAnsi="Times New Roman" w:cs="Times New Roman"/>
          <w:kern w:val="0"/>
          <w:sz w:val="24"/>
          <w:szCs w:val="24"/>
        </w:rPr>
        <w:t>закладам або за певних умов.</w:t>
      </w:r>
      <w:r w:rsidR="00F118C1">
        <w:rPr>
          <w:rFonts w:ascii="Times New Roman" w:hAnsi="Times New Roman" w:cs="Times New Roman"/>
          <w:kern w:val="0"/>
          <w:sz w:val="24"/>
          <w:szCs w:val="24"/>
        </w:rPr>
        <w:t xml:space="preserve"> </w:t>
      </w:r>
      <w:r w:rsidR="007812EB" w:rsidRPr="00667A2C">
        <w:rPr>
          <w:rFonts w:ascii="Times New Roman" w:hAnsi="Times New Roman" w:cs="Times New Roman"/>
          <w:kern w:val="0"/>
          <w:sz w:val="24"/>
          <w:szCs w:val="24"/>
        </w:rPr>
        <w:t>Це все ще може дещо ускладнювати практичне впровадження Європейського підходу для консорціумів спільних програм, організацій із забезпечення якості та міністерств освіти. Однак на початок 2020 р</w:t>
      </w:r>
      <w:r w:rsidR="007812EB">
        <w:rPr>
          <w:rFonts w:ascii="Times New Roman" w:hAnsi="Times New Roman" w:cs="Times New Roman"/>
          <w:kern w:val="0"/>
          <w:sz w:val="24"/>
          <w:szCs w:val="24"/>
        </w:rPr>
        <w:t>.</w:t>
      </w:r>
      <w:r w:rsidR="007812EB" w:rsidRPr="00667A2C">
        <w:rPr>
          <w:rFonts w:ascii="Times New Roman" w:hAnsi="Times New Roman" w:cs="Times New Roman"/>
          <w:kern w:val="0"/>
          <w:sz w:val="24"/>
          <w:szCs w:val="24"/>
        </w:rPr>
        <w:t xml:space="preserve"> </w:t>
      </w:r>
      <w:r w:rsidR="007812EB">
        <w:rPr>
          <w:rFonts w:ascii="Times New Roman" w:hAnsi="Times New Roman" w:cs="Times New Roman"/>
          <w:kern w:val="0"/>
          <w:sz w:val="24"/>
          <w:szCs w:val="24"/>
        </w:rPr>
        <w:t>у</w:t>
      </w:r>
      <w:r w:rsidR="007812EB" w:rsidRPr="00667A2C">
        <w:rPr>
          <w:rFonts w:ascii="Times New Roman" w:hAnsi="Times New Roman" w:cs="Times New Roman"/>
          <w:kern w:val="0"/>
          <w:sz w:val="24"/>
          <w:szCs w:val="24"/>
        </w:rPr>
        <w:t>же 10 європейських консорціумів спільних програм отримали акредитацію</w:t>
      </w:r>
      <w:r w:rsidR="007812EB">
        <w:rPr>
          <w:rFonts w:ascii="Times New Roman" w:hAnsi="Times New Roman" w:cs="Times New Roman"/>
          <w:kern w:val="0"/>
          <w:sz w:val="24"/>
          <w:szCs w:val="24"/>
        </w:rPr>
        <w:t xml:space="preserve"> за</w:t>
      </w:r>
      <w:r w:rsidR="007812EB" w:rsidRPr="00667A2C">
        <w:rPr>
          <w:rFonts w:ascii="Times New Roman" w:hAnsi="Times New Roman" w:cs="Times New Roman"/>
          <w:kern w:val="0"/>
          <w:sz w:val="24"/>
          <w:szCs w:val="24"/>
        </w:rPr>
        <w:t xml:space="preserve"> Європейськ</w:t>
      </w:r>
      <w:r w:rsidR="007812EB">
        <w:rPr>
          <w:rFonts w:ascii="Times New Roman" w:hAnsi="Times New Roman" w:cs="Times New Roman"/>
          <w:kern w:val="0"/>
          <w:sz w:val="24"/>
          <w:szCs w:val="24"/>
        </w:rPr>
        <w:t>им</w:t>
      </w:r>
      <w:r w:rsidR="007812EB" w:rsidRPr="00667A2C">
        <w:rPr>
          <w:rFonts w:ascii="Times New Roman" w:hAnsi="Times New Roman" w:cs="Times New Roman"/>
          <w:kern w:val="0"/>
          <w:sz w:val="24"/>
          <w:szCs w:val="24"/>
        </w:rPr>
        <w:t xml:space="preserve"> підход</w:t>
      </w:r>
      <w:r w:rsidR="007812EB">
        <w:rPr>
          <w:rFonts w:ascii="Times New Roman" w:hAnsi="Times New Roman" w:cs="Times New Roman"/>
          <w:kern w:val="0"/>
          <w:sz w:val="24"/>
          <w:szCs w:val="24"/>
        </w:rPr>
        <w:t>ом</w:t>
      </w:r>
      <w:r w:rsidR="007812EB" w:rsidRPr="00667A2C">
        <w:rPr>
          <w:rFonts w:ascii="Times New Roman" w:hAnsi="Times New Roman" w:cs="Times New Roman"/>
          <w:kern w:val="0"/>
          <w:sz w:val="24"/>
          <w:szCs w:val="24"/>
        </w:rPr>
        <w:t>.</w:t>
      </w:r>
    </w:p>
    <w:p w14:paraId="62E3DC1A" w14:textId="382E032D" w:rsidR="001C1F18" w:rsidRPr="00667A2C" w:rsidRDefault="00F118C1"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Україні </w:t>
      </w:r>
      <w:hyperlink r:id="rId51" w:anchor="n7" w:history="1">
        <w:r w:rsidRPr="00F118C1">
          <w:rPr>
            <w:rStyle w:val="a8"/>
            <w:rFonts w:ascii="Times New Roman" w:hAnsi="Times New Roman" w:cs="Times New Roman"/>
            <w:kern w:val="0"/>
            <w:sz w:val="24"/>
            <w:szCs w:val="24"/>
          </w:rPr>
          <w:t>Положення про акредитацію освітніх програм, за якими здійснюється підготовка здобувачів вищої освіти</w:t>
        </w:r>
      </w:hyperlink>
      <w:r w:rsidRPr="00F118C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засновано на положеннях </w:t>
      </w:r>
      <w:r w:rsidRPr="00C75192">
        <w:rPr>
          <w:rFonts w:ascii="Times New Roman" w:hAnsi="Times New Roman" w:cs="Times New Roman"/>
          <w:kern w:val="0"/>
          <w:sz w:val="24"/>
          <w:szCs w:val="24"/>
        </w:rPr>
        <w:t>Європейськ</w:t>
      </w:r>
      <w:r w:rsidRPr="00C75192">
        <w:rPr>
          <w:rFonts w:ascii="Times New Roman" w:hAnsi="Times New Roman" w:cs="Times New Roman"/>
          <w:kern w:val="0"/>
          <w:sz w:val="24"/>
          <w:szCs w:val="24"/>
        </w:rPr>
        <w:t>ого</w:t>
      </w:r>
      <w:r w:rsidRPr="00C75192">
        <w:rPr>
          <w:rFonts w:ascii="Times New Roman" w:hAnsi="Times New Roman" w:cs="Times New Roman"/>
          <w:kern w:val="0"/>
          <w:sz w:val="24"/>
          <w:szCs w:val="24"/>
        </w:rPr>
        <w:t xml:space="preserve"> підх</w:t>
      </w:r>
      <w:r w:rsidRPr="00C75192">
        <w:rPr>
          <w:rFonts w:ascii="Times New Roman" w:hAnsi="Times New Roman" w:cs="Times New Roman"/>
          <w:kern w:val="0"/>
          <w:sz w:val="24"/>
          <w:szCs w:val="24"/>
        </w:rPr>
        <w:t>оду</w:t>
      </w:r>
      <w:r w:rsidR="00C75192">
        <w:rPr>
          <w:rFonts w:ascii="Times New Roman" w:hAnsi="Times New Roman" w:cs="Times New Roman"/>
          <w:kern w:val="0"/>
          <w:sz w:val="24"/>
          <w:szCs w:val="24"/>
        </w:rPr>
        <w:t>, зокрема розділ</w:t>
      </w:r>
      <w:r w:rsidR="00C75192" w:rsidRPr="00C75192">
        <w:rPr>
          <w:rFonts w:ascii="Times New Roman" w:hAnsi="Times New Roman" w:cs="Times New Roman"/>
          <w:kern w:val="0"/>
          <w:sz w:val="24"/>
          <w:szCs w:val="24"/>
        </w:rPr>
        <w:t xml:space="preserve"> </w:t>
      </w:r>
      <w:r w:rsidR="00C75192" w:rsidRPr="00C75192">
        <w:rPr>
          <w:rFonts w:ascii="Times New Roman" w:hAnsi="Times New Roman" w:cs="Times New Roman"/>
          <w:kern w:val="0"/>
          <w:sz w:val="24"/>
          <w:szCs w:val="24"/>
        </w:rPr>
        <w:t>VI. Акредитація</w:t>
      </w:r>
      <w:bookmarkStart w:id="37" w:name="w1_5"/>
      <w:r w:rsidR="00C75192" w:rsidRPr="00C75192">
        <w:rPr>
          <w:rFonts w:ascii="Times New Roman" w:hAnsi="Times New Roman" w:cs="Times New Roman"/>
          <w:kern w:val="0"/>
          <w:sz w:val="24"/>
          <w:szCs w:val="24"/>
        </w:rPr>
        <w:t xml:space="preserve"> </w:t>
      </w:r>
      <w:hyperlink r:id="rId52" w:anchor="w1_6" w:history="1">
        <w:r w:rsidR="00C75192" w:rsidRPr="00C75192">
          <w:rPr>
            <w:rFonts w:ascii="Times New Roman" w:hAnsi="Times New Roman" w:cs="Times New Roman"/>
            <w:kern w:val="0"/>
            <w:sz w:val="24"/>
            <w:szCs w:val="24"/>
          </w:rPr>
          <w:t>узгоджен</w:t>
        </w:r>
      </w:hyperlink>
      <w:bookmarkEnd w:id="37"/>
      <w:r w:rsidR="00C75192" w:rsidRPr="00C75192">
        <w:rPr>
          <w:rFonts w:ascii="Times New Roman" w:hAnsi="Times New Roman" w:cs="Times New Roman"/>
          <w:kern w:val="0"/>
          <w:sz w:val="24"/>
          <w:szCs w:val="24"/>
        </w:rPr>
        <w:t>их освітніх програм</w:t>
      </w:r>
      <w:r w:rsidRPr="00C75192">
        <w:rPr>
          <w:rFonts w:ascii="Times New Roman" w:hAnsi="Times New Roman" w:cs="Times New Roman"/>
          <w:kern w:val="0"/>
          <w:sz w:val="24"/>
          <w:szCs w:val="24"/>
        </w:rPr>
        <w:t>.</w:t>
      </w:r>
    </w:p>
    <w:p w14:paraId="6C67E38C" w14:textId="4CCE3640" w:rsidR="001C1F18" w:rsidRPr="00667A2C" w:rsidRDefault="001C1F18" w:rsidP="009F793F">
      <w:pPr>
        <w:autoSpaceDE w:val="0"/>
        <w:autoSpaceDN w:val="0"/>
        <w:adjustRightInd w:val="0"/>
        <w:spacing w:before="100" w:beforeAutospacing="1" w:after="100" w:afterAutospacing="1" w:line="240" w:lineRule="auto"/>
        <w:jc w:val="both"/>
        <w:rPr>
          <w:rFonts w:ascii="Times New Roman" w:hAnsi="Times New Roman" w:cs="Times New Roman"/>
          <w:sz w:val="24"/>
          <w:szCs w:val="24"/>
          <w:u w:val="single"/>
        </w:rPr>
      </w:pPr>
      <w:r w:rsidRPr="00667A2C">
        <w:rPr>
          <w:rFonts w:ascii="Times New Roman" w:hAnsi="Times New Roman" w:cs="Times New Roman"/>
          <w:kern w:val="0"/>
          <w:sz w:val="24"/>
          <w:szCs w:val="24"/>
        </w:rPr>
        <w:t>В останні роки впровадження Європейського підходу заохочувалося</w:t>
      </w:r>
      <w:r w:rsidR="009F793F">
        <w:rPr>
          <w:rFonts w:ascii="Times New Roman" w:hAnsi="Times New Roman" w:cs="Times New Roman"/>
          <w:kern w:val="0"/>
          <w:sz w:val="24"/>
          <w:szCs w:val="24"/>
        </w:rPr>
        <w:t xml:space="preserve"> проєктами ЄС. </w:t>
      </w:r>
      <w:hyperlink r:id="rId53" w:history="1">
        <w:r w:rsidR="009F793F">
          <w:rPr>
            <w:rStyle w:val="a8"/>
            <w:rFonts w:ascii="Times New Roman" w:hAnsi="Times New Roman" w:cs="Times New Roman"/>
            <w:sz w:val="24"/>
            <w:szCs w:val="24"/>
          </w:rPr>
          <w:t>П</w:t>
        </w:r>
        <w:r w:rsidRPr="00667A2C">
          <w:rPr>
            <w:rStyle w:val="a8"/>
            <w:rFonts w:ascii="Times New Roman" w:hAnsi="Times New Roman" w:cs="Times New Roman"/>
            <w:sz w:val="24"/>
            <w:szCs w:val="24"/>
          </w:rPr>
          <w:t>ро</w:t>
        </w:r>
        <w:r w:rsidR="00871C2A">
          <w:rPr>
            <w:rStyle w:val="a8"/>
            <w:rFonts w:ascii="Times New Roman" w:hAnsi="Times New Roman" w:cs="Times New Roman"/>
            <w:sz w:val="24"/>
            <w:szCs w:val="24"/>
          </w:rPr>
          <w:t>є</w:t>
        </w:r>
        <w:r w:rsidRPr="00667A2C">
          <w:rPr>
            <w:rStyle w:val="a8"/>
            <w:rFonts w:ascii="Times New Roman" w:hAnsi="Times New Roman" w:cs="Times New Roman"/>
            <w:sz w:val="24"/>
            <w:szCs w:val="24"/>
          </w:rPr>
          <w:t>кт</w:t>
        </w:r>
        <w:r w:rsidR="005A3FFB" w:rsidRPr="00667A2C">
          <w:rPr>
            <w:rStyle w:val="a8"/>
            <w:rFonts w:ascii="Times New Roman" w:hAnsi="Times New Roman" w:cs="Times New Roman"/>
            <w:sz w:val="24"/>
            <w:szCs w:val="24"/>
          </w:rPr>
          <w:t xml:space="preserve"> ImpEA</w:t>
        </w:r>
      </w:hyperlink>
      <w:r w:rsidR="005A3FFB" w:rsidRPr="00667A2C">
        <w:rPr>
          <w:rFonts w:ascii="Times New Roman" w:hAnsi="Times New Roman" w:cs="Times New Roman"/>
          <w:sz w:val="24"/>
          <w:szCs w:val="24"/>
        </w:rPr>
        <w:t xml:space="preserve"> підтримав агентства із забезпечення якості в проведенні </w:t>
      </w:r>
      <w:r w:rsidRPr="00667A2C">
        <w:rPr>
          <w:rFonts w:ascii="Times New Roman" w:hAnsi="Times New Roman" w:cs="Times New Roman"/>
          <w:kern w:val="0"/>
          <w:sz w:val="24"/>
          <w:szCs w:val="24"/>
        </w:rPr>
        <w:t xml:space="preserve">процедур акредитації </w:t>
      </w:r>
      <w:r w:rsidR="0027306B">
        <w:rPr>
          <w:rFonts w:ascii="Times New Roman" w:hAnsi="Times New Roman" w:cs="Times New Roman"/>
          <w:kern w:val="0"/>
          <w:sz w:val="24"/>
          <w:szCs w:val="24"/>
        </w:rPr>
        <w:t xml:space="preserve">за </w:t>
      </w:r>
      <w:r w:rsidR="005A3FFB" w:rsidRPr="00667A2C">
        <w:rPr>
          <w:rFonts w:ascii="Times New Roman" w:hAnsi="Times New Roman" w:cs="Times New Roman"/>
          <w:kern w:val="0"/>
          <w:sz w:val="24"/>
          <w:szCs w:val="24"/>
        </w:rPr>
        <w:t>Європейськ</w:t>
      </w:r>
      <w:r w:rsidR="0027306B">
        <w:rPr>
          <w:rFonts w:ascii="Times New Roman" w:hAnsi="Times New Roman" w:cs="Times New Roman"/>
          <w:kern w:val="0"/>
          <w:sz w:val="24"/>
          <w:szCs w:val="24"/>
        </w:rPr>
        <w:t>им</w:t>
      </w:r>
      <w:r w:rsidR="005A3FFB" w:rsidRPr="00667A2C">
        <w:rPr>
          <w:rFonts w:ascii="Times New Roman" w:hAnsi="Times New Roman" w:cs="Times New Roman"/>
          <w:kern w:val="0"/>
          <w:sz w:val="24"/>
          <w:szCs w:val="24"/>
        </w:rPr>
        <w:t xml:space="preserve"> підход</w:t>
      </w:r>
      <w:r w:rsidR="0027306B">
        <w:rPr>
          <w:rFonts w:ascii="Times New Roman" w:hAnsi="Times New Roman" w:cs="Times New Roman"/>
          <w:kern w:val="0"/>
          <w:sz w:val="24"/>
          <w:szCs w:val="24"/>
        </w:rPr>
        <w:t>ом</w:t>
      </w:r>
      <w:r w:rsidRPr="00667A2C">
        <w:rPr>
          <w:rFonts w:ascii="Times New Roman" w:hAnsi="Times New Roman" w:cs="Times New Roman"/>
          <w:kern w:val="0"/>
          <w:sz w:val="24"/>
          <w:szCs w:val="24"/>
        </w:rPr>
        <w:t xml:space="preserve">, а також чотири </w:t>
      </w:r>
      <w:r w:rsidR="005A3FFB" w:rsidRPr="00667A2C">
        <w:rPr>
          <w:rFonts w:ascii="Times New Roman" w:hAnsi="Times New Roman" w:cs="Times New Roman"/>
          <w:kern w:val="0"/>
          <w:sz w:val="24"/>
          <w:szCs w:val="24"/>
        </w:rPr>
        <w:t xml:space="preserve">консорціуми </w:t>
      </w:r>
      <w:r w:rsidRPr="00667A2C">
        <w:rPr>
          <w:rFonts w:ascii="Times New Roman" w:hAnsi="Times New Roman" w:cs="Times New Roman"/>
          <w:kern w:val="0"/>
          <w:sz w:val="24"/>
          <w:szCs w:val="24"/>
        </w:rPr>
        <w:t>спільн</w:t>
      </w:r>
      <w:r w:rsidR="005A3FFB" w:rsidRPr="00667A2C">
        <w:rPr>
          <w:rFonts w:ascii="Times New Roman" w:hAnsi="Times New Roman" w:cs="Times New Roman"/>
          <w:kern w:val="0"/>
          <w:sz w:val="24"/>
          <w:szCs w:val="24"/>
        </w:rPr>
        <w:t>их</w:t>
      </w:r>
      <w:r w:rsidRPr="00667A2C">
        <w:rPr>
          <w:rFonts w:ascii="Times New Roman" w:hAnsi="Times New Roman" w:cs="Times New Roman"/>
          <w:kern w:val="0"/>
          <w:sz w:val="24"/>
          <w:szCs w:val="24"/>
        </w:rPr>
        <w:t xml:space="preserve"> програм в отриманні акредитації </w:t>
      </w:r>
      <w:r w:rsidR="0027306B">
        <w:rPr>
          <w:rFonts w:ascii="Times New Roman" w:hAnsi="Times New Roman" w:cs="Times New Roman"/>
          <w:kern w:val="0"/>
          <w:sz w:val="24"/>
          <w:szCs w:val="24"/>
        </w:rPr>
        <w:t xml:space="preserve">за </w:t>
      </w:r>
      <w:r w:rsidR="005A3FFB" w:rsidRPr="00667A2C">
        <w:rPr>
          <w:rFonts w:ascii="Times New Roman" w:hAnsi="Times New Roman" w:cs="Times New Roman"/>
          <w:kern w:val="0"/>
          <w:sz w:val="24"/>
          <w:szCs w:val="24"/>
        </w:rPr>
        <w:t>Європейськ</w:t>
      </w:r>
      <w:r w:rsidR="0027306B">
        <w:rPr>
          <w:rFonts w:ascii="Times New Roman" w:hAnsi="Times New Roman" w:cs="Times New Roman"/>
          <w:kern w:val="0"/>
          <w:sz w:val="24"/>
          <w:szCs w:val="24"/>
        </w:rPr>
        <w:t>им</w:t>
      </w:r>
      <w:r w:rsidR="005A3FFB" w:rsidRPr="00667A2C">
        <w:rPr>
          <w:rFonts w:ascii="Times New Roman" w:hAnsi="Times New Roman" w:cs="Times New Roman"/>
          <w:kern w:val="0"/>
          <w:sz w:val="24"/>
          <w:szCs w:val="24"/>
        </w:rPr>
        <w:t xml:space="preserve"> підход</w:t>
      </w:r>
      <w:r w:rsidR="0027306B">
        <w:rPr>
          <w:rFonts w:ascii="Times New Roman" w:hAnsi="Times New Roman" w:cs="Times New Roman"/>
          <w:kern w:val="0"/>
          <w:sz w:val="24"/>
          <w:szCs w:val="24"/>
        </w:rPr>
        <w:t>ом</w:t>
      </w:r>
      <w:r w:rsidRPr="00667A2C">
        <w:rPr>
          <w:rFonts w:ascii="Times New Roman" w:hAnsi="Times New Roman" w:cs="Times New Roman"/>
          <w:kern w:val="0"/>
          <w:sz w:val="24"/>
          <w:szCs w:val="24"/>
        </w:rPr>
        <w:t xml:space="preserve">. </w:t>
      </w:r>
      <w:hyperlink r:id="rId54" w:history="1">
        <w:r w:rsidR="005A3FFB" w:rsidRPr="00667A2C">
          <w:rPr>
            <w:rStyle w:val="a8"/>
            <w:rFonts w:ascii="Times New Roman" w:hAnsi="Times New Roman" w:cs="Times New Roman"/>
            <w:sz w:val="24"/>
            <w:szCs w:val="24"/>
          </w:rPr>
          <w:t>Аналітичн</w:t>
        </w:r>
        <w:r w:rsidR="005A3FFB" w:rsidRPr="00667A2C">
          <w:rPr>
            <w:rStyle w:val="a8"/>
            <w:rFonts w:ascii="Times New Roman" w:hAnsi="Times New Roman" w:cs="Times New Roman"/>
            <w:sz w:val="24"/>
            <w:szCs w:val="24"/>
          </w:rPr>
          <w:t>и</w:t>
        </w:r>
        <w:r w:rsidR="005A3FFB" w:rsidRPr="00667A2C">
          <w:rPr>
            <w:rStyle w:val="a8"/>
            <w:rFonts w:ascii="Times New Roman" w:hAnsi="Times New Roman" w:cs="Times New Roman"/>
            <w:sz w:val="24"/>
            <w:szCs w:val="24"/>
          </w:rPr>
          <w:t>й з</w:t>
        </w:r>
        <w:r w:rsidRPr="00667A2C">
          <w:rPr>
            <w:rStyle w:val="a8"/>
            <w:rFonts w:ascii="Times New Roman" w:hAnsi="Times New Roman" w:cs="Times New Roman"/>
            <w:sz w:val="24"/>
            <w:szCs w:val="24"/>
          </w:rPr>
          <w:t>ві</w:t>
        </w:r>
        <w:r w:rsidR="005A3FFB" w:rsidRPr="00667A2C">
          <w:rPr>
            <w:rStyle w:val="a8"/>
            <w:rFonts w:ascii="Times New Roman" w:hAnsi="Times New Roman" w:cs="Times New Roman"/>
            <w:sz w:val="24"/>
            <w:szCs w:val="24"/>
          </w:rPr>
          <w:t>т</w:t>
        </w:r>
      </w:hyperlink>
      <w:r w:rsidR="005A3FFB" w:rsidRPr="00667A2C">
        <w:rPr>
          <w:rFonts w:ascii="Times New Roman" w:hAnsi="Times New Roman" w:cs="Times New Roman"/>
          <w:color w:val="000000"/>
          <w:kern w:val="0"/>
          <w:sz w:val="24"/>
          <w:szCs w:val="24"/>
        </w:rPr>
        <w:t xml:space="preserve"> про впровадження Європейського підходу містить інформацію про (i) </w:t>
      </w:r>
      <w:r w:rsidR="005A3FFB" w:rsidRPr="00667A2C">
        <w:rPr>
          <w:rFonts w:ascii="Times New Roman" w:hAnsi="Times New Roman" w:cs="Times New Roman"/>
          <w:kern w:val="0"/>
          <w:sz w:val="24"/>
          <w:szCs w:val="24"/>
        </w:rPr>
        <w:t>Європейський підхід</w:t>
      </w:r>
      <w:r w:rsidR="005A3FFB" w:rsidRPr="00667A2C">
        <w:rPr>
          <w:rFonts w:ascii="Times New Roman" w:hAnsi="Times New Roman" w:cs="Times New Roman"/>
          <w:color w:val="000000"/>
          <w:kern w:val="0"/>
          <w:sz w:val="24"/>
          <w:szCs w:val="24"/>
        </w:rPr>
        <w:t xml:space="preserve">, (ii) </w:t>
      </w:r>
      <w:r w:rsidRPr="00667A2C">
        <w:rPr>
          <w:rFonts w:ascii="Times New Roman" w:hAnsi="Times New Roman" w:cs="Times New Roman"/>
          <w:color w:val="000000"/>
          <w:kern w:val="0"/>
          <w:sz w:val="24"/>
          <w:szCs w:val="24"/>
        </w:rPr>
        <w:t xml:space="preserve">національну політику та законодавство щодо </w:t>
      </w:r>
      <w:r w:rsidR="005A3FFB" w:rsidRPr="00667A2C">
        <w:rPr>
          <w:rFonts w:ascii="Times New Roman" w:hAnsi="Times New Roman" w:cs="Times New Roman"/>
          <w:kern w:val="0"/>
          <w:sz w:val="24"/>
          <w:szCs w:val="24"/>
        </w:rPr>
        <w:t>Європейського підходу</w:t>
      </w:r>
      <w:r w:rsidRPr="00667A2C">
        <w:rPr>
          <w:rFonts w:ascii="Times New Roman" w:hAnsi="Times New Roman" w:cs="Times New Roman"/>
          <w:color w:val="000000"/>
          <w:kern w:val="0"/>
          <w:sz w:val="24"/>
          <w:szCs w:val="24"/>
        </w:rPr>
        <w:t xml:space="preserve">, (iii) основні виклики у впровадженні </w:t>
      </w:r>
      <w:r w:rsidR="005A3FFB" w:rsidRPr="00667A2C">
        <w:rPr>
          <w:rFonts w:ascii="Times New Roman" w:hAnsi="Times New Roman" w:cs="Times New Roman"/>
          <w:kern w:val="0"/>
          <w:sz w:val="24"/>
          <w:szCs w:val="24"/>
        </w:rPr>
        <w:t xml:space="preserve">Європейського підходу </w:t>
      </w:r>
      <w:r w:rsidRPr="00667A2C">
        <w:rPr>
          <w:rFonts w:ascii="Times New Roman" w:hAnsi="Times New Roman" w:cs="Times New Roman"/>
          <w:color w:val="000000"/>
          <w:kern w:val="0"/>
          <w:sz w:val="24"/>
          <w:szCs w:val="24"/>
        </w:rPr>
        <w:t xml:space="preserve">та (iv) додану вартість </w:t>
      </w:r>
      <w:r w:rsidR="005A3FFB" w:rsidRPr="00667A2C">
        <w:rPr>
          <w:rFonts w:ascii="Times New Roman" w:hAnsi="Times New Roman" w:cs="Times New Roman"/>
          <w:kern w:val="0"/>
          <w:sz w:val="24"/>
          <w:szCs w:val="24"/>
        </w:rPr>
        <w:t>Європейського підходу</w:t>
      </w:r>
      <w:r w:rsidRPr="00667A2C">
        <w:rPr>
          <w:rFonts w:ascii="Times New Roman" w:hAnsi="Times New Roman" w:cs="Times New Roman"/>
          <w:color w:val="000000"/>
          <w:kern w:val="0"/>
          <w:sz w:val="24"/>
          <w:szCs w:val="24"/>
        </w:rPr>
        <w:t>.</w:t>
      </w:r>
      <w:r w:rsidR="0027306B" w:rsidRPr="00667A2C">
        <w:rPr>
          <w:rFonts w:ascii="Times New Roman" w:hAnsi="Times New Roman" w:cs="Times New Roman"/>
          <w:kern w:val="0"/>
          <w:sz w:val="24"/>
          <w:szCs w:val="24"/>
        </w:rPr>
        <w:t xml:space="preserve"> </w:t>
      </w:r>
      <w:r w:rsidRPr="00667A2C">
        <w:rPr>
          <w:rFonts w:ascii="Times New Roman" w:hAnsi="Times New Roman" w:cs="Times New Roman"/>
          <w:kern w:val="0"/>
          <w:sz w:val="24"/>
          <w:szCs w:val="24"/>
        </w:rPr>
        <w:t>Європейський підхід також</w:t>
      </w:r>
      <w:r w:rsidR="009F793F">
        <w:rPr>
          <w:rFonts w:ascii="Times New Roman" w:hAnsi="Times New Roman" w:cs="Times New Roman"/>
          <w:kern w:val="0"/>
          <w:sz w:val="24"/>
          <w:szCs w:val="24"/>
        </w:rPr>
        <w:t xml:space="preserve"> був у фокусі уваги проєкту ЄС </w:t>
      </w:r>
      <w:hyperlink r:id="rId55" w:history="1">
        <w:r w:rsidR="0080024C" w:rsidRPr="00667A2C">
          <w:rPr>
            <w:rStyle w:val="a8"/>
            <w:rFonts w:ascii="Times New Roman" w:hAnsi="Times New Roman" w:cs="Times New Roman"/>
            <w:sz w:val="24"/>
            <w:szCs w:val="24"/>
          </w:rPr>
          <w:t>FaBoTo+ Peer Learning A</w:t>
        </w:r>
        <w:r w:rsidR="0080024C" w:rsidRPr="00667A2C">
          <w:rPr>
            <w:rStyle w:val="a8"/>
            <w:rFonts w:ascii="Times New Roman" w:hAnsi="Times New Roman" w:cs="Times New Roman"/>
            <w:sz w:val="24"/>
            <w:szCs w:val="24"/>
          </w:rPr>
          <w:t>c</w:t>
        </w:r>
        <w:r w:rsidR="0080024C" w:rsidRPr="00667A2C">
          <w:rPr>
            <w:rStyle w:val="a8"/>
            <w:rFonts w:ascii="Times New Roman" w:hAnsi="Times New Roman" w:cs="Times New Roman"/>
            <w:sz w:val="24"/>
            <w:szCs w:val="24"/>
          </w:rPr>
          <w:t>tivity on the European Approach</w:t>
        </w:r>
      </w:hyperlink>
      <w:r w:rsidRPr="00667A2C">
        <w:rPr>
          <w:rFonts w:ascii="Times New Roman" w:hAnsi="Times New Roman" w:cs="Times New Roman"/>
          <w:color w:val="000000"/>
          <w:kern w:val="0"/>
          <w:sz w:val="24"/>
          <w:szCs w:val="24"/>
        </w:rPr>
        <w:t>.</w:t>
      </w:r>
    </w:p>
    <w:p w14:paraId="397664F8" w14:textId="446D8C7B" w:rsidR="001C1F18" w:rsidRPr="007B472D" w:rsidRDefault="001C1F18" w:rsidP="00667A2C">
      <w:pPr>
        <w:pStyle w:val="2"/>
        <w:spacing w:before="100" w:beforeAutospacing="1" w:after="100" w:afterAutospacing="1" w:line="240" w:lineRule="auto"/>
        <w:rPr>
          <w:rFonts w:ascii="Times New Roman" w:hAnsi="Times New Roman" w:cs="Times New Roman"/>
          <w:b/>
          <w:bCs/>
          <w:sz w:val="24"/>
          <w:szCs w:val="24"/>
        </w:rPr>
      </w:pPr>
      <w:bookmarkStart w:id="38" w:name="_Toc188337454"/>
      <w:r w:rsidRPr="007B472D">
        <w:rPr>
          <w:rFonts w:ascii="Times New Roman" w:hAnsi="Times New Roman" w:cs="Times New Roman"/>
          <w:b/>
          <w:bCs/>
          <w:sz w:val="24"/>
          <w:szCs w:val="24"/>
        </w:rPr>
        <w:t>12.</w:t>
      </w:r>
      <w:r w:rsidR="007B472D" w:rsidRPr="007B472D">
        <w:rPr>
          <w:rFonts w:ascii="Times New Roman" w:hAnsi="Times New Roman" w:cs="Times New Roman"/>
          <w:b/>
          <w:bCs/>
          <w:sz w:val="24"/>
          <w:szCs w:val="24"/>
        </w:rPr>
        <w:t>4</w:t>
      </w:r>
      <w:r w:rsidRPr="007B472D">
        <w:rPr>
          <w:rFonts w:ascii="Times New Roman" w:hAnsi="Times New Roman" w:cs="Times New Roman"/>
          <w:b/>
          <w:bCs/>
          <w:sz w:val="24"/>
          <w:szCs w:val="24"/>
        </w:rPr>
        <w:t>.</w:t>
      </w:r>
      <w:r w:rsidR="00FC4D59" w:rsidRPr="007B472D">
        <w:rPr>
          <w:rFonts w:ascii="Times New Roman" w:hAnsi="Times New Roman" w:cs="Times New Roman"/>
          <w:b/>
          <w:bCs/>
          <w:sz w:val="24"/>
          <w:szCs w:val="24"/>
        </w:rPr>
        <w:t xml:space="preserve"> </w:t>
      </w:r>
      <w:r w:rsidRPr="007B472D">
        <w:rPr>
          <w:rFonts w:ascii="Times New Roman" w:hAnsi="Times New Roman" w:cs="Times New Roman"/>
          <w:b/>
          <w:bCs/>
          <w:sz w:val="24"/>
          <w:szCs w:val="24"/>
        </w:rPr>
        <w:t>Випускники, ст</w:t>
      </w:r>
      <w:r w:rsidR="00BC53F4" w:rsidRPr="007B472D">
        <w:rPr>
          <w:rFonts w:ascii="Times New Roman" w:hAnsi="Times New Roman" w:cs="Times New Roman"/>
          <w:b/>
          <w:bCs/>
          <w:sz w:val="24"/>
          <w:szCs w:val="24"/>
        </w:rPr>
        <w:t>ійкість</w:t>
      </w:r>
      <w:r w:rsidR="00EF0366">
        <w:rPr>
          <w:rFonts w:ascii="Times New Roman" w:hAnsi="Times New Roman" w:cs="Times New Roman"/>
          <w:b/>
          <w:bCs/>
          <w:sz w:val="24"/>
          <w:szCs w:val="24"/>
        </w:rPr>
        <w:t xml:space="preserve"> спільних</w:t>
      </w:r>
      <w:r w:rsidR="00BC53F4" w:rsidRPr="007B472D">
        <w:rPr>
          <w:rFonts w:ascii="Times New Roman" w:hAnsi="Times New Roman" w:cs="Times New Roman"/>
          <w:b/>
          <w:bCs/>
          <w:sz w:val="24"/>
          <w:szCs w:val="24"/>
        </w:rPr>
        <w:t xml:space="preserve"> програм</w:t>
      </w:r>
      <w:r w:rsidRPr="007B472D">
        <w:rPr>
          <w:rFonts w:ascii="Times New Roman" w:hAnsi="Times New Roman" w:cs="Times New Roman"/>
          <w:b/>
          <w:bCs/>
          <w:sz w:val="24"/>
          <w:szCs w:val="24"/>
        </w:rPr>
        <w:t xml:space="preserve"> </w:t>
      </w:r>
      <w:r w:rsidR="004A07D9">
        <w:rPr>
          <w:rFonts w:ascii="Times New Roman" w:hAnsi="Times New Roman" w:cs="Times New Roman"/>
          <w:b/>
          <w:bCs/>
          <w:sz w:val="24"/>
          <w:szCs w:val="24"/>
        </w:rPr>
        <w:t>і</w:t>
      </w:r>
      <w:r w:rsidRPr="007B472D">
        <w:rPr>
          <w:rFonts w:ascii="Times New Roman" w:hAnsi="Times New Roman" w:cs="Times New Roman"/>
          <w:b/>
          <w:bCs/>
          <w:sz w:val="24"/>
          <w:szCs w:val="24"/>
        </w:rPr>
        <w:t xml:space="preserve"> працевлаштування</w:t>
      </w:r>
      <w:bookmarkEnd w:id="38"/>
    </w:p>
    <w:p w14:paraId="0A2EC228" w14:textId="43502940" w:rsidR="001C1F18" w:rsidRPr="00667A2C" w:rsidRDefault="001C1F18" w:rsidP="00667A2C">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667A2C">
        <w:rPr>
          <w:rFonts w:ascii="Times New Roman" w:hAnsi="Times New Roman" w:cs="Times New Roman"/>
          <w:color w:val="365F91" w:themeColor="accent1" w:themeShade="BF"/>
          <w:kern w:val="0"/>
          <w:sz w:val="24"/>
          <w:szCs w:val="24"/>
        </w:rPr>
        <w:t>Моніторинг кар</w:t>
      </w:r>
      <w:r w:rsidR="00BC53F4" w:rsidRPr="00667A2C">
        <w:rPr>
          <w:rFonts w:ascii="Times New Roman" w:hAnsi="Times New Roman" w:cs="Times New Roman"/>
          <w:color w:val="365F91" w:themeColor="accent1" w:themeShade="BF"/>
          <w:kern w:val="0"/>
          <w:sz w:val="24"/>
          <w:szCs w:val="24"/>
        </w:rPr>
        <w:t>’</w:t>
      </w:r>
      <w:r w:rsidRPr="00667A2C">
        <w:rPr>
          <w:rFonts w:ascii="Times New Roman" w:hAnsi="Times New Roman" w:cs="Times New Roman"/>
          <w:color w:val="365F91" w:themeColor="accent1" w:themeShade="BF"/>
          <w:kern w:val="0"/>
          <w:sz w:val="24"/>
          <w:szCs w:val="24"/>
        </w:rPr>
        <w:t xml:space="preserve">єрних </w:t>
      </w:r>
      <w:r w:rsidR="00BC53F4" w:rsidRPr="00667A2C">
        <w:rPr>
          <w:rFonts w:ascii="Times New Roman" w:hAnsi="Times New Roman" w:cs="Times New Roman"/>
          <w:color w:val="365F91" w:themeColor="accent1" w:themeShade="BF"/>
          <w:kern w:val="0"/>
          <w:sz w:val="24"/>
          <w:szCs w:val="24"/>
        </w:rPr>
        <w:t>траєкторій</w:t>
      </w:r>
      <w:r w:rsidRPr="00667A2C">
        <w:rPr>
          <w:rFonts w:ascii="Times New Roman" w:hAnsi="Times New Roman" w:cs="Times New Roman"/>
          <w:color w:val="365F91" w:themeColor="accent1" w:themeShade="BF"/>
          <w:kern w:val="0"/>
          <w:sz w:val="24"/>
          <w:szCs w:val="24"/>
        </w:rPr>
        <w:t xml:space="preserve"> випускників</w:t>
      </w:r>
    </w:p>
    <w:p w14:paraId="785F63F7" w14:textId="1B68ED33" w:rsidR="001C1F18" w:rsidRPr="00667A2C" w:rsidRDefault="0068166D"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67A2C">
        <w:rPr>
          <w:rFonts w:ascii="Times New Roman" w:hAnsi="Times New Roman" w:cs="Times New Roman"/>
          <w:kern w:val="0"/>
          <w:sz w:val="24"/>
          <w:szCs w:val="24"/>
        </w:rPr>
        <w:t>Щоб</w:t>
      </w:r>
      <w:r w:rsidR="001C1F18" w:rsidRPr="00667A2C">
        <w:rPr>
          <w:rFonts w:ascii="Times New Roman" w:hAnsi="Times New Roman" w:cs="Times New Roman"/>
          <w:kern w:val="0"/>
          <w:sz w:val="24"/>
          <w:szCs w:val="24"/>
        </w:rPr>
        <w:t xml:space="preserve"> забезпеч</w:t>
      </w:r>
      <w:r w:rsidRPr="00667A2C">
        <w:rPr>
          <w:rFonts w:ascii="Times New Roman" w:hAnsi="Times New Roman" w:cs="Times New Roman"/>
          <w:kern w:val="0"/>
          <w:sz w:val="24"/>
          <w:szCs w:val="24"/>
        </w:rPr>
        <w:t>ити</w:t>
      </w:r>
      <w:r w:rsidR="001C1F18" w:rsidRPr="00667A2C">
        <w:rPr>
          <w:rFonts w:ascii="Times New Roman" w:hAnsi="Times New Roman" w:cs="Times New Roman"/>
          <w:kern w:val="0"/>
          <w:sz w:val="24"/>
          <w:szCs w:val="24"/>
        </w:rPr>
        <w:t xml:space="preserve"> </w:t>
      </w:r>
      <w:r w:rsidRPr="00667A2C">
        <w:rPr>
          <w:rFonts w:ascii="Times New Roman" w:hAnsi="Times New Roman" w:cs="Times New Roman"/>
          <w:kern w:val="0"/>
          <w:sz w:val="24"/>
          <w:szCs w:val="24"/>
        </w:rPr>
        <w:t>тривалу</w:t>
      </w:r>
      <w:r w:rsidR="001C1F18" w:rsidRPr="00667A2C">
        <w:rPr>
          <w:rFonts w:ascii="Times New Roman" w:hAnsi="Times New Roman" w:cs="Times New Roman"/>
          <w:kern w:val="0"/>
          <w:sz w:val="24"/>
          <w:szCs w:val="24"/>
        </w:rPr>
        <w:t xml:space="preserve"> актуальн</w:t>
      </w:r>
      <w:r w:rsidRPr="00667A2C">
        <w:rPr>
          <w:rFonts w:ascii="Times New Roman" w:hAnsi="Times New Roman" w:cs="Times New Roman"/>
          <w:kern w:val="0"/>
          <w:sz w:val="24"/>
          <w:szCs w:val="24"/>
        </w:rPr>
        <w:t>ість</w:t>
      </w:r>
      <w:r w:rsidR="001C1F18" w:rsidRPr="00667A2C">
        <w:rPr>
          <w:rFonts w:ascii="Times New Roman" w:hAnsi="Times New Roman" w:cs="Times New Roman"/>
          <w:kern w:val="0"/>
          <w:sz w:val="24"/>
          <w:szCs w:val="24"/>
        </w:rPr>
        <w:t xml:space="preserve"> та як</w:t>
      </w:r>
      <w:r w:rsidRPr="00667A2C">
        <w:rPr>
          <w:rFonts w:ascii="Times New Roman" w:hAnsi="Times New Roman" w:cs="Times New Roman"/>
          <w:kern w:val="0"/>
          <w:sz w:val="24"/>
          <w:szCs w:val="24"/>
        </w:rPr>
        <w:t>ість</w:t>
      </w:r>
      <w:r w:rsidR="001C1F18" w:rsidRPr="00667A2C">
        <w:rPr>
          <w:rFonts w:ascii="Times New Roman" w:hAnsi="Times New Roman" w:cs="Times New Roman"/>
          <w:kern w:val="0"/>
          <w:sz w:val="24"/>
          <w:szCs w:val="24"/>
        </w:rPr>
        <w:t xml:space="preserve"> результатів навчання, досягнутих завдяки спільним програмам та структурі мобільності, координатори спільних програм часто проводять опитування випускників (де</w:t>
      </w:r>
      <w:r w:rsidRPr="00667A2C">
        <w:rPr>
          <w:rFonts w:ascii="Times New Roman" w:hAnsi="Times New Roman" w:cs="Times New Roman"/>
          <w:kern w:val="0"/>
          <w:sz w:val="24"/>
          <w:szCs w:val="24"/>
        </w:rPr>
        <w:t>хто навіть</w:t>
      </w:r>
      <w:r w:rsidR="001C1F18" w:rsidRPr="00667A2C">
        <w:rPr>
          <w:rFonts w:ascii="Times New Roman" w:hAnsi="Times New Roman" w:cs="Times New Roman"/>
          <w:kern w:val="0"/>
          <w:sz w:val="24"/>
          <w:szCs w:val="24"/>
        </w:rPr>
        <w:t xml:space="preserve"> кожні</w:t>
      </w:r>
      <w:r w:rsidRPr="00667A2C">
        <w:rPr>
          <w:rFonts w:ascii="Times New Roman" w:hAnsi="Times New Roman" w:cs="Times New Roman"/>
          <w:kern w:val="0"/>
          <w:sz w:val="24"/>
          <w:szCs w:val="24"/>
        </w:rPr>
        <w:t xml:space="preserve"> </w:t>
      </w:r>
      <w:r w:rsidR="001C1F18" w:rsidRPr="00667A2C">
        <w:rPr>
          <w:rFonts w:ascii="Times New Roman" w:hAnsi="Times New Roman" w:cs="Times New Roman"/>
          <w:kern w:val="0"/>
          <w:sz w:val="24"/>
          <w:szCs w:val="24"/>
        </w:rPr>
        <w:t xml:space="preserve">6 місяців). </w:t>
      </w:r>
      <w:r w:rsidRPr="00667A2C">
        <w:rPr>
          <w:rFonts w:ascii="Times New Roman" w:hAnsi="Times New Roman" w:cs="Times New Roman"/>
          <w:kern w:val="0"/>
          <w:sz w:val="24"/>
          <w:szCs w:val="24"/>
        </w:rPr>
        <w:t>Випускників запрошують до консультативних рад програм, залучають до заходів із налагодження зв’язків між університетами та промисловістю, кар’єрного орієнтування, а також до наставництва студентів</w:t>
      </w:r>
      <w:r w:rsidR="001C1F18" w:rsidRPr="00667A2C">
        <w:rPr>
          <w:rFonts w:ascii="Times New Roman" w:hAnsi="Times New Roman" w:cs="Times New Roman"/>
          <w:kern w:val="0"/>
          <w:sz w:val="24"/>
          <w:szCs w:val="24"/>
        </w:rPr>
        <w:t>.</w:t>
      </w:r>
    </w:p>
    <w:p w14:paraId="346D78B6" w14:textId="2AFD5559" w:rsidR="001C1F18" w:rsidRPr="00667A2C" w:rsidRDefault="0080024C"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667A2C">
        <w:rPr>
          <w:rFonts w:ascii="Times New Roman" w:hAnsi="Times New Roman" w:cs="Times New Roman"/>
          <w:sz w:val="24"/>
          <w:szCs w:val="24"/>
        </w:rPr>
        <w:t xml:space="preserve">Організація випускників </w:t>
      </w:r>
      <w:hyperlink r:id="rId56" w:history="1">
        <w:r w:rsidRPr="00667A2C">
          <w:rPr>
            <w:rStyle w:val="a8"/>
            <w:rFonts w:ascii="Times New Roman" w:hAnsi="Times New Roman" w:cs="Times New Roman"/>
            <w:sz w:val="24"/>
            <w:szCs w:val="24"/>
          </w:rPr>
          <w:t>Erasmus Mundus Alumni Organisation</w:t>
        </w:r>
      </w:hyperlink>
      <w:r w:rsidR="0068166D" w:rsidRPr="00667A2C">
        <w:rPr>
          <w:rFonts w:ascii="Times New Roman" w:hAnsi="Times New Roman" w:cs="Times New Roman"/>
          <w:sz w:val="24"/>
          <w:szCs w:val="24"/>
        </w:rPr>
        <w:t xml:space="preserve"> (EMA) проводить щорічне </w:t>
      </w:r>
      <w:hyperlink r:id="rId57" w:history="1">
        <w:r w:rsidR="0068166D" w:rsidRPr="00CD40CC">
          <w:rPr>
            <w:rFonts w:ascii="Times New Roman" w:hAnsi="Times New Roman" w:cs="Times New Roman"/>
            <w:sz w:val="24"/>
            <w:szCs w:val="24"/>
          </w:rPr>
          <w:t>опитування випускників</w:t>
        </w:r>
      </w:hyperlink>
      <w:r w:rsidR="0068166D" w:rsidRPr="00CD40CC">
        <w:rPr>
          <w:rFonts w:ascii="Times New Roman" w:hAnsi="Times New Roman" w:cs="Times New Roman"/>
          <w:sz w:val="24"/>
          <w:szCs w:val="24"/>
        </w:rPr>
        <w:t xml:space="preserve"> Graduate Impact Survey з метою </w:t>
      </w:r>
      <w:r w:rsidR="001C1F18" w:rsidRPr="00CD40CC">
        <w:rPr>
          <w:rFonts w:ascii="Times New Roman" w:hAnsi="Times New Roman" w:cs="Times New Roman"/>
          <w:sz w:val="24"/>
          <w:szCs w:val="24"/>
        </w:rPr>
        <w:t>моніторингу впливу участі в програмах</w:t>
      </w:r>
      <w:r w:rsidR="001C1F18" w:rsidRPr="00667A2C">
        <w:rPr>
          <w:rFonts w:ascii="Times New Roman" w:hAnsi="Times New Roman" w:cs="Times New Roman"/>
          <w:color w:val="000000"/>
          <w:kern w:val="0"/>
          <w:sz w:val="24"/>
          <w:szCs w:val="24"/>
        </w:rPr>
        <w:t xml:space="preserve"> </w:t>
      </w:r>
      <w:r w:rsidR="00407F7D" w:rsidRPr="00667A2C">
        <w:rPr>
          <w:rFonts w:ascii="Times New Roman" w:hAnsi="Times New Roman" w:cs="Times New Roman"/>
          <w:color w:val="000000"/>
          <w:kern w:val="0"/>
          <w:sz w:val="24"/>
          <w:szCs w:val="24"/>
        </w:rPr>
        <w:t>Erasmus</w:t>
      </w:r>
      <w:r w:rsidR="001C1F18" w:rsidRPr="00667A2C">
        <w:rPr>
          <w:rFonts w:ascii="Times New Roman" w:hAnsi="Times New Roman" w:cs="Times New Roman"/>
          <w:color w:val="000000"/>
          <w:kern w:val="0"/>
          <w:sz w:val="24"/>
          <w:szCs w:val="24"/>
        </w:rPr>
        <w:t xml:space="preserve"> </w:t>
      </w:r>
      <w:r w:rsidR="00E408FC" w:rsidRPr="00667A2C">
        <w:rPr>
          <w:rFonts w:ascii="Times New Roman" w:hAnsi="Times New Roman" w:cs="Times New Roman"/>
          <w:color w:val="000000"/>
          <w:kern w:val="0"/>
          <w:sz w:val="24"/>
          <w:szCs w:val="24"/>
        </w:rPr>
        <w:t>Mundus</w:t>
      </w:r>
      <w:r w:rsidR="001C1F18" w:rsidRPr="00667A2C">
        <w:rPr>
          <w:rFonts w:ascii="Times New Roman" w:hAnsi="Times New Roman" w:cs="Times New Roman"/>
          <w:color w:val="000000"/>
          <w:kern w:val="0"/>
          <w:sz w:val="24"/>
          <w:szCs w:val="24"/>
        </w:rPr>
        <w:t xml:space="preserve"> на розвиток кар</w:t>
      </w:r>
      <w:r w:rsidR="000262CF" w:rsidRPr="00667A2C">
        <w:rPr>
          <w:rFonts w:ascii="Times New Roman" w:hAnsi="Times New Roman" w:cs="Times New Roman"/>
          <w:color w:val="000000"/>
          <w:kern w:val="0"/>
          <w:sz w:val="24"/>
          <w:szCs w:val="24"/>
        </w:rPr>
        <w:t>’</w:t>
      </w:r>
      <w:r w:rsidR="001C1F18" w:rsidRPr="00667A2C">
        <w:rPr>
          <w:rFonts w:ascii="Times New Roman" w:hAnsi="Times New Roman" w:cs="Times New Roman"/>
          <w:color w:val="000000"/>
          <w:kern w:val="0"/>
          <w:sz w:val="24"/>
          <w:szCs w:val="24"/>
        </w:rPr>
        <w:t>єри та особистісне зростання. Це опитування може слугувати основою для проведення аналогічних опитувань в рамках окремих спільних програм.</w:t>
      </w:r>
    </w:p>
    <w:p w14:paraId="4EE492E8" w14:textId="7EC5F375" w:rsidR="001C1F18" w:rsidRPr="00667A2C" w:rsidRDefault="001C1F18" w:rsidP="00667A2C">
      <w:pPr>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667A2C">
        <w:rPr>
          <w:rFonts w:ascii="Times New Roman" w:hAnsi="Times New Roman" w:cs="Times New Roman"/>
          <w:color w:val="365F91" w:themeColor="accent1" w:themeShade="BF"/>
          <w:kern w:val="0"/>
          <w:sz w:val="24"/>
          <w:szCs w:val="24"/>
        </w:rPr>
        <w:t xml:space="preserve">Кластер </w:t>
      </w:r>
      <w:r w:rsidR="00407F7D" w:rsidRPr="00667A2C">
        <w:rPr>
          <w:rFonts w:ascii="Times New Roman" w:hAnsi="Times New Roman" w:cs="Times New Roman"/>
          <w:color w:val="365F91" w:themeColor="accent1" w:themeShade="BF"/>
          <w:kern w:val="0"/>
          <w:sz w:val="24"/>
          <w:szCs w:val="24"/>
        </w:rPr>
        <w:t>Erasmus</w:t>
      </w:r>
      <w:r w:rsidRPr="00667A2C">
        <w:rPr>
          <w:rFonts w:ascii="Times New Roman" w:hAnsi="Times New Roman" w:cs="Times New Roman"/>
          <w:color w:val="365F91" w:themeColor="accent1" w:themeShade="BF"/>
          <w:kern w:val="0"/>
          <w:sz w:val="24"/>
          <w:szCs w:val="24"/>
        </w:rPr>
        <w:t xml:space="preserve"> </w:t>
      </w:r>
      <w:r w:rsidR="00E408FC" w:rsidRPr="00667A2C">
        <w:rPr>
          <w:rFonts w:ascii="Times New Roman" w:hAnsi="Times New Roman" w:cs="Times New Roman"/>
          <w:color w:val="365F91" w:themeColor="accent1" w:themeShade="BF"/>
          <w:kern w:val="0"/>
          <w:sz w:val="24"/>
          <w:szCs w:val="24"/>
        </w:rPr>
        <w:t>Mundus</w:t>
      </w:r>
      <w:r w:rsidRPr="00667A2C">
        <w:rPr>
          <w:rFonts w:ascii="Times New Roman" w:hAnsi="Times New Roman" w:cs="Times New Roman"/>
          <w:color w:val="365F91" w:themeColor="accent1" w:themeShade="BF"/>
          <w:kern w:val="0"/>
          <w:sz w:val="24"/>
          <w:szCs w:val="24"/>
        </w:rPr>
        <w:t xml:space="preserve"> зі ст</w:t>
      </w:r>
      <w:r w:rsidR="0068166D" w:rsidRPr="00667A2C">
        <w:rPr>
          <w:rFonts w:ascii="Times New Roman" w:hAnsi="Times New Roman" w:cs="Times New Roman"/>
          <w:color w:val="365F91" w:themeColor="accent1" w:themeShade="BF"/>
          <w:kern w:val="0"/>
          <w:sz w:val="24"/>
          <w:szCs w:val="24"/>
        </w:rPr>
        <w:t>ійкості програм</w:t>
      </w:r>
      <w:r w:rsidRPr="00667A2C">
        <w:rPr>
          <w:rFonts w:ascii="Times New Roman" w:hAnsi="Times New Roman" w:cs="Times New Roman"/>
          <w:color w:val="365F91" w:themeColor="accent1" w:themeShade="BF"/>
          <w:kern w:val="0"/>
          <w:sz w:val="24"/>
          <w:szCs w:val="24"/>
        </w:rPr>
        <w:t xml:space="preserve"> </w:t>
      </w:r>
      <w:r w:rsidR="004A07D9">
        <w:rPr>
          <w:rFonts w:ascii="Times New Roman" w:hAnsi="Times New Roman" w:cs="Times New Roman"/>
          <w:color w:val="365F91" w:themeColor="accent1" w:themeShade="BF"/>
          <w:kern w:val="0"/>
          <w:sz w:val="24"/>
          <w:szCs w:val="24"/>
        </w:rPr>
        <w:t>і</w:t>
      </w:r>
      <w:r w:rsidRPr="00667A2C">
        <w:rPr>
          <w:rFonts w:ascii="Times New Roman" w:hAnsi="Times New Roman" w:cs="Times New Roman"/>
          <w:color w:val="365F91" w:themeColor="accent1" w:themeShade="BF"/>
          <w:kern w:val="0"/>
          <w:sz w:val="24"/>
          <w:szCs w:val="24"/>
        </w:rPr>
        <w:t xml:space="preserve"> </w:t>
      </w:r>
      <w:r w:rsidR="0068166D" w:rsidRPr="00667A2C">
        <w:rPr>
          <w:rFonts w:ascii="Times New Roman" w:hAnsi="Times New Roman" w:cs="Times New Roman"/>
          <w:color w:val="365F91" w:themeColor="accent1" w:themeShade="BF"/>
          <w:kern w:val="0"/>
          <w:sz w:val="24"/>
          <w:szCs w:val="24"/>
        </w:rPr>
        <w:t>працевлаштування</w:t>
      </w:r>
    </w:p>
    <w:p w14:paraId="24F0E8D9" w14:textId="000A4DFB" w:rsidR="001C1F18" w:rsidRPr="00667A2C" w:rsidRDefault="00101A6C" w:rsidP="00667A2C">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w:t>
      </w:r>
      <w:r w:rsidR="000262CF" w:rsidRPr="00667A2C">
        <w:rPr>
          <w:rFonts w:ascii="Times New Roman" w:hAnsi="Times New Roman" w:cs="Times New Roman"/>
          <w:kern w:val="0"/>
          <w:sz w:val="24"/>
          <w:szCs w:val="24"/>
        </w:rPr>
        <w:t>тратегії для підвищення стійкості спільн</w:t>
      </w:r>
      <w:r w:rsidR="00F010DF" w:rsidRPr="00667A2C">
        <w:rPr>
          <w:rFonts w:ascii="Times New Roman" w:hAnsi="Times New Roman" w:cs="Times New Roman"/>
          <w:kern w:val="0"/>
          <w:sz w:val="24"/>
          <w:szCs w:val="24"/>
        </w:rPr>
        <w:t>их</w:t>
      </w:r>
      <w:r w:rsidR="000262CF" w:rsidRPr="00667A2C">
        <w:rPr>
          <w:rFonts w:ascii="Times New Roman" w:hAnsi="Times New Roman" w:cs="Times New Roman"/>
          <w:kern w:val="0"/>
          <w:sz w:val="24"/>
          <w:szCs w:val="24"/>
        </w:rPr>
        <w:t xml:space="preserve"> програм</w:t>
      </w:r>
      <w:r w:rsidR="001C1F18" w:rsidRPr="00667A2C">
        <w:rPr>
          <w:rFonts w:ascii="Times New Roman" w:hAnsi="Times New Roman" w:cs="Times New Roman"/>
          <w:kern w:val="0"/>
          <w:sz w:val="24"/>
          <w:szCs w:val="24"/>
        </w:rPr>
        <w:t>:</w:t>
      </w:r>
    </w:p>
    <w:p w14:paraId="2A127105" w14:textId="0EA4EC35" w:rsidR="001C1F18" w:rsidRPr="00667A2C" w:rsidRDefault="00072EA7" w:rsidP="00101A6C">
      <w:pPr>
        <w:numPr>
          <w:ilvl w:val="0"/>
          <w:numId w:val="77"/>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с</w:t>
      </w:r>
      <w:r w:rsidR="001C1F18" w:rsidRPr="00667A2C">
        <w:rPr>
          <w:rFonts w:ascii="Times New Roman" w:hAnsi="Times New Roman" w:cs="Times New Roman"/>
          <w:kern w:val="0"/>
          <w:sz w:val="24"/>
          <w:szCs w:val="24"/>
        </w:rPr>
        <w:t xml:space="preserve">тратегічним кроком, який зазвичай приносить переваги як закладам </w:t>
      </w:r>
      <w:r w:rsidR="00F010DF" w:rsidRPr="00667A2C">
        <w:rPr>
          <w:rFonts w:ascii="Times New Roman" w:hAnsi="Times New Roman" w:cs="Times New Roman"/>
          <w:kern w:val="0"/>
          <w:sz w:val="24"/>
          <w:szCs w:val="24"/>
        </w:rPr>
        <w:t xml:space="preserve">вищої освіти </w:t>
      </w:r>
      <w:r w:rsidR="001C1F18" w:rsidRPr="00667A2C">
        <w:rPr>
          <w:rFonts w:ascii="Times New Roman" w:hAnsi="Times New Roman" w:cs="Times New Roman"/>
          <w:kern w:val="0"/>
          <w:sz w:val="24"/>
          <w:szCs w:val="24"/>
        </w:rPr>
        <w:t xml:space="preserve">(з точки зору структурної співпраці), так і студентам (з точки зору можливостей працевлаштування), є розвиток партнерства з </w:t>
      </w:r>
      <w:r w:rsidR="008E4BE2">
        <w:rPr>
          <w:rFonts w:ascii="Times New Roman" w:hAnsi="Times New Roman" w:cs="Times New Roman"/>
          <w:kern w:val="0"/>
          <w:sz w:val="24"/>
          <w:szCs w:val="24"/>
        </w:rPr>
        <w:t>бізнесом</w:t>
      </w:r>
      <w:r w:rsidR="001C1F18" w:rsidRPr="00667A2C">
        <w:rPr>
          <w:rFonts w:ascii="Times New Roman" w:hAnsi="Times New Roman" w:cs="Times New Roman"/>
          <w:kern w:val="0"/>
          <w:sz w:val="24"/>
          <w:szCs w:val="24"/>
        </w:rPr>
        <w:t xml:space="preserve"> та </w:t>
      </w:r>
      <w:r w:rsidR="008E4BE2">
        <w:rPr>
          <w:rFonts w:ascii="Times New Roman" w:hAnsi="Times New Roman" w:cs="Times New Roman"/>
          <w:kern w:val="0"/>
          <w:sz w:val="24"/>
          <w:szCs w:val="24"/>
        </w:rPr>
        <w:t xml:space="preserve">іншими </w:t>
      </w:r>
      <w:r w:rsidR="00F010DF" w:rsidRPr="00667A2C">
        <w:rPr>
          <w:rFonts w:ascii="Times New Roman" w:hAnsi="Times New Roman" w:cs="Times New Roman"/>
          <w:kern w:val="0"/>
          <w:sz w:val="24"/>
          <w:szCs w:val="24"/>
        </w:rPr>
        <w:t>стейк</w:t>
      </w:r>
      <w:r w:rsidR="008E4BE2">
        <w:rPr>
          <w:rFonts w:ascii="Times New Roman" w:hAnsi="Times New Roman" w:cs="Times New Roman"/>
          <w:kern w:val="0"/>
          <w:sz w:val="24"/>
          <w:szCs w:val="24"/>
        </w:rPr>
        <w:t>г</w:t>
      </w:r>
      <w:r w:rsidR="00F010DF" w:rsidRPr="00667A2C">
        <w:rPr>
          <w:rFonts w:ascii="Times New Roman" w:hAnsi="Times New Roman" w:cs="Times New Roman"/>
          <w:kern w:val="0"/>
          <w:sz w:val="24"/>
          <w:szCs w:val="24"/>
        </w:rPr>
        <w:t>олдер</w:t>
      </w:r>
      <w:r w:rsidR="008E4BE2">
        <w:rPr>
          <w:rFonts w:ascii="Times New Roman" w:hAnsi="Times New Roman" w:cs="Times New Roman"/>
          <w:kern w:val="0"/>
          <w:sz w:val="24"/>
          <w:szCs w:val="24"/>
        </w:rPr>
        <w:t>ами</w:t>
      </w:r>
      <w:r w:rsidR="001C1F18" w:rsidRPr="00667A2C">
        <w:rPr>
          <w:rFonts w:ascii="Times New Roman" w:hAnsi="Times New Roman" w:cs="Times New Roman"/>
          <w:kern w:val="0"/>
          <w:sz w:val="24"/>
          <w:szCs w:val="24"/>
        </w:rPr>
        <w:t>;</w:t>
      </w:r>
    </w:p>
    <w:p w14:paraId="2086A71B" w14:textId="52FC3797" w:rsidR="001C1F18" w:rsidRPr="00667A2C" w:rsidRDefault="00072EA7" w:rsidP="00101A6C">
      <w:pPr>
        <w:numPr>
          <w:ilvl w:val="0"/>
          <w:numId w:val="77"/>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с</w:t>
      </w:r>
      <w:r w:rsidR="001C1F18" w:rsidRPr="00667A2C">
        <w:rPr>
          <w:rFonts w:ascii="Times New Roman" w:hAnsi="Times New Roman" w:cs="Times New Roman"/>
          <w:kern w:val="0"/>
          <w:sz w:val="24"/>
          <w:szCs w:val="24"/>
        </w:rPr>
        <w:t xml:space="preserve">півпраця з цільовими країнами та конкретними </w:t>
      </w:r>
      <w:r>
        <w:rPr>
          <w:rFonts w:ascii="Times New Roman" w:hAnsi="Times New Roman" w:cs="Times New Roman"/>
          <w:kern w:val="0"/>
          <w:sz w:val="24"/>
          <w:szCs w:val="24"/>
        </w:rPr>
        <w:t>організаціями</w:t>
      </w:r>
      <w:r w:rsidR="001C1F18" w:rsidRPr="00667A2C">
        <w:rPr>
          <w:rFonts w:ascii="Times New Roman" w:hAnsi="Times New Roman" w:cs="Times New Roman"/>
          <w:kern w:val="0"/>
          <w:sz w:val="24"/>
          <w:szCs w:val="24"/>
        </w:rPr>
        <w:t xml:space="preserve"> (включаючи дослідницькі лабораторії) може допомогти збільшити кількість студентів і розширити можливості для студентів і співробітників, наприклад, участ</w:t>
      </w:r>
      <w:r w:rsidR="007A1819">
        <w:rPr>
          <w:rFonts w:ascii="Times New Roman" w:hAnsi="Times New Roman" w:cs="Times New Roman"/>
          <w:kern w:val="0"/>
          <w:sz w:val="24"/>
          <w:szCs w:val="24"/>
        </w:rPr>
        <w:t>ь</w:t>
      </w:r>
      <w:r w:rsidR="001C1F18" w:rsidRPr="00667A2C">
        <w:rPr>
          <w:rFonts w:ascii="Times New Roman" w:hAnsi="Times New Roman" w:cs="Times New Roman"/>
          <w:kern w:val="0"/>
          <w:sz w:val="24"/>
          <w:szCs w:val="24"/>
        </w:rPr>
        <w:t xml:space="preserve"> у спільних дослідницьких про</w:t>
      </w:r>
      <w:r w:rsidR="007A1819">
        <w:rPr>
          <w:rFonts w:ascii="Times New Roman" w:hAnsi="Times New Roman" w:cs="Times New Roman"/>
          <w:kern w:val="0"/>
          <w:sz w:val="24"/>
          <w:szCs w:val="24"/>
        </w:rPr>
        <w:t>є</w:t>
      </w:r>
      <w:r w:rsidR="001C1F18" w:rsidRPr="00667A2C">
        <w:rPr>
          <w:rFonts w:ascii="Times New Roman" w:hAnsi="Times New Roman" w:cs="Times New Roman"/>
          <w:kern w:val="0"/>
          <w:sz w:val="24"/>
          <w:szCs w:val="24"/>
        </w:rPr>
        <w:t>ктах;</w:t>
      </w:r>
    </w:p>
    <w:p w14:paraId="68C58BED" w14:textId="14F28DAA" w:rsidR="001C1F18" w:rsidRPr="00667A2C" w:rsidRDefault="00072EA7" w:rsidP="00101A6C">
      <w:pPr>
        <w:numPr>
          <w:ilvl w:val="0"/>
          <w:numId w:val="77"/>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р</w:t>
      </w:r>
      <w:r w:rsidR="001C1F18" w:rsidRPr="00667A2C">
        <w:rPr>
          <w:rFonts w:ascii="Times New Roman" w:hAnsi="Times New Roman" w:cs="Times New Roman"/>
          <w:kern w:val="0"/>
          <w:sz w:val="24"/>
          <w:szCs w:val="24"/>
        </w:rPr>
        <w:t xml:space="preserve">озширення консорціуму зміцнює позиції </w:t>
      </w:r>
      <w:r w:rsidR="006418A6">
        <w:rPr>
          <w:rFonts w:ascii="Times New Roman" w:hAnsi="Times New Roman" w:cs="Times New Roman"/>
          <w:kern w:val="0"/>
          <w:sz w:val="24"/>
          <w:szCs w:val="24"/>
        </w:rPr>
        <w:t xml:space="preserve">спільної </w:t>
      </w:r>
      <w:r w:rsidR="001C1F18" w:rsidRPr="00667A2C">
        <w:rPr>
          <w:rFonts w:ascii="Times New Roman" w:hAnsi="Times New Roman" w:cs="Times New Roman"/>
          <w:kern w:val="0"/>
          <w:sz w:val="24"/>
          <w:szCs w:val="24"/>
        </w:rPr>
        <w:t xml:space="preserve">програми з </w:t>
      </w:r>
      <w:r w:rsidR="00F010DF" w:rsidRPr="00667A2C">
        <w:rPr>
          <w:rFonts w:ascii="Times New Roman" w:hAnsi="Times New Roman" w:cs="Times New Roman"/>
          <w:kern w:val="0"/>
          <w:sz w:val="24"/>
          <w:szCs w:val="24"/>
        </w:rPr>
        <w:t>огляду на</w:t>
      </w:r>
      <w:r w:rsidR="001C1F18" w:rsidRPr="00667A2C">
        <w:rPr>
          <w:rFonts w:ascii="Times New Roman" w:hAnsi="Times New Roman" w:cs="Times New Roman"/>
          <w:kern w:val="0"/>
          <w:sz w:val="24"/>
          <w:szCs w:val="24"/>
        </w:rPr>
        <w:t xml:space="preserve"> наявн</w:t>
      </w:r>
      <w:r w:rsidR="00F010DF" w:rsidRPr="00667A2C">
        <w:rPr>
          <w:rFonts w:ascii="Times New Roman" w:hAnsi="Times New Roman" w:cs="Times New Roman"/>
          <w:kern w:val="0"/>
          <w:sz w:val="24"/>
          <w:szCs w:val="24"/>
        </w:rPr>
        <w:t>і</w:t>
      </w:r>
      <w:r w:rsidR="001C1F18" w:rsidRPr="00667A2C">
        <w:rPr>
          <w:rFonts w:ascii="Times New Roman" w:hAnsi="Times New Roman" w:cs="Times New Roman"/>
          <w:kern w:val="0"/>
          <w:sz w:val="24"/>
          <w:szCs w:val="24"/>
        </w:rPr>
        <w:t xml:space="preserve"> ресурс</w:t>
      </w:r>
      <w:r w:rsidR="00F010DF" w:rsidRPr="00667A2C">
        <w:rPr>
          <w:rFonts w:ascii="Times New Roman" w:hAnsi="Times New Roman" w:cs="Times New Roman"/>
          <w:kern w:val="0"/>
          <w:sz w:val="24"/>
          <w:szCs w:val="24"/>
        </w:rPr>
        <w:t>и</w:t>
      </w:r>
      <w:r w:rsidR="001C1F18" w:rsidRPr="00667A2C">
        <w:rPr>
          <w:rFonts w:ascii="Times New Roman" w:hAnsi="Times New Roman" w:cs="Times New Roman"/>
          <w:kern w:val="0"/>
          <w:sz w:val="24"/>
          <w:szCs w:val="24"/>
        </w:rPr>
        <w:t xml:space="preserve"> </w:t>
      </w:r>
      <w:r w:rsidR="006418A6">
        <w:rPr>
          <w:rFonts w:ascii="Times New Roman" w:hAnsi="Times New Roman" w:cs="Times New Roman"/>
          <w:kern w:val="0"/>
          <w:sz w:val="24"/>
          <w:szCs w:val="24"/>
        </w:rPr>
        <w:t>партнерів і</w:t>
      </w:r>
      <w:r w:rsidR="001C1F18" w:rsidRPr="00667A2C">
        <w:rPr>
          <w:rFonts w:ascii="Times New Roman" w:hAnsi="Times New Roman" w:cs="Times New Roman"/>
          <w:kern w:val="0"/>
          <w:sz w:val="24"/>
          <w:szCs w:val="24"/>
        </w:rPr>
        <w:t xml:space="preserve"> видим</w:t>
      </w:r>
      <w:r w:rsidR="00F010DF" w:rsidRPr="00667A2C">
        <w:rPr>
          <w:rFonts w:ascii="Times New Roman" w:hAnsi="Times New Roman" w:cs="Times New Roman"/>
          <w:kern w:val="0"/>
          <w:sz w:val="24"/>
          <w:szCs w:val="24"/>
        </w:rPr>
        <w:t>ість</w:t>
      </w:r>
      <w:r w:rsidR="006418A6">
        <w:rPr>
          <w:rFonts w:ascii="Times New Roman" w:hAnsi="Times New Roman" w:cs="Times New Roman"/>
          <w:kern w:val="0"/>
          <w:sz w:val="24"/>
          <w:szCs w:val="24"/>
        </w:rPr>
        <w:t xml:space="preserve"> в ЄПВО</w:t>
      </w:r>
      <w:r w:rsidR="001C1F18" w:rsidRPr="00667A2C">
        <w:rPr>
          <w:rFonts w:ascii="Times New Roman" w:hAnsi="Times New Roman" w:cs="Times New Roman"/>
          <w:kern w:val="0"/>
          <w:sz w:val="24"/>
          <w:szCs w:val="24"/>
        </w:rPr>
        <w:t>;</w:t>
      </w:r>
    </w:p>
    <w:p w14:paraId="6C150237" w14:textId="7ED3DEDE" w:rsidR="001C1F18" w:rsidRPr="00667A2C" w:rsidRDefault="009B656E" w:rsidP="00101A6C">
      <w:pPr>
        <w:numPr>
          <w:ilvl w:val="0"/>
          <w:numId w:val="78"/>
        </w:numPr>
        <w:autoSpaceDE w:val="0"/>
        <w:autoSpaceDN w:val="0"/>
        <w:adjustRightInd w:val="0"/>
        <w:spacing w:after="0" w:line="240" w:lineRule="auto"/>
        <w:ind w:left="714" w:hanging="357"/>
        <w:jc w:val="both"/>
        <w:rPr>
          <w:rFonts w:ascii="Times New Roman" w:hAnsi="Times New Roman" w:cs="Times New Roman"/>
          <w:kern w:val="0"/>
          <w:sz w:val="24"/>
          <w:szCs w:val="24"/>
        </w:rPr>
      </w:pPr>
      <w:r>
        <w:rPr>
          <w:rFonts w:ascii="Times New Roman" w:hAnsi="Times New Roman" w:cs="Times New Roman"/>
          <w:kern w:val="0"/>
          <w:sz w:val="24"/>
          <w:szCs w:val="24"/>
        </w:rPr>
        <w:t>регулярне дослідження та в</w:t>
      </w:r>
      <w:r w:rsidR="001C1F18" w:rsidRPr="00667A2C">
        <w:rPr>
          <w:rFonts w:ascii="Times New Roman" w:hAnsi="Times New Roman" w:cs="Times New Roman"/>
          <w:kern w:val="0"/>
          <w:sz w:val="24"/>
          <w:szCs w:val="24"/>
        </w:rPr>
        <w:t xml:space="preserve">изначення позиції </w:t>
      </w:r>
      <w:r>
        <w:rPr>
          <w:rFonts w:ascii="Times New Roman" w:hAnsi="Times New Roman" w:cs="Times New Roman"/>
          <w:kern w:val="0"/>
          <w:sz w:val="24"/>
          <w:szCs w:val="24"/>
        </w:rPr>
        <w:t xml:space="preserve">спільної </w:t>
      </w:r>
      <w:r w:rsidR="001C1F18" w:rsidRPr="00667A2C">
        <w:rPr>
          <w:rFonts w:ascii="Times New Roman" w:hAnsi="Times New Roman" w:cs="Times New Roman"/>
          <w:kern w:val="0"/>
          <w:sz w:val="24"/>
          <w:szCs w:val="24"/>
        </w:rPr>
        <w:t xml:space="preserve">програми на ринку </w:t>
      </w:r>
      <w:r>
        <w:rPr>
          <w:rFonts w:ascii="Times New Roman" w:hAnsi="Times New Roman" w:cs="Times New Roman"/>
          <w:kern w:val="0"/>
          <w:sz w:val="24"/>
          <w:szCs w:val="24"/>
        </w:rPr>
        <w:t>освітніх послуг і</w:t>
      </w:r>
      <w:r w:rsidR="001C1F18" w:rsidRPr="00667A2C">
        <w:rPr>
          <w:rFonts w:ascii="Times New Roman" w:hAnsi="Times New Roman" w:cs="Times New Roman"/>
          <w:kern w:val="0"/>
          <w:sz w:val="24"/>
          <w:szCs w:val="24"/>
        </w:rPr>
        <w:t xml:space="preserve"> розроб</w:t>
      </w:r>
      <w:r>
        <w:rPr>
          <w:rFonts w:ascii="Times New Roman" w:hAnsi="Times New Roman" w:cs="Times New Roman"/>
          <w:kern w:val="0"/>
          <w:sz w:val="24"/>
          <w:szCs w:val="24"/>
        </w:rPr>
        <w:t>лення</w:t>
      </w:r>
      <w:r w:rsidR="001C1F18" w:rsidRPr="00667A2C">
        <w:rPr>
          <w:rFonts w:ascii="Times New Roman" w:hAnsi="Times New Roman" w:cs="Times New Roman"/>
          <w:kern w:val="0"/>
          <w:sz w:val="24"/>
          <w:szCs w:val="24"/>
        </w:rPr>
        <w:t xml:space="preserve"> маркетингового плану необхідн</w:t>
      </w:r>
      <w:r w:rsidR="00AF0A7F" w:rsidRPr="00667A2C">
        <w:rPr>
          <w:rFonts w:ascii="Times New Roman" w:hAnsi="Times New Roman" w:cs="Times New Roman"/>
          <w:kern w:val="0"/>
          <w:sz w:val="24"/>
          <w:szCs w:val="24"/>
        </w:rPr>
        <w:t>і</w:t>
      </w:r>
      <w:r w:rsidR="001C1F18" w:rsidRPr="00667A2C">
        <w:rPr>
          <w:rFonts w:ascii="Times New Roman" w:hAnsi="Times New Roman" w:cs="Times New Roman"/>
          <w:kern w:val="0"/>
          <w:sz w:val="24"/>
          <w:szCs w:val="24"/>
        </w:rPr>
        <w:t xml:space="preserve"> для визначення реального потенціалу програми та прийняття стратегічних рішень</w:t>
      </w:r>
      <w:r>
        <w:rPr>
          <w:rFonts w:ascii="Times New Roman" w:hAnsi="Times New Roman" w:cs="Times New Roman"/>
          <w:kern w:val="0"/>
          <w:sz w:val="24"/>
          <w:szCs w:val="24"/>
        </w:rPr>
        <w:t>.</w:t>
      </w:r>
    </w:p>
    <w:p w14:paraId="095A335D" w14:textId="6100A65D" w:rsidR="001C1F18" w:rsidRPr="00A0045D" w:rsidRDefault="00A92FAF" w:rsidP="00A0045D">
      <w:pPr>
        <w:pStyle w:val="1"/>
        <w:spacing w:before="100" w:beforeAutospacing="1" w:after="100" w:afterAutospacing="1" w:line="240" w:lineRule="auto"/>
        <w:rPr>
          <w:rFonts w:ascii="Times New Roman" w:hAnsi="Times New Roman" w:cs="Times New Roman"/>
          <w:b/>
          <w:bCs/>
          <w:sz w:val="24"/>
          <w:szCs w:val="24"/>
        </w:rPr>
      </w:pPr>
      <w:bookmarkStart w:id="39" w:name="_Toc188337456"/>
      <w:r w:rsidRPr="00A92FAF">
        <w:rPr>
          <w:rFonts w:ascii="Times New Roman" w:hAnsi="Times New Roman" w:cs="Times New Roman"/>
          <w:b/>
          <w:bCs/>
          <w:sz w:val="24"/>
          <w:szCs w:val="24"/>
        </w:rPr>
        <w:lastRenderedPageBreak/>
        <w:t xml:space="preserve">13. </w:t>
      </w:r>
      <w:r w:rsidRPr="00A0045D">
        <w:rPr>
          <w:rFonts w:ascii="Times New Roman" w:hAnsi="Times New Roman" w:cs="Times New Roman"/>
          <w:b/>
          <w:bCs/>
          <w:sz w:val="24"/>
          <w:szCs w:val="24"/>
        </w:rPr>
        <w:t>ВИЗНАННЯ</w:t>
      </w:r>
      <w:bookmarkEnd w:id="39"/>
    </w:p>
    <w:p w14:paraId="0A5A1BA5" w14:textId="6926C16E" w:rsidR="001C1F18" w:rsidRPr="00A0045D" w:rsidRDefault="001C1F18" w:rsidP="000B1E52">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A0045D">
        <w:rPr>
          <w:rFonts w:ascii="Times New Roman" w:hAnsi="Times New Roman" w:cs="Times New Roman"/>
          <w:kern w:val="0"/>
          <w:sz w:val="24"/>
          <w:szCs w:val="24"/>
        </w:rPr>
        <w:t>Лісабонська конвенція про визнання (</w:t>
      </w:r>
      <w:r w:rsidR="00AF4FC9" w:rsidRPr="00A0045D">
        <w:rPr>
          <w:rFonts w:ascii="Times New Roman" w:hAnsi="Times New Roman" w:cs="Times New Roman"/>
          <w:kern w:val="0"/>
          <w:sz w:val="24"/>
          <w:szCs w:val="24"/>
        </w:rPr>
        <w:t>Lisbon Recognition Convention, LRC</w:t>
      </w:r>
      <w:r w:rsidRPr="00A0045D">
        <w:rPr>
          <w:rFonts w:ascii="Times New Roman" w:hAnsi="Times New Roman" w:cs="Times New Roman"/>
          <w:kern w:val="0"/>
          <w:sz w:val="24"/>
          <w:szCs w:val="24"/>
        </w:rPr>
        <w:t>) з</w:t>
      </w:r>
      <w:r w:rsidR="00AF4FC9" w:rsidRPr="00A0045D">
        <w:rPr>
          <w:rFonts w:ascii="Times New Roman" w:hAnsi="Times New Roman" w:cs="Times New Roman"/>
          <w:kern w:val="0"/>
          <w:sz w:val="24"/>
          <w:szCs w:val="24"/>
        </w:rPr>
        <w:t>’</w:t>
      </w:r>
      <w:r w:rsidRPr="00A0045D">
        <w:rPr>
          <w:rFonts w:ascii="Times New Roman" w:hAnsi="Times New Roman" w:cs="Times New Roman"/>
          <w:kern w:val="0"/>
          <w:sz w:val="24"/>
          <w:szCs w:val="24"/>
        </w:rPr>
        <w:t>явилася в 1997 р</w:t>
      </w:r>
      <w:r w:rsidR="003F1C5F" w:rsidRPr="00A0045D">
        <w:rPr>
          <w:rFonts w:ascii="Times New Roman" w:hAnsi="Times New Roman" w:cs="Times New Roman"/>
          <w:kern w:val="0"/>
          <w:sz w:val="24"/>
          <w:szCs w:val="24"/>
        </w:rPr>
        <w:t>.</w:t>
      </w:r>
      <w:r w:rsidRPr="00A0045D">
        <w:rPr>
          <w:rFonts w:ascii="Times New Roman" w:hAnsi="Times New Roman" w:cs="Times New Roman"/>
          <w:kern w:val="0"/>
          <w:sz w:val="24"/>
          <w:szCs w:val="24"/>
        </w:rPr>
        <w:t xml:space="preserve"> і є конвенцією Ради Європи та ЮНЕСКО. Її </w:t>
      </w:r>
      <w:hyperlink r:id="rId58" w:history="1">
        <w:r w:rsidRPr="00A0045D">
          <w:rPr>
            <w:rStyle w:val="a8"/>
            <w:rFonts w:ascii="Times New Roman" w:hAnsi="Times New Roman" w:cs="Times New Roman"/>
            <w:sz w:val="24"/>
            <w:szCs w:val="24"/>
          </w:rPr>
          <w:t>ратифіку</w:t>
        </w:r>
        <w:r w:rsidRPr="00A0045D">
          <w:rPr>
            <w:rStyle w:val="a8"/>
            <w:rFonts w:ascii="Times New Roman" w:hAnsi="Times New Roman" w:cs="Times New Roman"/>
            <w:sz w:val="24"/>
            <w:szCs w:val="24"/>
          </w:rPr>
          <w:t>в</w:t>
        </w:r>
        <w:r w:rsidRPr="00A0045D">
          <w:rPr>
            <w:rStyle w:val="a8"/>
            <w:rFonts w:ascii="Times New Roman" w:hAnsi="Times New Roman" w:cs="Times New Roman"/>
            <w:sz w:val="24"/>
            <w:szCs w:val="24"/>
          </w:rPr>
          <w:t xml:space="preserve">али </w:t>
        </w:r>
      </w:hyperlink>
      <w:hyperlink r:id="rId59" w:history="1">
        <w:r w:rsidR="002A6F8D">
          <w:rPr>
            <w:rStyle w:val="a8"/>
            <w:rFonts w:ascii="Times New Roman" w:hAnsi="Times New Roman" w:cs="Times New Roman"/>
            <w:sz w:val="24"/>
            <w:szCs w:val="24"/>
          </w:rPr>
          <w:t>46</w:t>
        </w:r>
        <w:r w:rsidRPr="00A0045D">
          <w:rPr>
            <w:rStyle w:val="a8"/>
            <w:rFonts w:ascii="Times New Roman" w:hAnsi="Times New Roman" w:cs="Times New Roman"/>
            <w:sz w:val="24"/>
            <w:szCs w:val="24"/>
          </w:rPr>
          <w:t xml:space="preserve"> країн</w:t>
        </w:r>
        <w:r w:rsidRPr="00A0045D">
          <w:rPr>
            <w:rStyle w:val="a8"/>
            <w:rFonts w:ascii="Times New Roman" w:hAnsi="Times New Roman" w:cs="Times New Roman"/>
            <w:sz w:val="24"/>
            <w:szCs w:val="24"/>
          </w:rPr>
          <w:t>-</w:t>
        </w:r>
        <w:r w:rsidRPr="00A0045D">
          <w:rPr>
            <w:rStyle w:val="a8"/>
            <w:rFonts w:ascii="Times New Roman" w:hAnsi="Times New Roman" w:cs="Times New Roman"/>
            <w:sz w:val="24"/>
            <w:szCs w:val="24"/>
          </w:rPr>
          <w:t>членів</w:t>
        </w:r>
      </w:hyperlink>
      <w:r w:rsidR="00AF4FC9" w:rsidRPr="00A0045D">
        <w:rPr>
          <w:rFonts w:ascii="Times New Roman" w:hAnsi="Times New Roman" w:cs="Times New Roman"/>
          <w:color w:val="000000"/>
          <w:kern w:val="0"/>
          <w:sz w:val="24"/>
          <w:szCs w:val="24"/>
        </w:rPr>
        <w:t xml:space="preserve"> </w:t>
      </w:r>
      <w:r w:rsidRPr="00A0045D">
        <w:rPr>
          <w:rFonts w:ascii="Times New Roman" w:hAnsi="Times New Roman" w:cs="Times New Roman"/>
          <w:color w:val="000000"/>
          <w:kern w:val="0"/>
          <w:sz w:val="24"/>
          <w:szCs w:val="24"/>
        </w:rPr>
        <w:t xml:space="preserve">Ради Європи, </w:t>
      </w:r>
      <w:r w:rsidR="002A6F8D">
        <w:rPr>
          <w:rFonts w:ascii="Times New Roman" w:hAnsi="Times New Roman" w:cs="Times New Roman"/>
          <w:color w:val="000000"/>
          <w:kern w:val="0"/>
          <w:sz w:val="24"/>
          <w:szCs w:val="24"/>
        </w:rPr>
        <w:t xml:space="preserve">11 країн – не членів Ради Європи, </w:t>
      </w:r>
      <w:r w:rsidRPr="00A0045D">
        <w:rPr>
          <w:rFonts w:ascii="Times New Roman" w:hAnsi="Times New Roman" w:cs="Times New Roman"/>
          <w:color w:val="000000"/>
          <w:kern w:val="0"/>
          <w:sz w:val="24"/>
          <w:szCs w:val="24"/>
        </w:rPr>
        <w:t>США</w:t>
      </w:r>
      <w:r w:rsidR="002A6F8D">
        <w:rPr>
          <w:rFonts w:ascii="Times New Roman" w:hAnsi="Times New Roman" w:cs="Times New Roman"/>
          <w:color w:val="000000"/>
          <w:kern w:val="0"/>
          <w:sz w:val="24"/>
          <w:szCs w:val="24"/>
        </w:rPr>
        <w:t xml:space="preserve"> – підписант</w:t>
      </w:r>
      <w:r w:rsidRPr="00A0045D">
        <w:rPr>
          <w:rFonts w:ascii="Times New Roman" w:hAnsi="Times New Roman" w:cs="Times New Roman"/>
          <w:color w:val="000000"/>
          <w:kern w:val="0"/>
          <w:sz w:val="24"/>
          <w:szCs w:val="24"/>
        </w:rPr>
        <w:t xml:space="preserve">. </w:t>
      </w:r>
      <w:r w:rsidR="002A6F8D" w:rsidRPr="00A0045D">
        <w:rPr>
          <w:rFonts w:ascii="Times New Roman" w:hAnsi="Times New Roman" w:cs="Times New Roman"/>
          <w:kern w:val="0"/>
          <w:sz w:val="24"/>
          <w:szCs w:val="24"/>
        </w:rPr>
        <w:t xml:space="preserve">Лісабонська конвенція </w:t>
      </w:r>
      <w:r w:rsidRPr="00A0045D">
        <w:rPr>
          <w:rFonts w:ascii="Times New Roman" w:hAnsi="Times New Roman" w:cs="Times New Roman"/>
          <w:color w:val="000000"/>
          <w:kern w:val="0"/>
          <w:sz w:val="24"/>
          <w:szCs w:val="24"/>
        </w:rPr>
        <w:t>є обов</w:t>
      </w:r>
      <w:r w:rsidR="00AF4FC9" w:rsidRPr="00A0045D">
        <w:rPr>
          <w:rFonts w:ascii="Times New Roman" w:hAnsi="Times New Roman" w:cs="Times New Roman"/>
          <w:color w:val="000000"/>
          <w:kern w:val="0"/>
          <w:sz w:val="24"/>
          <w:szCs w:val="24"/>
        </w:rPr>
        <w:t>’</w:t>
      </w:r>
      <w:r w:rsidRPr="00A0045D">
        <w:rPr>
          <w:rFonts w:ascii="Times New Roman" w:hAnsi="Times New Roman" w:cs="Times New Roman"/>
          <w:color w:val="000000"/>
          <w:kern w:val="0"/>
          <w:sz w:val="24"/>
          <w:szCs w:val="24"/>
        </w:rPr>
        <w:t xml:space="preserve">язковим до виконання міжнародним договором і слугує основою визнання в </w:t>
      </w:r>
      <w:r w:rsidR="002A6F8D">
        <w:rPr>
          <w:rFonts w:ascii="Times New Roman" w:hAnsi="Times New Roman" w:cs="Times New Roman"/>
          <w:color w:val="000000"/>
          <w:kern w:val="0"/>
          <w:sz w:val="24"/>
          <w:szCs w:val="24"/>
        </w:rPr>
        <w:t>ЄПВО.</w:t>
      </w:r>
      <w:r w:rsidR="000B1E52">
        <w:rPr>
          <w:rFonts w:ascii="Times New Roman" w:hAnsi="Times New Roman" w:cs="Times New Roman"/>
          <w:color w:val="000000"/>
          <w:kern w:val="0"/>
          <w:sz w:val="24"/>
          <w:szCs w:val="24"/>
        </w:rPr>
        <w:t xml:space="preserve"> Також </w:t>
      </w:r>
      <w:r w:rsidRPr="00A0045D">
        <w:rPr>
          <w:rFonts w:ascii="Times New Roman" w:hAnsi="Times New Roman" w:cs="Times New Roman"/>
          <w:kern w:val="0"/>
          <w:sz w:val="24"/>
          <w:szCs w:val="24"/>
        </w:rPr>
        <w:t xml:space="preserve">було прийнято кілька допоміжних </w:t>
      </w:r>
      <w:r w:rsidR="00212AAB" w:rsidRPr="00A0045D">
        <w:rPr>
          <w:rFonts w:ascii="Times New Roman" w:hAnsi="Times New Roman" w:cs="Times New Roman"/>
          <w:kern w:val="0"/>
          <w:sz w:val="24"/>
          <w:szCs w:val="24"/>
        </w:rPr>
        <w:t>документів</w:t>
      </w:r>
      <w:r w:rsidR="000B1E52">
        <w:rPr>
          <w:rFonts w:ascii="Times New Roman" w:hAnsi="Times New Roman" w:cs="Times New Roman"/>
          <w:kern w:val="0"/>
          <w:sz w:val="24"/>
          <w:szCs w:val="24"/>
        </w:rPr>
        <w:t xml:space="preserve">, зокрема </w:t>
      </w:r>
      <w:hyperlink r:id="rId60" w:history="1">
        <w:r w:rsidRPr="00A0045D">
          <w:rPr>
            <w:rStyle w:val="a8"/>
            <w:rFonts w:ascii="Times New Roman" w:hAnsi="Times New Roman" w:cs="Times New Roman"/>
            <w:sz w:val="24"/>
            <w:szCs w:val="24"/>
          </w:rPr>
          <w:t>Рекомендації щодо критеріїв та проц</w:t>
        </w:r>
        <w:r w:rsidRPr="00A0045D">
          <w:rPr>
            <w:rStyle w:val="a8"/>
            <w:rFonts w:ascii="Times New Roman" w:hAnsi="Times New Roman" w:cs="Times New Roman"/>
            <w:sz w:val="24"/>
            <w:szCs w:val="24"/>
          </w:rPr>
          <w:t>е</w:t>
        </w:r>
        <w:r w:rsidRPr="00A0045D">
          <w:rPr>
            <w:rStyle w:val="a8"/>
            <w:rFonts w:ascii="Times New Roman" w:hAnsi="Times New Roman" w:cs="Times New Roman"/>
            <w:sz w:val="24"/>
            <w:szCs w:val="24"/>
          </w:rPr>
          <w:t xml:space="preserve">дур </w:t>
        </w:r>
      </w:hyperlink>
      <w:hyperlink r:id="rId61" w:history="1">
        <w:r w:rsidRPr="00A0045D">
          <w:rPr>
            <w:rStyle w:val="a8"/>
            <w:rFonts w:ascii="Times New Roman" w:hAnsi="Times New Roman" w:cs="Times New Roman"/>
            <w:sz w:val="24"/>
            <w:szCs w:val="24"/>
          </w:rPr>
          <w:t>(2001);</w:t>
        </w:r>
      </w:hyperlink>
      <w:r w:rsidR="000B1E52">
        <w:rPr>
          <w:rFonts w:ascii="Times New Roman" w:hAnsi="Times New Roman" w:cs="Times New Roman"/>
          <w:sz w:val="24"/>
          <w:szCs w:val="24"/>
        </w:rPr>
        <w:t xml:space="preserve"> </w:t>
      </w:r>
      <w:hyperlink r:id="rId62" w:history="1">
        <w:r w:rsidR="00AF4FC9" w:rsidRPr="00A0045D">
          <w:rPr>
            <w:rStyle w:val="a8"/>
            <w:rFonts w:ascii="Times New Roman" w:hAnsi="Times New Roman" w:cs="Times New Roman"/>
            <w:sz w:val="24"/>
            <w:szCs w:val="24"/>
          </w:rPr>
          <w:t>Оновлена</w:t>
        </w:r>
        <w:r w:rsidRPr="00A0045D">
          <w:rPr>
            <w:rStyle w:val="a8"/>
            <w:rFonts w:ascii="Times New Roman" w:hAnsi="Times New Roman" w:cs="Times New Roman"/>
            <w:sz w:val="24"/>
            <w:szCs w:val="24"/>
          </w:rPr>
          <w:t xml:space="preserve"> Рекомендація про визнан</w:t>
        </w:r>
        <w:r w:rsidRPr="00A0045D">
          <w:rPr>
            <w:rStyle w:val="a8"/>
            <w:rFonts w:ascii="Times New Roman" w:hAnsi="Times New Roman" w:cs="Times New Roman"/>
            <w:sz w:val="24"/>
            <w:szCs w:val="24"/>
          </w:rPr>
          <w:t>н</w:t>
        </w:r>
        <w:r w:rsidRPr="00A0045D">
          <w:rPr>
            <w:rStyle w:val="a8"/>
            <w:rFonts w:ascii="Times New Roman" w:hAnsi="Times New Roman" w:cs="Times New Roman"/>
            <w:sz w:val="24"/>
            <w:szCs w:val="24"/>
          </w:rPr>
          <w:t xml:space="preserve">я спільних дипломів </w:t>
        </w:r>
      </w:hyperlink>
      <w:hyperlink r:id="rId63" w:history="1">
        <w:r w:rsidRPr="00A0045D">
          <w:rPr>
            <w:rStyle w:val="a8"/>
            <w:rFonts w:ascii="Times New Roman" w:hAnsi="Times New Roman" w:cs="Times New Roman"/>
            <w:sz w:val="24"/>
            <w:szCs w:val="24"/>
          </w:rPr>
          <w:t>(2016).</w:t>
        </w:r>
      </w:hyperlink>
    </w:p>
    <w:p w14:paraId="540A0A17" w14:textId="46ABA1F5" w:rsidR="001C1F18" w:rsidRPr="00A0045D" w:rsidRDefault="001C1F18" w:rsidP="00A0045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A0045D">
        <w:rPr>
          <w:rFonts w:ascii="Times New Roman" w:hAnsi="Times New Roman" w:cs="Times New Roman"/>
          <w:kern w:val="0"/>
          <w:sz w:val="24"/>
          <w:szCs w:val="24"/>
        </w:rPr>
        <w:t xml:space="preserve">Один із фундаментальних принципів </w:t>
      </w:r>
      <w:r w:rsidR="00CC7341" w:rsidRPr="00A0045D">
        <w:rPr>
          <w:rFonts w:ascii="Times New Roman" w:hAnsi="Times New Roman" w:cs="Times New Roman"/>
          <w:kern w:val="0"/>
          <w:sz w:val="24"/>
          <w:szCs w:val="24"/>
        </w:rPr>
        <w:t>Лісабонськ</w:t>
      </w:r>
      <w:r w:rsidR="00CC7341">
        <w:rPr>
          <w:rFonts w:ascii="Times New Roman" w:hAnsi="Times New Roman" w:cs="Times New Roman"/>
          <w:kern w:val="0"/>
          <w:sz w:val="24"/>
          <w:szCs w:val="24"/>
        </w:rPr>
        <w:t>ої</w:t>
      </w:r>
      <w:r w:rsidR="00CC7341" w:rsidRPr="00A0045D">
        <w:rPr>
          <w:rFonts w:ascii="Times New Roman" w:hAnsi="Times New Roman" w:cs="Times New Roman"/>
          <w:kern w:val="0"/>
          <w:sz w:val="24"/>
          <w:szCs w:val="24"/>
        </w:rPr>
        <w:t xml:space="preserve"> конвенці</w:t>
      </w:r>
      <w:r w:rsidR="00CC7341">
        <w:rPr>
          <w:rFonts w:ascii="Times New Roman" w:hAnsi="Times New Roman" w:cs="Times New Roman"/>
          <w:kern w:val="0"/>
          <w:sz w:val="24"/>
          <w:szCs w:val="24"/>
        </w:rPr>
        <w:t>ї</w:t>
      </w:r>
      <w:r w:rsidR="00CC7341" w:rsidRPr="00A0045D">
        <w:rPr>
          <w:rFonts w:ascii="Times New Roman" w:hAnsi="Times New Roman" w:cs="Times New Roman"/>
          <w:kern w:val="0"/>
          <w:sz w:val="24"/>
          <w:szCs w:val="24"/>
        </w:rPr>
        <w:t xml:space="preserve"> </w:t>
      </w:r>
      <w:r w:rsidRPr="00A0045D">
        <w:rPr>
          <w:rFonts w:ascii="Times New Roman" w:hAnsi="Times New Roman" w:cs="Times New Roman"/>
          <w:kern w:val="0"/>
          <w:sz w:val="24"/>
          <w:szCs w:val="24"/>
        </w:rPr>
        <w:t xml:space="preserve">полягає в тому, що </w:t>
      </w:r>
      <w:r w:rsidR="00AF4FC9" w:rsidRPr="00A0045D">
        <w:rPr>
          <w:rFonts w:ascii="Times New Roman" w:hAnsi="Times New Roman" w:cs="Times New Roman"/>
          <w:kern w:val="0"/>
          <w:sz w:val="24"/>
          <w:szCs w:val="24"/>
        </w:rPr>
        <w:t>«</w:t>
      </w:r>
      <w:r w:rsidRPr="00A0045D">
        <w:rPr>
          <w:rFonts w:ascii="Times New Roman" w:hAnsi="Times New Roman" w:cs="Times New Roman"/>
          <w:kern w:val="0"/>
          <w:sz w:val="24"/>
          <w:szCs w:val="24"/>
        </w:rPr>
        <w:t xml:space="preserve">іноземні </w:t>
      </w:r>
      <w:r w:rsidR="00AF4FC9" w:rsidRPr="00A0045D">
        <w:rPr>
          <w:rFonts w:ascii="Times New Roman" w:hAnsi="Times New Roman" w:cs="Times New Roman"/>
          <w:kern w:val="0"/>
          <w:sz w:val="24"/>
          <w:szCs w:val="24"/>
        </w:rPr>
        <w:t xml:space="preserve">кваліфікації мають визнаватися, якщо між іноземною кваліфікацією, визнання якої запитується, та відповідною кваліфікацією в країні перебування немає суттєвих відмінностей». </w:t>
      </w:r>
      <w:r w:rsidR="00CC7341">
        <w:rPr>
          <w:rFonts w:ascii="Times New Roman" w:hAnsi="Times New Roman" w:cs="Times New Roman"/>
          <w:kern w:val="0"/>
          <w:sz w:val="24"/>
          <w:szCs w:val="24"/>
        </w:rPr>
        <w:t>С</w:t>
      </w:r>
      <w:r w:rsidRPr="00A0045D">
        <w:rPr>
          <w:rFonts w:ascii="Times New Roman" w:hAnsi="Times New Roman" w:cs="Times New Roman"/>
          <w:kern w:val="0"/>
          <w:sz w:val="24"/>
          <w:szCs w:val="24"/>
        </w:rPr>
        <w:t xml:space="preserve">уттєві відмінності </w:t>
      </w:r>
      <w:r w:rsidR="00AF4FC9" w:rsidRPr="00A0045D">
        <w:rPr>
          <w:rFonts w:ascii="Times New Roman" w:hAnsi="Times New Roman" w:cs="Times New Roman"/>
          <w:kern w:val="0"/>
          <w:sz w:val="24"/>
          <w:szCs w:val="24"/>
        </w:rPr>
        <w:t>–</w:t>
      </w:r>
      <w:r w:rsidRPr="00A0045D">
        <w:rPr>
          <w:rFonts w:ascii="Times New Roman" w:hAnsi="Times New Roman" w:cs="Times New Roman"/>
          <w:kern w:val="0"/>
          <w:sz w:val="24"/>
          <w:szCs w:val="24"/>
        </w:rPr>
        <w:t xml:space="preserve"> це</w:t>
      </w:r>
      <w:r w:rsidR="00AF4FC9" w:rsidRPr="00A0045D">
        <w:rPr>
          <w:rFonts w:ascii="Times New Roman" w:hAnsi="Times New Roman" w:cs="Times New Roman"/>
          <w:kern w:val="0"/>
          <w:sz w:val="24"/>
          <w:szCs w:val="24"/>
        </w:rPr>
        <w:t xml:space="preserve"> </w:t>
      </w:r>
      <w:r w:rsidRPr="00A0045D">
        <w:rPr>
          <w:rFonts w:ascii="Times New Roman" w:hAnsi="Times New Roman" w:cs="Times New Roman"/>
          <w:kern w:val="0"/>
          <w:sz w:val="24"/>
          <w:szCs w:val="24"/>
        </w:rPr>
        <w:t>відмінності, які вважаються настільки серйозними, що вони</w:t>
      </w:r>
      <w:r w:rsidR="00AF4FC9" w:rsidRPr="00A0045D">
        <w:rPr>
          <w:rFonts w:ascii="Times New Roman" w:hAnsi="Times New Roman" w:cs="Times New Roman"/>
          <w:kern w:val="0"/>
          <w:sz w:val="24"/>
          <w:szCs w:val="24"/>
        </w:rPr>
        <w:t xml:space="preserve"> з високою ймовірністю</w:t>
      </w:r>
      <w:r w:rsidRPr="00A0045D">
        <w:rPr>
          <w:rFonts w:ascii="Times New Roman" w:hAnsi="Times New Roman" w:cs="Times New Roman"/>
          <w:kern w:val="0"/>
          <w:sz w:val="24"/>
          <w:szCs w:val="24"/>
        </w:rPr>
        <w:t xml:space="preserve"> завадять студентам досягти успіху у визнанні їх кваліфікацій.</w:t>
      </w:r>
      <w:r w:rsidR="00FC4D59" w:rsidRPr="00A0045D">
        <w:rPr>
          <w:rFonts w:ascii="Times New Roman" w:hAnsi="Times New Roman" w:cs="Times New Roman"/>
          <w:kern w:val="0"/>
          <w:sz w:val="24"/>
          <w:szCs w:val="24"/>
        </w:rPr>
        <w:t xml:space="preserve"> </w:t>
      </w:r>
      <w:r w:rsidR="00CC7341">
        <w:rPr>
          <w:rFonts w:ascii="Times New Roman" w:hAnsi="Times New Roman" w:cs="Times New Roman"/>
          <w:kern w:val="0"/>
          <w:sz w:val="24"/>
          <w:szCs w:val="24"/>
        </w:rPr>
        <w:t>Д</w:t>
      </w:r>
      <w:r w:rsidRPr="00A0045D">
        <w:rPr>
          <w:rFonts w:ascii="Times New Roman" w:hAnsi="Times New Roman" w:cs="Times New Roman"/>
          <w:kern w:val="0"/>
          <w:sz w:val="24"/>
          <w:szCs w:val="24"/>
        </w:rPr>
        <w:t>оведення наявності суттєвих відмінностей лежить на компетентному органі з визнання. Студентам і випускникам гарантується прозорість процедур та надання інформації.</w:t>
      </w:r>
    </w:p>
    <w:p w14:paraId="3896EE4D" w14:textId="1E76FD30" w:rsidR="001C1F18" w:rsidRPr="00A0045D" w:rsidRDefault="001C1F18" w:rsidP="00A0045D">
      <w:pPr>
        <w:autoSpaceDE w:val="0"/>
        <w:autoSpaceDN w:val="0"/>
        <w:adjustRightInd w:val="0"/>
        <w:spacing w:before="100" w:beforeAutospacing="1" w:after="100" w:afterAutospacing="1" w:line="240" w:lineRule="auto"/>
        <w:jc w:val="both"/>
        <w:rPr>
          <w:rFonts w:ascii="Times New Roman" w:hAnsi="Times New Roman" w:cs="Times New Roman"/>
          <w:color w:val="000000"/>
          <w:kern w:val="0"/>
          <w:sz w:val="24"/>
          <w:szCs w:val="24"/>
        </w:rPr>
      </w:pPr>
      <w:r w:rsidRPr="00A0045D">
        <w:rPr>
          <w:rFonts w:ascii="Times New Roman" w:hAnsi="Times New Roman" w:cs="Times New Roman"/>
          <w:kern w:val="0"/>
          <w:sz w:val="24"/>
          <w:szCs w:val="24"/>
        </w:rPr>
        <w:t>У листопаді 2019 р</w:t>
      </w:r>
      <w:r w:rsidR="003F1C5F" w:rsidRPr="00A0045D">
        <w:rPr>
          <w:rFonts w:ascii="Times New Roman" w:hAnsi="Times New Roman" w:cs="Times New Roman"/>
          <w:kern w:val="0"/>
          <w:sz w:val="24"/>
          <w:szCs w:val="24"/>
        </w:rPr>
        <w:t>.</w:t>
      </w:r>
      <w:r w:rsidRPr="00A0045D">
        <w:rPr>
          <w:rFonts w:ascii="Times New Roman" w:hAnsi="Times New Roman" w:cs="Times New Roman"/>
          <w:kern w:val="0"/>
          <w:sz w:val="24"/>
          <w:szCs w:val="24"/>
        </w:rPr>
        <w:t xml:space="preserve"> </w:t>
      </w:r>
      <w:r w:rsidRPr="00A0045D">
        <w:rPr>
          <w:rFonts w:ascii="Times New Roman" w:hAnsi="Times New Roman" w:cs="Times New Roman"/>
          <w:color w:val="000000"/>
          <w:kern w:val="0"/>
          <w:sz w:val="24"/>
          <w:szCs w:val="24"/>
        </w:rPr>
        <w:t>в Парижі, Франція,</w:t>
      </w:r>
      <w:r w:rsidR="00AF4FC9" w:rsidRPr="00A0045D">
        <w:rPr>
          <w:rFonts w:ascii="Times New Roman" w:hAnsi="Times New Roman" w:cs="Times New Roman"/>
          <w:sz w:val="24"/>
          <w:szCs w:val="24"/>
        </w:rPr>
        <w:t xml:space="preserve"> </w:t>
      </w:r>
      <w:r w:rsidR="00AF4FC9" w:rsidRPr="00A0045D">
        <w:rPr>
          <w:rFonts w:ascii="Times New Roman" w:hAnsi="Times New Roman" w:cs="Times New Roman"/>
          <w:color w:val="000000"/>
          <w:kern w:val="0"/>
          <w:sz w:val="24"/>
          <w:szCs w:val="24"/>
        </w:rPr>
        <w:t xml:space="preserve">держави-члени ЮНЕСКО прийняли </w:t>
      </w:r>
      <w:hyperlink r:id="rId64" w:history="1">
        <w:r w:rsidRPr="00A0045D">
          <w:rPr>
            <w:rStyle w:val="a8"/>
            <w:rFonts w:ascii="Times New Roman" w:hAnsi="Times New Roman" w:cs="Times New Roman"/>
            <w:sz w:val="24"/>
            <w:szCs w:val="24"/>
          </w:rPr>
          <w:t>Глобальну конвенцію п</w:t>
        </w:r>
        <w:r w:rsidRPr="00A0045D">
          <w:rPr>
            <w:rStyle w:val="a8"/>
            <w:rFonts w:ascii="Times New Roman" w:hAnsi="Times New Roman" w:cs="Times New Roman"/>
            <w:sz w:val="24"/>
            <w:szCs w:val="24"/>
          </w:rPr>
          <w:t>р</w:t>
        </w:r>
        <w:r w:rsidRPr="00A0045D">
          <w:rPr>
            <w:rStyle w:val="a8"/>
            <w:rFonts w:ascii="Times New Roman" w:hAnsi="Times New Roman" w:cs="Times New Roman"/>
            <w:sz w:val="24"/>
            <w:szCs w:val="24"/>
          </w:rPr>
          <w:t>о визнання</w:t>
        </w:r>
        <w:r w:rsidR="00A94F17">
          <w:rPr>
            <w:rStyle w:val="a8"/>
            <w:rFonts w:ascii="Times New Roman" w:hAnsi="Times New Roman" w:cs="Times New Roman"/>
            <w:sz w:val="24"/>
            <w:szCs w:val="24"/>
          </w:rPr>
          <w:t xml:space="preserve"> кваліфікацій вищої освіти</w:t>
        </w:r>
        <w:r w:rsidRPr="00A0045D">
          <w:rPr>
            <w:rStyle w:val="a8"/>
            <w:rFonts w:ascii="Times New Roman" w:hAnsi="Times New Roman" w:cs="Times New Roman"/>
            <w:sz w:val="24"/>
            <w:szCs w:val="24"/>
          </w:rPr>
          <w:t xml:space="preserve"> (</w:t>
        </w:r>
        <w:hyperlink r:id="rId65" w:history="1">
          <w:r w:rsidR="00A94F17" w:rsidRPr="00A94F17">
            <w:rPr>
              <w:rStyle w:val="a8"/>
              <w:rFonts w:ascii="Times New Roman" w:hAnsi="Times New Roman" w:cs="Times New Roman"/>
              <w:sz w:val="24"/>
              <w:szCs w:val="24"/>
            </w:rPr>
            <w:t>Global Convent</w:t>
          </w:r>
          <w:r w:rsidR="00A94F17" w:rsidRPr="00A94F17">
            <w:rPr>
              <w:rStyle w:val="a8"/>
              <w:rFonts w:ascii="Times New Roman" w:hAnsi="Times New Roman" w:cs="Times New Roman"/>
              <w:sz w:val="24"/>
              <w:szCs w:val="24"/>
            </w:rPr>
            <w:t>i</w:t>
          </w:r>
          <w:r w:rsidR="00A94F17" w:rsidRPr="00A94F17">
            <w:rPr>
              <w:rStyle w:val="a8"/>
              <w:rFonts w:ascii="Times New Roman" w:hAnsi="Times New Roman" w:cs="Times New Roman"/>
              <w:sz w:val="24"/>
              <w:szCs w:val="24"/>
            </w:rPr>
            <w:t>on on the Recognition of Qualifications concerning Higher Education</w:t>
          </w:r>
        </w:hyperlink>
        <w:r w:rsidRPr="00A0045D">
          <w:rPr>
            <w:rStyle w:val="a8"/>
            <w:rFonts w:ascii="Times New Roman" w:hAnsi="Times New Roman" w:cs="Times New Roman"/>
            <w:sz w:val="24"/>
            <w:szCs w:val="24"/>
          </w:rPr>
          <w:t>)</w:t>
        </w:r>
      </w:hyperlink>
      <w:r w:rsidRPr="00A0045D">
        <w:rPr>
          <w:rFonts w:ascii="Times New Roman" w:hAnsi="Times New Roman" w:cs="Times New Roman"/>
          <w:color w:val="000000"/>
          <w:kern w:val="0"/>
          <w:sz w:val="24"/>
          <w:szCs w:val="24"/>
        </w:rPr>
        <w:t xml:space="preserve">. Ця конвенція є </w:t>
      </w:r>
      <w:r w:rsidR="003F1C5F" w:rsidRPr="00A0045D">
        <w:rPr>
          <w:rFonts w:ascii="Times New Roman" w:hAnsi="Times New Roman" w:cs="Times New Roman"/>
          <w:color w:val="000000"/>
          <w:kern w:val="0"/>
          <w:sz w:val="24"/>
          <w:szCs w:val="24"/>
        </w:rPr>
        <w:t>ключовою</w:t>
      </w:r>
      <w:r w:rsidRPr="00A0045D">
        <w:rPr>
          <w:rFonts w:ascii="Times New Roman" w:hAnsi="Times New Roman" w:cs="Times New Roman"/>
          <w:color w:val="000000"/>
          <w:kern w:val="0"/>
          <w:sz w:val="24"/>
          <w:szCs w:val="24"/>
        </w:rPr>
        <w:t xml:space="preserve"> для всіх регіональних конвенцій, включаючи </w:t>
      </w:r>
      <w:r w:rsidR="00C733DA" w:rsidRPr="00A0045D">
        <w:rPr>
          <w:rFonts w:ascii="Times New Roman" w:hAnsi="Times New Roman" w:cs="Times New Roman"/>
          <w:kern w:val="0"/>
          <w:sz w:val="24"/>
          <w:szCs w:val="24"/>
        </w:rPr>
        <w:t>Лісабонськ</w:t>
      </w:r>
      <w:r w:rsidR="00C733DA">
        <w:rPr>
          <w:rFonts w:ascii="Times New Roman" w:hAnsi="Times New Roman" w:cs="Times New Roman"/>
          <w:kern w:val="0"/>
          <w:sz w:val="24"/>
          <w:szCs w:val="24"/>
        </w:rPr>
        <w:t>у</w:t>
      </w:r>
      <w:r w:rsidR="00C733DA" w:rsidRPr="00A0045D">
        <w:rPr>
          <w:rFonts w:ascii="Times New Roman" w:hAnsi="Times New Roman" w:cs="Times New Roman"/>
          <w:kern w:val="0"/>
          <w:sz w:val="24"/>
          <w:szCs w:val="24"/>
        </w:rPr>
        <w:t xml:space="preserve"> конвенці</w:t>
      </w:r>
      <w:r w:rsidR="00C733DA">
        <w:rPr>
          <w:rFonts w:ascii="Times New Roman" w:hAnsi="Times New Roman" w:cs="Times New Roman"/>
          <w:kern w:val="0"/>
          <w:sz w:val="24"/>
          <w:szCs w:val="24"/>
        </w:rPr>
        <w:t>ю</w:t>
      </w:r>
      <w:r w:rsidRPr="00A0045D">
        <w:rPr>
          <w:rFonts w:ascii="Times New Roman" w:hAnsi="Times New Roman" w:cs="Times New Roman"/>
          <w:color w:val="000000"/>
          <w:kern w:val="0"/>
          <w:sz w:val="24"/>
          <w:szCs w:val="24"/>
        </w:rPr>
        <w:t xml:space="preserve">, і відповідає </w:t>
      </w:r>
      <w:r w:rsidR="00C733DA">
        <w:rPr>
          <w:rFonts w:ascii="Times New Roman" w:hAnsi="Times New Roman" w:cs="Times New Roman"/>
          <w:kern w:val="0"/>
          <w:sz w:val="24"/>
          <w:szCs w:val="24"/>
        </w:rPr>
        <w:t>їй</w:t>
      </w:r>
      <w:r w:rsidRPr="00A0045D">
        <w:rPr>
          <w:rFonts w:ascii="Times New Roman" w:hAnsi="Times New Roman" w:cs="Times New Roman"/>
          <w:color w:val="000000"/>
          <w:kern w:val="0"/>
          <w:sz w:val="24"/>
          <w:szCs w:val="24"/>
        </w:rPr>
        <w:t xml:space="preserve">. </w:t>
      </w:r>
      <w:r w:rsidR="00C733DA" w:rsidRPr="00C733DA">
        <w:rPr>
          <w:rFonts w:ascii="Times New Roman" w:hAnsi="Times New Roman" w:cs="Times New Roman"/>
          <w:color w:val="000000"/>
          <w:kern w:val="0"/>
          <w:sz w:val="24"/>
          <w:szCs w:val="24"/>
        </w:rPr>
        <w:t>Глобальн</w:t>
      </w:r>
      <w:r w:rsidR="00C733DA">
        <w:rPr>
          <w:rFonts w:ascii="Times New Roman" w:hAnsi="Times New Roman" w:cs="Times New Roman"/>
          <w:color w:val="000000"/>
          <w:kern w:val="0"/>
          <w:sz w:val="24"/>
          <w:szCs w:val="24"/>
        </w:rPr>
        <w:t>а</w:t>
      </w:r>
      <w:r w:rsidR="00C733DA" w:rsidRPr="00C733DA">
        <w:rPr>
          <w:rFonts w:ascii="Times New Roman" w:hAnsi="Times New Roman" w:cs="Times New Roman"/>
          <w:color w:val="000000"/>
          <w:kern w:val="0"/>
          <w:sz w:val="24"/>
          <w:szCs w:val="24"/>
        </w:rPr>
        <w:t xml:space="preserve"> конвенці</w:t>
      </w:r>
      <w:r w:rsidR="00C733DA">
        <w:rPr>
          <w:rFonts w:ascii="Times New Roman" w:hAnsi="Times New Roman" w:cs="Times New Roman"/>
          <w:color w:val="000000"/>
          <w:kern w:val="0"/>
          <w:sz w:val="24"/>
          <w:szCs w:val="24"/>
        </w:rPr>
        <w:t>я</w:t>
      </w:r>
      <w:r w:rsidR="00C733DA" w:rsidRPr="00C733DA">
        <w:rPr>
          <w:rFonts w:ascii="Times New Roman" w:hAnsi="Times New Roman" w:cs="Times New Roman"/>
          <w:color w:val="000000"/>
          <w:kern w:val="0"/>
          <w:sz w:val="24"/>
          <w:szCs w:val="24"/>
        </w:rPr>
        <w:t xml:space="preserve"> про визнання</w:t>
      </w:r>
      <w:r w:rsidR="00C733DA" w:rsidRPr="00C733DA">
        <w:rPr>
          <w:rFonts w:ascii="Times New Roman" w:hAnsi="Times New Roman" w:cs="Times New Roman"/>
          <w:color w:val="000000"/>
          <w:kern w:val="0"/>
          <w:sz w:val="24"/>
          <w:szCs w:val="24"/>
        </w:rPr>
        <w:t xml:space="preserve"> </w:t>
      </w:r>
      <w:r w:rsidRPr="00A0045D">
        <w:rPr>
          <w:rFonts w:ascii="Times New Roman" w:hAnsi="Times New Roman" w:cs="Times New Roman"/>
          <w:color w:val="000000"/>
          <w:kern w:val="0"/>
          <w:sz w:val="24"/>
          <w:szCs w:val="24"/>
        </w:rPr>
        <w:t>включає право власників кваліфікацій у країнах-підписантах на визнання їх ступенів, у тому числі кваліфікацій</w:t>
      </w:r>
      <w:r w:rsidR="00C733DA">
        <w:rPr>
          <w:rFonts w:ascii="Times New Roman" w:hAnsi="Times New Roman" w:cs="Times New Roman"/>
          <w:color w:val="000000"/>
          <w:kern w:val="0"/>
          <w:sz w:val="24"/>
          <w:szCs w:val="24"/>
        </w:rPr>
        <w:t xml:space="preserve">, отриманих за </w:t>
      </w:r>
      <w:r w:rsidRPr="00A0045D">
        <w:rPr>
          <w:rFonts w:ascii="Times New Roman" w:hAnsi="Times New Roman" w:cs="Times New Roman"/>
          <w:color w:val="000000"/>
          <w:kern w:val="0"/>
          <w:sz w:val="24"/>
          <w:szCs w:val="24"/>
        </w:rPr>
        <w:t>спільни</w:t>
      </w:r>
      <w:r w:rsidR="00C733DA">
        <w:rPr>
          <w:rFonts w:ascii="Times New Roman" w:hAnsi="Times New Roman" w:cs="Times New Roman"/>
          <w:color w:val="000000"/>
          <w:kern w:val="0"/>
          <w:sz w:val="24"/>
          <w:szCs w:val="24"/>
        </w:rPr>
        <w:t>ми</w:t>
      </w:r>
      <w:r w:rsidRPr="00A0045D">
        <w:rPr>
          <w:rFonts w:ascii="Times New Roman" w:hAnsi="Times New Roman" w:cs="Times New Roman"/>
          <w:color w:val="000000"/>
          <w:kern w:val="0"/>
          <w:sz w:val="24"/>
          <w:szCs w:val="24"/>
        </w:rPr>
        <w:t xml:space="preserve"> програм</w:t>
      </w:r>
      <w:r w:rsidR="00C733DA">
        <w:rPr>
          <w:rFonts w:ascii="Times New Roman" w:hAnsi="Times New Roman" w:cs="Times New Roman"/>
          <w:color w:val="000000"/>
          <w:kern w:val="0"/>
          <w:sz w:val="24"/>
          <w:szCs w:val="24"/>
        </w:rPr>
        <w:t>ами</w:t>
      </w:r>
      <w:r w:rsidRPr="00A0045D">
        <w:rPr>
          <w:rFonts w:ascii="Times New Roman" w:hAnsi="Times New Roman" w:cs="Times New Roman"/>
          <w:color w:val="000000"/>
          <w:kern w:val="0"/>
          <w:sz w:val="24"/>
          <w:szCs w:val="24"/>
        </w:rPr>
        <w:t xml:space="preserve">. </w:t>
      </w:r>
    </w:p>
    <w:p w14:paraId="458700AD" w14:textId="3B929367" w:rsidR="001C1F18" w:rsidRPr="00A0045D" w:rsidRDefault="00823775" w:rsidP="00A0045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A0045D">
        <w:rPr>
          <w:rFonts w:ascii="Times New Roman" w:hAnsi="Times New Roman" w:cs="Times New Roman"/>
          <w:kern w:val="0"/>
          <w:sz w:val="24"/>
          <w:szCs w:val="24"/>
        </w:rPr>
        <w:t xml:space="preserve">Лісабонська конвенція про визнання </w:t>
      </w:r>
      <w:r w:rsidR="001C1F18" w:rsidRPr="00A0045D">
        <w:rPr>
          <w:rFonts w:ascii="Times New Roman" w:hAnsi="Times New Roman" w:cs="Times New Roman"/>
          <w:kern w:val="0"/>
          <w:sz w:val="24"/>
          <w:szCs w:val="24"/>
        </w:rPr>
        <w:t>є обов</w:t>
      </w:r>
      <w:r w:rsidR="00AF4FC9" w:rsidRPr="00A0045D">
        <w:rPr>
          <w:rFonts w:ascii="Times New Roman" w:hAnsi="Times New Roman" w:cs="Times New Roman"/>
          <w:kern w:val="0"/>
          <w:sz w:val="24"/>
          <w:szCs w:val="24"/>
        </w:rPr>
        <w:t>’</w:t>
      </w:r>
      <w:r w:rsidR="001C1F18" w:rsidRPr="00A0045D">
        <w:rPr>
          <w:rFonts w:ascii="Times New Roman" w:hAnsi="Times New Roman" w:cs="Times New Roman"/>
          <w:kern w:val="0"/>
          <w:sz w:val="24"/>
          <w:szCs w:val="24"/>
        </w:rPr>
        <w:t>язков</w:t>
      </w:r>
      <w:r>
        <w:rPr>
          <w:rFonts w:ascii="Times New Roman" w:hAnsi="Times New Roman" w:cs="Times New Roman"/>
          <w:kern w:val="0"/>
          <w:sz w:val="24"/>
          <w:szCs w:val="24"/>
        </w:rPr>
        <w:t>ою</w:t>
      </w:r>
      <w:r w:rsidR="001C1F18" w:rsidRPr="00A0045D">
        <w:rPr>
          <w:rFonts w:ascii="Times New Roman" w:hAnsi="Times New Roman" w:cs="Times New Roman"/>
          <w:kern w:val="0"/>
          <w:sz w:val="24"/>
          <w:szCs w:val="24"/>
        </w:rPr>
        <w:t xml:space="preserve"> для держав, </w:t>
      </w:r>
      <w:r>
        <w:rPr>
          <w:rFonts w:ascii="Times New Roman" w:hAnsi="Times New Roman" w:cs="Times New Roman"/>
          <w:kern w:val="0"/>
          <w:sz w:val="24"/>
          <w:szCs w:val="24"/>
        </w:rPr>
        <w:t>що</w:t>
      </w:r>
      <w:r w:rsidR="001C1F18" w:rsidRPr="00A0045D">
        <w:rPr>
          <w:rFonts w:ascii="Times New Roman" w:hAnsi="Times New Roman" w:cs="Times New Roman"/>
          <w:kern w:val="0"/>
          <w:sz w:val="24"/>
          <w:szCs w:val="24"/>
        </w:rPr>
        <w:t xml:space="preserve"> ратифікували </w:t>
      </w:r>
      <w:r w:rsidR="00AF4FC9" w:rsidRPr="00A0045D">
        <w:rPr>
          <w:rFonts w:ascii="Times New Roman" w:hAnsi="Times New Roman" w:cs="Times New Roman"/>
          <w:kern w:val="0"/>
          <w:sz w:val="24"/>
          <w:szCs w:val="24"/>
        </w:rPr>
        <w:t>угоду</w:t>
      </w:r>
      <w:r w:rsidR="001C1F18" w:rsidRPr="00A0045D">
        <w:rPr>
          <w:rFonts w:ascii="Times New Roman" w:hAnsi="Times New Roman" w:cs="Times New Roman"/>
          <w:kern w:val="0"/>
          <w:sz w:val="24"/>
          <w:szCs w:val="24"/>
        </w:rPr>
        <w:t xml:space="preserve">, але </w:t>
      </w:r>
      <w:r w:rsidR="00AF4FC9" w:rsidRPr="00A0045D">
        <w:rPr>
          <w:rFonts w:ascii="Times New Roman" w:hAnsi="Times New Roman" w:cs="Times New Roman"/>
          <w:kern w:val="0"/>
          <w:sz w:val="24"/>
          <w:szCs w:val="24"/>
        </w:rPr>
        <w:t>її</w:t>
      </w:r>
      <w:r w:rsidR="001C1F18" w:rsidRPr="00A0045D">
        <w:rPr>
          <w:rFonts w:ascii="Times New Roman" w:hAnsi="Times New Roman" w:cs="Times New Roman"/>
          <w:kern w:val="0"/>
          <w:sz w:val="24"/>
          <w:szCs w:val="24"/>
        </w:rPr>
        <w:t xml:space="preserve"> принципи залишають простір для інтерпретаці</w:t>
      </w:r>
      <w:r w:rsidR="00AF4FC9" w:rsidRPr="00A0045D">
        <w:rPr>
          <w:rFonts w:ascii="Times New Roman" w:hAnsi="Times New Roman" w:cs="Times New Roman"/>
          <w:kern w:val="0"/>
          <w:sz w:val="24"/>
          <w:szCs w:val="24"/>
        </w:rPr>
        <w:t>й</w:t>
      </w:r>
      <w:r w:rsidR="001C1F18" w:rsidRPr="00A0045D">
        <w:rPr>
          <w:rFonts w:ascii="Times New Roman" w:hAnsi="Times New Roman" w:cs="Times New Roman"/>
          <w:kern w:val="0"/>
          <w:sz w:val="24"/>
          <w:szCs w:val="24"/>
        </w:rPr>
        <w:t>.</w:t>
      </w:r>
      <w:r w:rsidR="00FC4D59" w:rsidRPr="00A0045D">
        <w:rPr>
          <w:rFonts w:ascii="Times New Roman" w:hAnsi="Times New Roman" w:cs="Times New Roman"/>
          <w:kern w:val="0"/>
          <w:sz w:val="24"/>
          <w:szCs w:val="24"/>
        </w:rPr>
        <w:t xml:space="preserve"> </w:t>
      </w:r>
      <w:r w:rsidR="001C1F18" w:rsidRPr="00A0045D">
        <w:rPr>
          <w:rFonts w:ascii="Times New Roman" w:hAnsi="Times New Roman" w:cs="Times New Roman"/>
          <w:kern w:val="0"/>
          <w:sz w:val="24"/>
          <w:szCs w:val="24"/>
        </w:rPr>
        <w:t>Це призвело до відмінностей у практи</w:t>
      </w:r>
      <w:r w:rsidR="009F020E" w:rsidRPr="00A0045D">
        <w:rPr>
          <w:rFonts w:ascii="Times New Roman" w:hAnsi="Times New Roman" w:cs="Times New Roman"/>
          <w:kern w:val="0"/>
          <w:sz w:val="24"/>
          <w:szCs w:val="24"/>
        </w:rPr>
        <w:t>ках</w:t>
      </w:r>
      <w:r w:rsidR="001C1F18" w:rsidRPr="00A0045D">
        <w:rPr>
          <w:rFonts w:ascii="Times New Roman" w:hAnsi="Times New Roman" w:cs="Times New Roman"/>
          <w:kern w:val="0"/>
          <w:sz w:val="24"/>
          <w:szCs w:val="24"/>
        </w:rPr>
        <w:t xml:space="preserve"> визнання між країнами, що є однією з основних пере</w:t>
      </w:r>
      <w:r w:rsidR="009F020E" w:rsidRPr="00A0045D">
        <w:rPr>
          <w:rFonts w:ascii="Times New Roman" w:hAnsi="Times New Roman" w:cs="Times New Roman"/>
          <w:kern w:val="0"/>
          <w:sz w:val="24"/>
          <w:szCs w:val="24"/>
        </w:rPr>
        <w:t>пон</w:t>
      </w:r>
      <w:r w:rsidR="001C1F18" w:rsidRPr="00A0045D">
        <w:rPr>
          <w:rFonts w:ascii="Times New Roman" w:hAnsi="Times New Roman" w:cs="Times New Roman"/>
          <w:kern w:val="0"/>
          <w:sz w:val="24"/>
          <w:szCs w:val="24"/>
        </w:rPr>
        <w:t xml:space="preserve"> для справедливого визнання кваліфікацій</w:t>
      </w:r>
      <w:r w:rsidR="009F020E" w:rsidRPr="00A0045D">
        <w:rPr>
          <w:rFonts w:ascii="Times New Roman" w:hAnsi="Times New Roman" w:cs="Times New Roman"/>
          <w:kern w:val="0"/>
          <w:sz w:val="24"/>
          <w:szCs w:val="24"/>
        </w:rPr>
        <w:t xml:space="preserve">, </w:t>
      </w:r>
      <w:r w:rsidR="001C1F18" w:rsidRPr="00A0045D">
        <w:rPr>
          <w:rFonts w:ascii="Times New Roman" w:hAnsi="Times New Roman" w:cs="Times New Roman"/>
          <w:kern w:val="0"/>
          <w:sz w:val="24"/>
          <w:szCs w:val="24"/>
        </w:rPr>
        <w:t xml:space="preserve">отже, </w:t>
      </w:r>
      <w:r>
        <w:rPr>
          <w:rFonts w:ascii="Times New Roman" w:hAnsi="Times New Roman" w:cs="Times New Roman"/>
          <w:kern w:val="0"/>
          <w:sz w:val="24"/>
          <w:szCs w:val="24"/>
        </w:rPr>
        <w:t xml:space="preserve">і </w:t>
      </w:r>
      <w:r w:rsidR="001C1F18" w:rsidRPr="00A0045D">
        <w:rPr>
          <w:rFonts w:ascii="Times New Roman" w:hAnsi="Times New Roman" w:cs="Times New Roman"/>
          <w:kern w:val="0"/>
          <w:sz w:val="24"/>
          <w:szCs w:val="24"/>
        </w:rPr>
        <w:t xml:space="preserve">для </w:t>
      </w:r>
      <w:r w:rsidR="009F020E" w:rsidRPr="00A0045D">
        <w:rPr>
          <w:rFonts w:ascii="Times New Roman" w:hAnsi="Times New Roman" w:cs="Times New Roman"/>
          <w:kern w:val="0"/>
          <w:sz w:val="24"/>
          <w:szCs w:val="24"/>
        </w:rPr>
        <w:t xml:space="preserve">мобільності </w:t>
      </w:r>
      <w:r w:rsidR="001C1F18" w:rsidRPr="00A0045D">
        <w:rPr>
          <w:rFonts w:ascii="Times New Roman" w:hAnsi="Times New Roman" w:cs="Times New Roman"/>
          <w:kern w:val="0"/>
          <w:sz w:val="24"/>
          <w:szCs w:val="24"/>
        </w:rPr>
        <w:t>студент</w:t>
      </w:r>
      <w:r w:rsidR="009F020E" w:rsidRPr="00A0045D">
        <w:rPr>
          <w:rFonts w:ascii="Times New Roman" w:hAnsi="Times New Roman" w:cs="Times New Roman"/>
          <w:kern w:val="0"/>
          <w:sz w:val="24"/>
          <w:szCs w:val="24"/>
        </w:rPr>
        <w:t>ів</w:t>
      </w:r>
      <w:r w:rsidR="001C1F18" w:rsidRPr="00A0045D">
        <w:rPr>
          <w:rFonts w:ascii="Times New Roman" w:hAnsi="Times New Roman" w:cs="Times New Roman"/>
          <w:kern w:val="0"/>
          <w:sz w:val="24"/>
          <w:szCs w:val="24"/>
        </w:rPr>
        <w:t xml:space="preserve"> </w:t>
      </w:r>
      <w:r w:rsidR="009F020E" w:rsidRPr="00A0045D">
        <w:rPr>
          <w:rFonts w:ascii="Times New Roman" w:hAnsi="Times New Roman" w:cs="Times New Roman"/>
          <w:kern w:val="0"/>
          <w:sz w:val="24"/>
          <w:szCs w:val="24"/>
        </w:rPr>
        <w:t>у</w:t>
      </w:r>
      <w:r w:rsidR="001C1F18" w:rsidRPr="00A0045D">
        <w:rPr>
          <w:rFonts w:ascii="Times New Roman" w:hAnsi="Times New Roman" w:cs="Times New Roman"/>
          <w:kern w:val="0"/>
          <w:sz w:val="24"/>
          <w:szCs w:val="24"/>
        </w:rPr>
        <w:t xml:space="preserve"> </w:t>
      </w:r>
      <w:r>
        <w:rPr>
          <w:rFonts w:ascii="Times New Roman" w:hAnsi="Times New Roman" w:cs="Times New Roman"/>
          <w:kern w:val="0"/>
          <w:sz w:val="24"/>
          <w:szCs w:val="24"/>
        </w:rPr>
        <w:t>ЄПВО</w:t>
      </w:r>
      <w:r w:rsidR="001C1F18" w:rsidRPr="00A0045D">
        <w:rPr>
          <w:rFonts w:ascii="Times New Roman" w:hAnsi="Times New Roman" w:cs="Times New Roman"/>
          <w:kern w:val="0"/>
          <w:sz w:val="24"/>
          <w:szCs w:val="24"/>
        </w:rPr>
        <w:t>.</w:t>
      </w:r>
    </w:p>
    <w:p w14:paraId="708C6944" w14:textId="7626561A" w:rsidR="001C1F18" w:rsidRPr="00A0045D" w:rsidRDefault="001C1F18" w:rsidP="00A0045D">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A0045D">
        <w:rPr>
          <w:rFonts w:ascii="Times New Roman" w:hAnsi="Times New Roman" w:cs="Times New Roman"/>
          <w:kern w:val="0"/>
          <w:sz w:val="24"/>
          <w:szCs w:val="24"/>
        </w:rPr>
        <w:t>Європейський консорціум з акредитації (</w:t>
      </w:r>
      <w:r w:rsidR="004A0B4F" w:rsidRPr="00A0045D">
        <w:rPr>
          <w:rFonts w:ascii="Times New Roman" w:hAnsi="Times New Roman" w:cs="Times New Roman"/>
          <w:kern w:val="0"/>
          <w:sz w:val="24"/>
          <w:szCs w:val="24"/>
        </w:rPr>
        <w:t>European Consortium for Accreditation, або ECA</w:t>
      </w:r>
      <w:r w:rsidRPr="00A0045D">
        <w:rPr>
          <w:rFonts w:ascii="Times New Roman" w:hAnsi="Times New Roman" w:cs="Times New Roman"/>
          <w:kern w:val="0"/>
          <w:sz w:val="24"/>
          <w:szCs w:val="24"/>
        </w:rPr>
        <w:t xml:space="preserve">) </w:t>
      </w:r>
      <w:hyperlink r:id="rId66" w:history="1">
        <w:r w:rsidRPr="00A93930">
          <w:rPr>
            <w:rStyle w:val="a8"/>
            <w:rFonts w:ascii="Times New Roman" w:hAnsi="Times New Roman" w:cs="Times New Roman"/>
            <w:kern w:val="0"/>
            <w:sz w:val="24"/>
            <w:szCs w:val="24"/>
          </w:rPr>
          <w:t>розробив</w:t>
        </w:r>
        <w:r w:rsidR="00FC4D59" w:rsidRPr="00A93930">
          <w:rPr>
            <w:rStyle w:val="a8"/>
            <w:rFonts w:ascii="Times New Roman" w:hAnsi="Times New Roman" w:cs="Times New Roman"/>
            <w:kern w:val="0"/>
            <w:sz w:val="24"/>
            <w:szCs w:val="24"/>
          </w:rPr>
          <w:t xml:space="preserve"> </w:t>
        </w:r>
        <w:r w:rsidR="00C12468" w:rsidRPr="00A93930">
          <w:rPr>
            <w:rStyle w:val="a8"/>
            <w:rFonts w:ascii="Times New Roman" w:hAnsi="Times New Roman" w:cs="Times New Roman"/>
            <w:sz w:val="24"/>
            <w:szCs w:val="24"/>
          </w:rPr>
          <w:t>Рекомендації щодо</w:t>
        </w:r>
        <w:r w:rsidRPr="00A93930">
          <w:rPr>
            <w:rStyle w:val="a8"/>
            <w:rFonts w:ascii="Times New Roman" w:hAnsi="Times New Roman" w:cs="Times New Roman"/>
            <w:sz w:val="24"/>
            <w:szCs w:val="24"/>
          </w:rPr>
          <w:t xml:space="preserve"> належної практики при</w:t>
        </w:r>
        <w:r w:rsidRPr="00A93930">
          <w:rPr>
            <w:rStyle w:val="a8"/>
            <w:rFonts w:ascii="Times New Roman" w:hAnsi="Times New Roman" w:cs="Times New Roman"/>
            <w:sz w:val="24"/>
            <w:szCs w:val="24"/>
          </w:rPr>
          <w:t>с</w:t>
        </w:r>
        <w:r w:rsidRPr="00A93930">
          <w:rPr>
            <w:rStyle w:val="a8"/>
            <w:rFonts w:ascii="Times New Roman" w:hAnsi="Times New Roman" w:cs="Times New Roman"/>
            <w:sz w:val="24"/>
            <w:szCs w:val="24"/>
          </w:rPr>
          <w:t>удження спільних ступенів</w:t>
        </w:r>
      </w:hyperlink>
      <w:r w:rsidR="00011FFD" w:rsidRPr="00A0045D">
        <w:rPr>
          <w:rFonts w:ascii="Times New Roman" w:hAnsi="Times New Roman" w:cs="Times New Roman"/>
          <w:sz w:val="24"/>
          <w:szCs w:val="24"/>
        </w:rPr>
        <w:t xml:space="preserve"> (Guidelines for Good Practice for </w:t>
      </w:r>
      <w:r w:rsidR="00A93930" w:rsidRPr="00A0045D">
        <w:rPr>
          <w:rFonts w:ascii="Times New Roman" w:hAnsi="Times New Roman" w:cs="Times New Roman"/>
          <w:sz w:val="24"/>
          <w:szCs w:val="24"/>
        </w:rPr>
        <w:t xml:space="preserve">Awarding </w:t>
      </w:r>
      <w:r w:rsidR="00011FFD" w:rsidRPr="00A0045D">
        <w:rPr>
          <w:rFonts w:ascii="Times New Roman" w:hAnsi="Times New Roman" w:cs="Times New Roman"/>
          <w:sz w:val="24"/>
          <w:szCs w:val="24"/>
        </w:rPr>
        <w:t>Joint Degrees)</w:t>
      </w:r>
      <w:r w:rsidR="004A0B4F" w:rsidRPr="00A0045D">
        <w:rPr>
          <w:rFonts w:ascii="Times New Roman" w:hAnsi="Times New Roman" w:cs="Times New Roman"/>
          <w:kern w:val="0"/>
          <w:sz w:val="24"/>
          <w:szCs w:val="24"/>
        </w:rPr>
        <w:t xml:space="preserve">. Основна мета цього керівництва – полегшити та покращити повне </w:t>
      </w:r>
      <w:r w:rsidRPr="00A0045D">
        <w:rPr>
          <w:rFonts w:ascii="Times New Roman" w:hAnsi="Times New Roman" w:cs="Times New Roman"/>
          <w:kern w:val="0"/>
          <w:sz w:val="24"/>
          <w:szCs w:val="24"/>
        </w:rPr>
        <w:t>визнання спільних ступенів</w:t>
      </w:r>
      <w:r w:rsidR="00A93930">
        <w:rPr>
          <w:rFonts w:ascii="Times New Roman" w:hAnsi="Times New Roman" w:cs="Times New Roman"/>
          <w:kern w:val="0"/>
          <w:sz w:val="24"/>
          <w:szCs w:val="24"/>
        </w:rPr>
        <w:t xml:space="preserve"> та надати</w:t>
      </w:r>
      <w:r w:rsidRPr="00A0045D">
        <w:rPr>
          <w:rFonts w:ascii="Times New Roman" w:hAnsi="Times New Roman" w:cs="Times New Roman"/>
          <w:kern w:val="0"/>
          <w:sz w:val="24"/>
          <w:szCs w:val="24"/>
        </w:rPr>
        <w:t xml:space="preserve"> інформацію, як</w:t>
      </w:r>
      <w:r w:rsidR="00A93930">
        <w:rPr>
          <w:rFonts w:ascii="Times New Roman" w:hAnsi="Times New Roman" w:cs="Times New Roman"/>
          <w:kern w:val="0"/>
          <w:sz w:val="24"/>
          <w:szCs w:val="24"/>
        </w:rPr>
        <w:t>а</w:t>
      </w:r>
      <w:r w:rsidRPr="00A0045D">
        <w:rPr>
          <w:rFonts w:ascii="Times New Roman" w:hAnsi="Times New Roman" w:cs="Times New Roman"/>
          <w:kern w:val="0"/>
          <w:sz w:val="24"/>
          <w:szCs w:val="24"/>
        </w:rPr>
        <w:t xml:space="preserve"> необхідн</w:t>
      </w:r>
      <w:r w:rsidR="00A93930">
        <w:rPr>
          <w:rFonts w:ascii="Times New Roman" w:hAnsi="Times New Roman" w:cs="Times New Roman"/>
          <w:kern w:val="0"/>
          <w:sz w:val="24"/>
          <w:szCs w:val="24"/>
        </w:rPr>
        <w:t>а</w:t>
      </w:r>
      <w:r w:rsidRPr="00A0045D">
        <w:rPr>
          <w:rFonts w:ascii="Times New Roman" w:hAnsi="Times New Roman" w:cs="Times New Roman"/>
          <w:kern w:val="0"/>
          <w:sz w:val="24"/>
          <w:szCs w:val="24"/>
        </w:rPr>
        <w:t xml:space="preserve"> </w:t>
      </w:r>
      <w:r w:rsidR="00A93930" w:rsidRPr="00A0045D">
        <w:rPr>
          <w:rFonts w:ascii="Times New Roman" w:hAnsi="Times New Roman" w:cs="Times New Roman"/>
          <w:kern w:val="0"/>
          <w:sz w:val="24"/>
          <w:szCs w:val="24"/>
        </w:rPr>
        <w:t xml:space="preserve">ENIC-NARIC </w:t>
      </w:r>
      <w:r w:rsidRPr="00A0045D">
        <w:rPr>
          <w:rFonts w:ascii="Times New Roman" w:hAnsi="Times New Roman" w:cs="Times New Roman"/>
          <w:kern w:val="0"/>
          <w:sz w:val="24"/>
          <w:szCs w:val="24"/>
        </w:rPr>
        <w:t>для оцін</w:t>
      </w:r>
      <w:r w:rsidR="00A93930">
        <w:rPr>
          <w:rFonts w:ascii="Times New Roman" w:hAnsi="Times New Roman" w:cs="Times New Roman"/>
          <w:kern w:val="0"/>
          <w:sz w:val="24"/>
          <w:szCs w:val="24"/>
        </w:rPr>
        <w:t xml:space="preserve">ювання </w:t>
      </w:r>
      <w:r w:rsidRPr="00A0045D">
        <w:rPr>
          <w:rFonts w:ascii="Times New Roman" w:hAnsi="Times New Roman" w:cs="Times New Roman"/>
          <w:kern w:val="0"/>
          <w:sz w:val="24"/>
          <w:szCs w:val="24"/>
        </w:rPr>
        <w:t>ступеня</w:t>
      </w:r>
      <w:r w:rsidR="00A93930">
        <w:rPr>
          <w:rFonts w:ascii="Times New Roman" w:hAnsi="Times New Roman" w:cs="Times New Roman"/>
          <w:kern w:val="0"/>
          <w:sz w:val="24"/>
          <w:szCs w:val="24"/>
        </w:rPr>
        <w:t>/кваліфікації</w:t>
      </w:r>
      <w:r w:rsidRPr="00A0045D">
        <w:rPr>
          <w:rFonts w:ascii="Times New Roman" w:hAnsi="Times New Roman" w:cs="Times New Roman"/>
          <w:kern w:val="0"/>
          <w:sz w:val="24"/>
          <w:szCs w:val="24"/>
        </w:rPr>
        <w:t xml:space="preserve">, отриманого </w:t>
      </w:r>
      <w:r w:rsidR="00A93930">
        <w:rPr>
          <w:rFonts w:ascii="Times New Roman" w:hAnsi="Times New Roman" w:cs="Times New Roman"/>
          <w:kern w:val="0"/>
          <w:sz w:val="24"/>
          <w:szCs w:val="24"/>
        </w:rPr>
        <w:t>по</w:t>
      </w:r>
      <w:r w:rsidRPr="00A0045D">
        <w:rPr>
          <w:rFonts w:ascii="Times New Roman" w:hAnsi="Times New Roman" w:cs="Times New Roman"/>
          <w:kern w:val="0"/>
          <w:sz w:val="24"/>
          <w:szCs w:val="24"/>
        </w:rPr>
        <w:t xml:space="preserve"> </w:t>
      </w:r>
      <w:r w:rsidR="00A93930">
        <w:rPr>
          <w:rFonts w:ascii="Times New Roman" w:hAnsi="Times New Roman" w:cs="Times New Roman"/>
          <w:kern w:val="0"/>
          <w:sz w:val="24"/>
          <w:szCs w:val="24"/>
        </w:rPr>
        <w:t>завершенню</w:t>
      </w:r>
      <w:r w:rsidRPr="00A0045D">
        <w:rPr>
          <w:rFonts w:ascii="Times New Roman" w:hAnsi="Times New Roman" w:cs="Times New Roman"/>
          <w:kern w:val="0"/>
          <w:sz w:val="24"/>
          <w:szCs w:val="24"/>
        </w:rPr>
        <w:t xml:space="preserve"> спільної програми.</w:t>
      </w:r>
      <w:r w:rsidR="00E91AE9">
        <w:rPr>
          <w:rFonts w:ascii="Times New Roman" w:hAnsi="Times New Roman" w:cs="Times New Roman"/>
          <w:kern w:val="0"/>
          <w:sz w:val="24"/>
          <w:szCs w:val="24"/>
        </w:rPr>
        <w:t xml:space="preserve"> Також, і</w:t>
      </w:r>
      <w:r w:rsidRPr="00A0045D">
        <w:rPr>
          <w:rFonts w:ascii="Times New Roman" w:hAnsi="Times New Roman" w:cs="Times New Roman"/>
          <w:kern w:val="0"/>
          <w:sz w:val="24"/>
          <w:szCs w:val="24"/>
        </w:rPr>
        <w:t xml:space="preserve">снують детальні інструкції, що містять перелік конкретної інформації, яку необхідно включити в Додаток до диплома спільної програми, із зазначенням точного розділу </w:t>
      </w:r>
      <w:r w:rsidR="00F77256" w:rsidRPr="00A0045D">
        <w:rPr>
          <w:rFonts w:ascii="Times New Roman" w:hAnsi="Times New Roman" w:cs="Times New Roman"/>
          <w:kern w:val="0"/>
          <w:sz w:val="24"/>
          <w:szCs w:val="24"/>
        </w:rPr>
        <w:t>Додатку</w:t>
      </w:r>
      <w:r w:rsidRPr="00A0045D">
        <w:rPr>
          <w:rFonts w:ascii="Times New Roman" w:hAnsi="Times New Roman" w:cs="Times New Roman"/>
          <w:kern w:val="0"/>
          <w:sz w:val="24"/>
          <w:szCs w:val="24"/>
        </w:rPr>
        <w:t>. Якщо додаток до диплома не видається (наприклад, для країн, що не входять до ЄПВО), рекомендується надати цю інформацію в аналогічному документі, який видається разом із дипломом.</w:t>
      </w:r>
    </w:p>
    <w:p w14:paraId="6444E1F4" w14:textId="6381F0CC" w:rsidR="00F94550" w:rsidRDefault="00F94550">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350D6EDC" w14:textId="2661FEC1" w:rsidR="001C1F18" w:rsidRPr="009D7C45" w:rsidRDefault="00BE5307" w:rsidP="009D7C45">
      <w:pPr>
        <w:pStyle w:val="1"/>
        <w:spacing w:before="100" w:beforeAutospacing="1" w:after="100" w:afterAutospacing="1" w:line="240" w:lineRule="auto"/>
        <w:rPr>
          <w:rFonts w:ascii="Times New Roman" w:hAnsi="Times New Roman" w:cs="Times New Roman"/>
          <w:b/>
          <w:bCs/>
          <w:sz w:val="24"/>
          <w:szCs w:val="24"/>
        </w:rPr>
      </w:pPr>
      <w:bookmarkStart w:id="40" w:name="_Toc188337463"/>
      <w:r w:rsidRPr="00BE5307">
        <w:rPr>
          <w:rFonts w:ascii="Times New Roman" w:hAnsi="Times New Roman" w:cs="Times New Roman"/>
          <w:b/>
          <w:bCs/>
          <w:sz w:val="24"/>
          <w:szCs w:val="24"/>
        </w:rPr>
        <w:lastRenderedPageBreak/>
        <w:t xml:space="preserve">14. </w:t>
      </w:r>
      <w:r w:rsidRPr="009D7C45">
        <w:rPr>
          <w:rFonts w:ascii="Times New Roman" w:hAnsi="Times New Roman" w:cs="Times New Roman"/>
          <w:b/>
          <w:bCs/>
          <w:sz w:val="24"/>
          <w:szCs w:val="24"/>
        </w:rPr>
        <w:t>СПІЛЬНІ ДОКТОРСЬКІ ПРОГРАМИ</w:t>
      </w:r>
      <w:bookmarkEnd w:id="40"/>
      <w:r w:rsidR="00443373">
        <w:rPr>
          <w:rFonts w:ascii="Times New Roman" w:hAnsi="Times New Roman" w:cs="Times New Roman"/>
          <w:b/>
          <w:bCs/>
          <w:sz w:val="24"/>
          <w:szCs w:val="24"/>
        </w:rPr>
        <w:t xml:space="preserve"> (ДОКТОР ФІЛОСОФІЇ)</w:t>
      </w:r>
    </w:p>
    <w:p w14:paraId="6C3D0E02" w14:textId="2FED1E47" w:rsidR="001C1F18" w:rsidRPr="009D7C45" w:rsidRDefault="001C1F18"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Спільні докторські програми представлені в окремому розділі, щоб підкреслити </w:t>
      </w:r>
      <w:r w:rsidR="002E711C" w:rsidRPr="009D7C45">
        <w:rPr>
          <w:rFonts w:ascii="Times New Roman" w:hAnsi="Times New Roman" w:cs="Times New Roman"/>
          <w:kern w:val="0"/>
          <w:sz w:val="24"/>
          <w:szCs w:val="24"/>
        </w:rPr>
        <w:t xml:space="preserve">їх </w:t>
      </w:r>
      <w:r w:rsidRPr="009D7C45">
        <w:rPr>
          <w:rFonts w:ascii="Times New Roman" w:hAnsi="Times New Roman" w:cs="Times New Roman"/>
          <w:kern w:val="0"/>
          <w:sz w:val="24"/>
          <w:szCs w:val="24"/>
        </w:rPr>
        <w:t>відмінності від спільних магістерських програм.</w:t>
      </w:r>
    </w:p>
    <w:p w14:paraId="14A8B18F" w14:textId="7FBA90EE" w:rsidR="00AC5A65" w:rsidRPr="009D7C45" w:rsidRDefault="00AC5A65" w:rsidP="009C3B79">
      <w:pPr>
        <w:numPr>
          <w:ilvl w:val="0"/>
          <w:numId w:val="86"/>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Ретельно ознайомтеся з партнерами консорціуму та особливостями їхнього національного законодавства перед початком розроб</w:t>
      </w:r>
      <w:r w:rsidR="00443373">
        <w:rPr>
          <w:rFonts w:ascii="Times New Roman" w:hAnsi="Times New Roman" w:cs="Times New Roman"/>
          <w:kern w:val="0"/>
          <w:sz w:val="24"/>
          <w:szCs w:val="24"/>
        </w:rPr>
        <w:t>лення</w:t>
      </w:r>
      <w:r w:rsidRPr="009D7C45">
        <w:rPr>
          <w:rFonts w:ascii="Times New Roman" w:hAnsi="Times New Roman" w:cs="Times New Roman"/>
          <w:kern w:val="0"/>
          <w:sz w:val="24"/>
          <w:szCs w:val="24"/>
        </w:rPr>
        <w:t xml:space="preserve"> спільної докторської програми.</w:t>
      </w:r>
    </w:p>
    <w:p w14:paraId="26B07BFD" w14:textId="0B73F309"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Розробіть збалансовані процедури нагляду в межах консорціуму та впровадьте формальні механізми моніторингу для відстеження прогресу досліджень </w:t>
      </w:r>
      <w:r w:rsidR="00443373">
        <w:rPr>
          <w:rFonts w:ascii="Times New Roman" w:hAnsi="Times New Roman" w:cs="Times New Roman"/>
          <w:kern w:val="0"/>
          <w:sz w:val="24"/>
          <w:szCs w:val="24"/>
        </w:rPr>
        <w:t>аспірантів</w:t>
      </w:r>
      <w:r w:rsidRPr="009D7C45">
        <w:rPr>
          <w:rFonts w:ascii="Times New Roman" w:hAnsi="Times New Roman" w:cs="Times New Roman"/>
          <w:kern w:val="0"/>
          <w:sz w:val="24"/>
          <w:szCs w:val="24"/>
        </w:rPr>
        <w:t>.</w:t>
      </w:r>
    </w:p>
    <w:p w14:paraId="307AFC07" w14:textId="1FF12AF7"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Укладіть персональну угоду про спільне </w:t>
      </w:r>
      <w:r w:rsidR="00443373">
        <w:rPr>
          <w:rFonts w:ascii="Times New Roman" w:hAnsi="Times New Roman" w:cs="Times New Roman"/>
          <w:kern w:val="0"/>
          <w:sz w:val="24"/>
          <w:szCs w:val="24"/>
        </w:rPr>
        <w:t xml:space="preserve">наукове </w:t>
      </w:r>
      <w:r w:rsidRPr="009D7C45">
        <w:rPr>
          <w:rFonts w:ascii="Times New Roman" w:hAnsi="Times New Roman" w:cs="Times New Roman"/>
          <w:kern w:val="0"/>
          <w:sz w:val="24"/>
          <w:szCs w:val="24"/>
        </w:rPr>
        <w:t>керівництво (</w:t>
      </w:r>
      <w:r w:rsidRPr="009D7C45">
        <w:rPr>
          <w:rFonts w:ascii="Times New Roman" w:hAnsi="Times New Roman" w:cs="Times New Roman"/>
          <w:i/>
          <w:iCs/>
          <w:kern w:val="0"/>
          <w:sz w:val="24"/>
          <w:szCs w:val="24"/>
        </w:rPr>
        <w:t>cotutelle</w:t>
      </w:r>
      <w:r w:rsidRPr="009D7C45">
        <w:rPr>
          <w:rFonts w:ascii="Times New Roman" w:hAnsi="Times New Roman" w:cs="Times New Roman"/>
          <w:kern w:val="0"/>
          <w:sz w:val="24"/>
          <w:szCs w:val="24"/>
        </w:rPr>
        <w:t xml:space="preserve">), яка чітко визначає відповідальність кожного партнера щодо </w:t>
      </w:r>
      <w:r w:rsidR="00443373">
        <w:rPr>
          <w:rFonts w:ascii="Times New Roman" w:hAnsi="Times New Roman" w:cs="Times New Roman"/>
          <w:kern w:val="0"/>
          <w:sz w:val="24"/>
          <w:szCs w:val="24"/>
        </w:rPr>
        <w:t xml:space="preserve">наукового </w:t>
      </w:r>
      <w:r w:rsidRPr="009D7C45">
        <w:rPr>
          <w:rFonts w:ascii="Times New Roman" w:hAnsi="Times New Roman" w:cs="Times New Roman"/>
          <w:kern w:val="0"/>
          <w:sz w:val="24"/>
          <w:szCs w:val="24"/>
        </w:rPr>
        <w:t>керівництва, оцінювання та захисту дисертації. Спільна докторська програма має включати елементи спільного керівництва, а також може передбачати співпрацю в межах спільно</w:t>
      </w:r>
      <w:r w:rsidR="009C3B79">
        <w:rPr>
          <w:rFonts w:ascii="Times New Roman" w:hAnsi="Times New Roman" w:cs="Times New Roman"/>
          <w:kern w:val="0"/>
          <w:sz w:val="24"/>
          <w:szCs w:val="24"/>
        </w:rPr>
        <w:t>ї</w:t>
      </w:r>
      <w:r w:rsidRPr="009D7C45">
        <w:rPr>
          <w:rFonts w:ascii="Times New Roman" w:hAnsi="Times New Roman" w:cs="Times New Roman"/>
          <w:kern w:val="0"/>
          <w:sz w:val="24"/>
          <w:szCs w:val="24"/>
        </w:rPr>
        <w:t xml:space="preserve"> </w:t>
      </w:r>
      <w:r w:rsidR="009C3B79">
        <w:rPr>
          <w:rFonts w:ascii="Times New Roman" w:hAnsi="Times New Roman" w:cs="Times New Roman"/>
          <w:kern w:val="0"/>
          <w:sz w:val="24"/>
          <w:szCs w:val="24"/>
        </w:rPr>
        <w:t>освітньої складової програми</w:t>
      </w:r>
      <w:r w:rsidRPr="009D7C45">
        <w:rPr>
          <w:rFonts w:ascii="Times New Roman" w:hAnsi="Times New Roman" w:cs="Times New Roman"/>
          <w:kern w:val="0"/>
          <w:sz w:val="24"/>
          <w:szCs w:val="24"/>
        </w:rPr>
        <w:t>.</w:t>
      </w:r>
    </w:p>
    <w:p w14:paraId="79236DCF" w14:textId="07129FC8"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Створіть платформу для досліджень і комунікації, де </w:t>
      </w:r>
      <w:r w:rsidR="009C3B79">
        <w:rPr>
          <w:rFonts w:ascii="Times New Roman" w:hAnsi="Times New Roman" w:cs="Times New Roman"/>
          <w:kern w:val="0"/>
          <w:sz w:val="24"/>
          <w:szCs w:val="24"/>
        </w:rPr>
        <w:t>аспіранти</w:t>
      </w:r>
      <w:r w:rsidRPr="009D7C45">
        <w:rPr>
          <w:rFonts w:ascii="Times New Roman" w:hAnsi="Times New Roman" w:cs="Times New Roman"/>
          <w:kern w:val="0"/>
          <w:sz w:val="24"/>
          <w:szCs w:val="24"/>
        </w:rPr>
        <w:t xml:space="preserve"> </w:t>
      </w:r>
      <w:r w:rsidR="009C3B79">
        <w:rPr>
          <w:rFonts w:ascii="Times New Roman" w:hAnsi="Times New Roman" w:cs="Times New Roman"/>
          <w:kern w:val="0"/>
          <w:sz w:val="24"/>
          <w:szCs w:val="24"/>
        </w:rPr>
        <w:t>викладачі</w:t>
      </w:r>
      <w:r w:rsidRPr="009D7C45">
        <w:rPr>
          <w:rFonts w:ascii="Times New Roman" w:hAnsi="Times New Roman" w:cs="Times New Roman"/>
          <w:kern w:val="0"/>
          <w:sz w:val="24"/>
          <w:szCs w:val="24"/>
        </w:rPr>
        <w:t xml:space="preserve"> </w:t>
      </w:r>
      <w:r w:rsidR="009C3B79" w:rsidRPr="009D7C45">
        <w:rPr>
          <w:rFonts w:ascii="Times New Roman" w:hAnsi="Times New Roman" w:cs="Times New Roman"/>
          <w:kern w:val="0"/>
          <w:sz w:val="24"/>
          <w:szCs w:val="24"/>
        </w:rPr>
        <w:t>та</w:t>
      </w:r>
      <w:r w:rsidR="009C3B79">
        <w:rPr>
          <w:rFonts w:ascii="Times New Roman" w:hAnsi="Times New Roman" w:cs="Times New Roman"/>
          <w:kern w:val="0"/>
          <w:sz w:val="24"/>
          <w:szCs w:val="24"/>
        </w:rPr>
        <w:t xml:space="preserve"> залучені співробітники</w:t>
      </w:r>
      <w:r w:rsidR="009C3B79" w:rsidRPr="009D7C45">
        <w:rPr>
          <w:rFonts w:ascii="Times New Roman" w:hAnsi="Times New Roman" w:cs="Times New Roman"/>
          <w:kern w:val="0"/>
          <w:sz w:val="24"/>
          <w:szCs w:val="24"/>
        </w:rPr>
        <w:t xml:space="preserve"> </w:t>
      </w:r>
      <w:r w:rsidRPr="009D7C45">
        <w:rPr>
          <w:rFonts w:ascii="Times New Roman" w:hAnsi="Times New Roman" w:cs="Times New Roman"/>
          <w:kern w:val="0"/>
          <w:sz w:val="24"/>
          <w:szCs w:val="24"/>
        </w:rPr>
        <w:t xml:space="preserve">зможуть співпрацювати в </w:t>
      </w:r>
      <w:r w:rsidR="009C3B79">
        <w:rPr>
          <w:rFonts w:ascii="Times New Roman" w:hAnsi="Times New Roman" w:cs="Times New Roman"/>
          <w:kern w:val="0"/>
          <w:sz w:val="24"/>
          <w:szCs w:val="24"/>
        </w:rPr>
        <w:t>межах</w:t>
      </w:r>
      <w:r w:rsidRPr="009D7C45">
        <w:rPr>
          <w:rFonts w:ascii="Times New Roman" w:hAnsi="Times New Roman" w:cs="Times New Roman"/>
          <w:kern w:val="0"/>
          <w:sz w:val="24"/>
          <w:szCs w:val="24"/>
        </w:rPr>
        <w:t xml:space="preserve"> консорціуму.</w:t>
      </w:r>
    </w:p>
    <w:p w14:paraId="5F389329" w14:textId="1759EE4A"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Забезпечте </w:t>
      </w:r>
      <w:r w:rsidR="009C3B79">
        <w:rPr>
          <w:rFonts w:ascii="Times New Roman" w:hAnsi="Times New Roman" w:cs="Times New Roman"/>
          <w:kern w:val="0"/>
          <w:sz w:val="24"/>
          <w:szCs w:val="24"/>
        </w:rPr>
        <w:t>аспірантів</w:t>
      </w:r>
      <w:r w:rsidRPr="009D7C45">
        <w:rPr>
          <w:rFonts w:ascii="Times New Roman" w:hAnsi="Times New Roman" w:cs="Times New Roman"/>
          <w:kern w:val="0"/>
          <w:sz w:val="24"/>
          <w:szCs w:val="24"/>
        </w:rPr>
        <w:t xml:space="preserve"> відповідними </w:t>
      </w:r>
      <w:r w:rsidR="009C3B79">
        <w:rPr>
          <w:rFonts w:ascii="Times New Roman" w:hAnsi="Times New Roman" w:cs="Times New Roman"/>
          <w:kern w:val="0"/>
          <w:sz w:val="24"/>
          <w:szCs w:val="24"/>
        </w:rPr>
        <w:t>освітніми</w:t>
      </w:r>
      <w:r w:rsidRPr="009D7C45">
        <w:rPr>
          <w:rFonts w:ascii="Times New Roman" w:hAnsi="Times New Roman" w:cs="Times New Roman"/>
          <w:kern w:val="0"/>
          <w:sz w:val="24"/>
          <w:szCs w:val="24"/>
        </w:rPr>
        <w:t xml:space="preserve"> та дослідницькими інструментами і засобами.</w:t>
      </w:r>
    </w:p>
    <w:p w14:paraId="18727A91" w14:textId="060E39CE"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Якщо дозволено законо</w:t>
      </w:r>
      <w:r w:rsidR="009C3B79">
        <w:rPr>
          <w:rFonts w:ascii="Times New Roman" w:hAnsi="Times New Roman" w:cs="Times New Roman"/>
          <w:kern w:val="0"/>
          <w:sz w:val="24"/>
          <w:szCs w:val="24"/>
        </w:rPr>
        <w:t>давство</w:t>
      </w:r>
      <w:r w:rsidRPr="009D7C45">
        <w:rPr>
          <w:rFonts w:ascii="Times New Roman" w:hAnsi="Times New Roman" w:cs="Times New Roman"/>
          <w:kern w:val="0"/>
          <w:sz w:val="24"/>
          <w:szCs w:val="24"/>
        </w:rPr>
        <w:t xml:space="preserve">м, укладіть трудові договори з </w:t>
      </w:r>
      <w:r w:rsidR="009C3B79">
        <w:rPr>
          <w:rFonts w:ascii="Times New Roman" w:hAnsi="Times New Roman" w:cs="Times New Roman"/>
          <w:kern w:val="0"/>
          <w:sz w:val="24"/>
          <w:szCs w:val="24"/>
        </w:rPr>
        <w:t>аспірантами</w:t>
      </w:r>
      <w:r w:rsidRPr="009D7C45">
        <w:rPr>
          <w:rFonts w:ascii="Times New Roman" w:hAnsi="Times New Roman" w:cs="Times New Roman"/>
          <w:kern w:val="0"/>
          <w:sz w:val="24"/>
          <w:szCs w:val="24"/>
        </w:rPr>
        <w:t>.</w:t>
      </w:r>
    </w:p>
    <w:p w14:paraId="7AD4CB03" w14:textId="77777777"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Укладіть угоду консорціуму щодо питань інтелектуальної власності та ініціатив із розвитку стартапів.</w:t>
      </w:r>
    </w:p>
    <w:p w14:paraId="507D3716" w14:textId="77777777" w:rsidR="00AC5A65" w:rsidRPr="009D7C45" w:rsidRDefault="00AC5A65" w:rsidP="009C3B79">
      <w:pPr>
        <w:numPr>
          <w:ilvl w:val="0"/>
          <w:numId w:val="86"/>
        </w:numPr>
        <w:autoSpaceDE w:val="0"/>
        <w:autoSpaceDN w:val="0"/>
        <w:adjustRightInd w:val="0"/>
        <w:spacing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Призначте омбудсмена як посередника між керівництвом і докторантами, а також створіть комітет для вирішення етичних питань.</w:t>
      </w:r>
    </w:p>
    <w:p w14:paraId="3A158E82" w14:textId="7D731AC7" w:rsidR="00AC5A65" w:rsidRPr="009D7C45" w:rsidRDefault="009C3B79" w:rsidP="007022BE">
      <w:pPr>
        <w:numPr>
          <w:ilvl w:val="0"/>
          <w:numId w:val="86"/>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hyperlink r:id="rId67" w:history="1">
        <w:r w:rsidR="00AC5A65" w:rsidRPr="009C3B79">
          <w:rPr>
            <w:rStyle w:val="a8"/>
            <w:rFonts w:ascii="Times New Roman" w:hAnsi="Times New Roman" w:cs="Times New Roman"/>
            <w:sz w:val="24"/>
            <w:szCs w:val="24"/>
          </w:rPr>
          <w:t>Веб-сайт Eu</w:t>
        </w:r>
        <w:r w:rsidR="00AC5A65" w:rsidRPr="009C3B79">
          <w:rPr>
            <w:rStyle w:val="a8"/>
            <w:rFonts w:ascii="Times New Roman" w:hAnsi="Times New Roman" w:cs="Times New Roman"/>
            <w:sz w:val="24"/>
            <w:szCs w:val="24"/>
          </w:rPr>
          <w:t>r</w:t>
        </w:r>
        <w:r w:rsidR="00AC5A65" w:rsidRPr="009C3B79">
          <w:rPr>
            <w:rStyle w:val="a8"/>
            <w:rFonts w:ascii="Times New Roman" w:hAnsi="Times New Roman" w:cs="Times New Roman"/>
            <w:sz w:val="24"/>
            <w:szCs w:val="24"/>
          </w:rPr>
          <w:t>axess</w:t>
        </w:r>
      </w:hyperlink>
      <w:r w:rsidR="00AC5A65" w:rsidRPr="009D7C45">
        <w:rPr>
          <w:rFonts w:ascii="Times New Roman" w:hAnsi="Times New Roman" w:cs="Times New Roman"/>
          <w:kern w:val="0"/>
          <w:sz w:val="24"/>
          <w:szCs w:val="24"/>
        </w:rPr>
        <w:t xml:space="preserve"> пропонує корисну інформацію для </w:t>
      </w:r>
      <w:r>
        <w:rPr>
          <w:rFonts w:ascii="Times New Roman" w:hAnsi="Times New Roman" w:cs="Times New Roman"/>
          <w:kern w:val="0"/>
          <w:sz w:val="24"/>
          <w:szCs w:val="24"/>
        </w:rPr>
        <w:t>аспірантів</w:t>
      </w:r>
      <w:r w:rsidR="00AC5A65" w:rsidRPr="009D7C45">
        <w:rPr>
          <w:rFonts w:ascii="Times New Roman" w:hAnsi="Times New Roman" w:cs="Times New Roman"/>
          <w:kern w:val="0"/>
          <w:sz w:val="24"/>
          <w:szCs w:val="24"/>
        </w:rPr>
        <w:t xml:space="preserve"> та адміністраторів закладів вищої освіти.</w:t>
      </w:r>
    </w:p>
    <w:p w14:paraId="7BB9D3C5" w14:textId="49381A9C" w:rsidR="001C1F18" w:rsidRPr="007022BE" w:rsidRDefault="001C1F18" w:rsidP="009D7C45">
      <w:pPr>
        <w:pStyle w:val="2"/>
        <w:spacing w:before="100" w:beforeAutospacing="1" w:after="100" w:afterAutospacing="1" w:line="240" w:lineRule="auto"/>
        <w:rPr>
          <w:rFonts w:ascii="Times New Roman" w:hAnsi="Times New Roman" w:cs="Times New Roman"/>
          <w:b/>
          <w:bCs/>
          <w:sz w:val="24"/>
          <w:szCs w:val="24"/>
        </w:rPr>
      </w:pPr>
      <w:bookmarkStart w:id="41" w:name="_Toc188337465"/>
      <w:r w:rsidRPr="007022BE">
        <w:rPr>
          <w:rFonts w:ascii="Times New Roman" w:hAnsi="Times New Roman" w:cs="Times New Roman"/>
          <w:b/>
          <w:bCs/>
          <w:sz w:val="24"/>
          <w:szCs w:val="24"/>
        </w:rPr>
        <w:t>14.</w:t>
      </w:r>
      <w:r w:rsidR="00C35395" w:rsidRPr="007022BE">
        <w:rPr>
          <w:rFonts w:ascii="Times New Roman" w:hAnsi="Times New Roman" w:cs="Times New Roman"/>
          <w:b/>
          <w:bCs/>
          <w:sz w:val="24"/>
          <w:szCs w:val="24"/>
        </w:rPr>
        <w:t>1</w:t>
      </w:r>
      <w:r w:rsidRPr="007022BE">
        <w:rPr>
          <w:rFonts w:ascii="Times New Roman" w:hAnsi="Times New Roman" w:cs="Times New Roman"/>
          <w:b/>
          <w:bCs/>
          <w:sz w:val="24"/>
          <w:szCs w:val="24"/>
        </w:rPr>
        <w:t>.</w:t>
      </w:r>
      <w:r w:rsidR="00FC4D59" w:rsidRPr="007022BE">
        <w:rPr>
          <w:rFonts w:ascii="Times New Roman" w:hAnsi="Times New Roman" w:cs="Times New Roman"/>
          <w:b/>
          <w:bCs/>
          <w:sz w:val="24"/>
          <w:szCs w:val="24"/>
        </w:rPr>
        <w:t xml:space="preserve"> </w:t>
      </w:r>
      <w:r w:rsidRPr="007022BE">
        <w:rPr>
          <w:rFonts w:ascii="Times New Roman" w:hAnsi="Times New Roman" w:cs="Times New Roman"/>
          <w:b/>
          <w:bCs/>
          <w:sz w:val="24"/>
          <w:szCs w:val="24"/>
        </w:rPr>
        <w:t>Характер і додана вартість</w:t>
      </w:r>
      <w:bookmarkEnd w:id="41"/>
    </w:p>
    <w:p w14:paraId="7429A2C1" w14:textId="1AADBFEE" w:rsidR="001C1F18" w:rsidRPr="009D7C45" w:rsidRDefault="003B4A6F" w:rsidP="00237717">
      <w:pPr>
        <w:autoSpaceDE w:val="0"/>
        <w:autoSpaceDN w:val="0"/>
        <w:adjustRightInd w:val="0"/>
        <w:spacing w:before="100" w:beforeAutospacing="1" w:after="0"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Докторські програми мають інтенсивну дослідницьку спрямованість, що відрізняє їх від магістерських програм. Наприклад, вони передбачають тісніший зв’язок між докторантами та науково-педагогічним персоналом. Докторські програми більше зосереджені на створенні нових досліджень та розвитку інноваційного мислення.</w:t>
      </w:r>
      <w:r w:rsidR="00237717">
        <w:rPr>
          <w:rFonts w:ascii="Times New Roman" w:hAnsi="Times New Roman" w:cs="Times New Roman"/>
          <w:kern w:val="0"/>
          <w:sz w:val="24"/>
          <w:szCs w:val="24"/>
        </w:rPr>
        <w:t xml:space="preserve"> </w:t>
      </w:r>
      <w:r w:rsidR="001C1F18" w:rsidRPr="009D7C45">
        <w:rPr>
          <w:rFonts w:ascii="Times New Roman" w:hAnsi="Times New Roman" w:cs="Times New Roman"/>
          <w:kern w:val="0"/>
          <w:sz w:val="24"/>
          <w:szCs w:val="24"/>
        </w:rPr>
        <w:t>Порівняно з</w:t>
      </w:r>
      <w:r w:rsidRPr="009D7C45">
        <w:rPr>
          <w:rFonts w:ascii="Times New Roman" w:hAnsi="Times New Roman" w:cs="Times New Roman"/>
          <w:kern w:val="0"/>
          <w:sz w:val="24"/>
          <w:szCs w:val="24"/>
        </w:rPr>
        <w:t>і</w:t>
      </w:r>
      <w:r w:rsidR="001C1F18" w:rsidRPr="009D7C45">
        <w:rPr>
          <w:rFonts w:ascii="Times New Roman" w:hAnsi="Times New Roman" w:cs="Times New Roman"/>
          <w:kern w:val="0"/>
          <w:sz w:val="24"/>
          <w:szCs w:val="24"/>
        </w:rPr>
        <w:t xml:space="preserve"> спільни</w:t>
      </w:r>
      <w:r w:rsidRPr="009D7C45">
        <w:rPr>
          <w:rFonts w:ascii="Times New Roman" w:hAnsi="Times New Roman" w:cs="Times New Roman"/>
          <w:kern w:val="0"/>
          <w:sz w:val="24"/>
          <w:szCs w:val="24"/>
        </w:rPr>
        <w:t>ми</w:t>
      </w:r>
      <w:r w:rsidR="001C1F18" w:rsidRPr="009D7C45">
        <w:rPr>
          <w:rFonts w:ascii="Times New Roman" w:hAnsi="Times New Roman" w:cs="Times New Roman"/>
          <w:kern w:val="0"/>
          <w:sz w:val="24"/>
          <w:szCs w:val="24"/>
        </w:rPr>
        <w:t xml:space="preserve"> магістерськи</w:t>
      </w:r>
      <w:r w:rsidRPr="009D7C45">
        <w:rPr>
          <w:rFonts w:ascii="Times New Roman" w:hAnsi="Times New Roman" w:cs="Times New Roman"/>
          <w:kern w:val="0"/>
          <w:sz w:val="24"/>
          <w:szCs w:val="24"/>
        </w:rPr>
        <w:t>ми</w:t>
      </w:r>
      <w:r w:rsidR="001C1F18" w:rsidRPr="009D7C45">
        <w:rPr>
          <w:rFonts w:ascii="Times New Roman" w:hAnsi="Times New Roman" w:cs="Times New Roman"/>
          <w:kern w:val="0"/>
          <w:sz w:val="24"/>
          <w:szCs w:val="24"/>
        </w:rPr>
        <w:t xml:space="preserve"> програм</w:t>
      </w:r>
      <w:r w:rsidRPr="009D7C45">
        <w:rPr>
          <w:rFonts w:ascii="Times New Roman" w:hAnsi="Times New Roman" w:cs="Times New Roman"/>
          <w:kern w:val="0"/>
          <w:sz w:val="24"/>
          <w:szCs w:val="24"/>
        </w:rPr>
        <w:t>ами</w:t>
      </w:r>
      <w:r w:rsidR="001C1F18" w:rsidRPr="009D7C45">
        <w:rPr>
          <w:rFonts w:ascii="Times New Roman" w:hAnsi="Times New Roman" w:cs="Times New Roman"/>
          <w:color w:val="000000"/>
          <w:kern w:val="0"/>
          <w:sz w:val="24"/>
          <w:szCs w:val="24"/>
        </w:rPr>
        <w:t xml:space="preserve"> спільні докторські програми мають два додаткові елементи доданої вартості:</w:t>
      </w:r>
    </w:p>
    <w:p w14:paraId="223139FA" w14:textId="73540ABD" w:rsidR="00851A09" w:rsidRPr="009D7C45" w:rsidRDefault="00851A09" w:rsidP="00237717">
      <w:pPr>
        <w:numPr>
          <w:ilvl w:val="0"/>
          <w:numId w:val="93"/>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вони можуть забезпечити </w:t>
      </w:r>
      <w:r w:rsidR="006C5674">
        <w:rPr>
          <w:rFonts w:ascii="Times New Roman" w:hAnsi="Times New Roman" w:cs="Times New Roman"/>
          <w:kern w:val="0"/>
          <w:sz w:val="24"/>
          <w:szCs w:val="24"/>
        </w:rPr>
        <w:t>стійку</w:t>
      </w:r>
      <w:r w:rsidRPr="009D7C45">
        <w:rPr>
          <w:rFonts w:ascii="Times New Roman" w:hAnsi="Times New Roman" w:cs="Times New Roman"/>
          <w:kern w:val="0"/>
          <w:sz w:val="24"/>
          <w:szCs w:val="24"/>
        </w:rPr>
        <w:t xml:space="preserve"> структуру для тривалої дослідницької співпраці між закладами</w:t>
      </w:r>
      <w:r w:rsidR="006C5674">
        <w:rPr>
          <w:rFonts w:ascii="Times New Roman" w:hAnsi="Times New Roman" w:cs="Times New Roman"/>
          <w:kern w:val="0"/>
          <w:sz w:val="24"/>
          <w:szCs w:val="24"/>
        </w:rPr>
        <w:t xml:space="preserve"> вищої освіти</w:t>
      </w:r>
      <w:r w:rsidRPr="009D7C45">
        <w:rPr>
          <w:rFonts w:ascii="Times New Roman" w:hAnsi="Times New Roman" w:cs="Times New Roman"/>
          <w:kern w:val="0"/>
          <w:sz w:val="24"/>
          <w:szCs w:val="24"/>
        </w:rPr>
        <w:t xml:space="preserve"> з різних країн (виводячи досвід спільного </w:t>
      </w:r>
      <w:r w:rsidR="006C5674">
        <w:rPr>
          <w:rFonts w:ascii="Times New Roman" w:hAnsi="Times New Roman" w:cs="Times New Roman"/>
          <w:kern w:val="0"/>
          <w:sz w:val="24"/>
          <w:szCs w:val="24"/>
        </w:rPr>
        <w:t xml:space="preserve">наукового </w:t>
      </w:r>
      <w:r w:rsidRPr="009D7C45">
        <w:rPr>
          <w:rFonts w:ascii="Times New Roman" w:hAnsi="Times New Roman" w:cs="Times New Roman"/>
          <w:kern w:val="0"/>
          <w:sz w:val="24"/>
          <w:szCs w:val="24"/>
        </w:rPr>
        <w:t>керівництва на новий рівень),</w:t>
      </w:r>
    </w:p>
    <w:p w14:paraId="2AC4D9C6" w14:textId="433A7E23" w:rsidR="001C1F18" w:rsidRPr="009D7C45" w:rsidRDefault="00851A09" w:rsidP="00597256">
      <w:pPr>
        <w:numPr>
          <w:ilvl w:val="0"/>
          <w:numId w:val="93"/>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спільні докторські програми сприяють розвитку дослідницької діяльності закладів</w:t>
      </w:r>
      <w:r w:rsidR="006C5674">
        <w:rPr>
          <w:rFonts w:ascii="Times New Roman" w:hAnsi="Times New Roman" w:cs="Times New Roman"/>
          <w:kern w:val="0"/>
          <w:sz w:val="24"/>
          <w:szCs w:val="24"/>
        </w:rPr>
        <w:t xml:space="preserve"> вищої освіти</w:t>
      </w:r>
      <w:r w:rsidRPr="009D7C45">
        <w:rPr>
          <w:rFonts w:ascii="Times New Roman" w:hAnsi="Times New Roman" w:cs="Times New Roman"/>
          <w:kern w:val="0"/>
          <w:sz w:val="24"/>
          <w:szCs w:val="24"/>
        </w:rPr>
        <w:t xml:space="preserve"> та можуть підвищити якість наукових досліджень.</w:t>
      </w:r>
    </w:p>
    <w:p w14:paraId="15BEBB29" w14:textId="5E5FF7A5" w:rsidR="001C1F18" w:rsidRPr="007022BE" w:rsidRDefault="001C1F18" w:rsidP="009D7C45">
      <w:pPr>
        <w:pStyle w:val="2"/>
        <w:spacing w:before="100" w:beforeAutospacing="1" w:after="100" w:afterAutospacing="1" w:line="240" w:lineRule="auto"/>
        <w:rPr>
          <w:rFonts w:ascii="Times New Roman" w:hAnsi="Times New Roman" w:cs="Times New Roman"/>
          <w:b/>
          <w:bCs/>
          <w:sz w:val="24"/>
          <w:szCs w:val="24"/>
        </w:rPr>
      </w:pPr>
      <w:bookmarkStart w:id="42" w:name="_Toc188337466"/>
      <w:r w:rsidRPr="007022BE">
        <w:rPr>
          <w:rFonts w:ascii="Times New Roman" w:hAnsi="Times New Roman" w:cs="Times New Roman"/>
          <w:b/>
          <w:bCs/>
          <w:sz w:val="24"/>
          <w:szCs w:val="24"/>
        </w:rPr>
        <w:t>14.</w:t>
      </w:r>
      <w:r w:rsidR="00E92B0C" w:rsidRPr="007022BE">
        <w:rPr>
          <w:rFonts w:ascii="Times New Roman" w:hAnsi="Times New Roman" w:cs="Times New Roman"/>
          <w:b/>
          <w:bCs/>
          <w:sz w:val="24"/>
          <w:szCs w:val="24"/>
        </w:rPr>
        <w:t>2</w:t>
      </w:r>
      <w:r w:rsidRPr="007022BE">
        <w:rPr>
          <w:rFonts w:ascii="Times New Roman" w:hAnsi="Times New Roman" w:cs="Times New Roman"/>
          <w:b/>
          <w:bCs/>
          <w:sz w:val="24"/>
          <w:szCs w:val="24"/>
        </w:rPr>
        <w:t>.</w:t>
      </w:r>
      <w:r w:rsidR="00FC4D59" w:rsidRPr="007022BE">
        <w:rPr>
          <w:rFonts w:ascii="Times New Roman" w:hAnsi="Times New Roman" w:cs="Times New Roman"/>
          <w:b/>
          <w:bCs/>
          <w:sz w:val="24"/>
          <w:szCs w:val="24"/>
        </w:rPr>
        <w:t xml:space="preserve"> </w:t>
      </w:r>
      <w:r w:rsidRPr="007022BE">
        <w:rPr>
          <w:rFonts w:ascii="Times New Roman" w:hAnsi="Times New Roman" w:cs="Times New Roman"/>
          <w:b/>
          <w:bCs/>
          <w:sz w:val="24"/>
          <w:szCs w:val="24"/>
        </w:rPr>
        <w:t>Роз</w:t>
      </w:r>
      <w:r w:rsidR="0019761F" w:rsidRPr="007022BE">
        <w:rPr>
          <w:rFonts w:ascii="Times New Roman" w:hAnsi="Times New Roman" w:cs="Times New Roman"/>
          <w:b/>
          <w:bCs/>
          <w:sz w:val="24"/>
          <w:szCs w:val="24"/>
        </w:rPr>
        <w:t>роб</w:t>
      </w:r>
      <w:r w:rsidR="00E92B0C" w:rsidRPr="007022BE">
        <w:rPr>
          <w:rFonts w:ascii="Times New Roman" w:hAnsi="Times New Roman" w:cs="Times New Roman"/>
          <w:b/>
          <w:bCs/>
          <w:sz w:val="24"/>
          <w:szCs w:val="24"/>
        </w:rPr>
        <w:t xml:space="preserve">лення </w:t>
      </w:r>
      <w:r w:rsidRPr="007022BE">
        <w:rPr>
          <w:rFonts w:ascii="Times New Roman" w:hAnsi="Times New Roman" w:cs="Times New Roman"/>
          <w:b/>
          <w:bCs/>
          <w:sz w:val="24"/>
          <w:szCs w:val="24"/>
        </w:rPr>
        <w:t>спільних докторських програм</w:t>
      </w:r>
      <w:bookmarkEnd w:id="42"/>
    </w:p>
    <w:p w14:paraId="78281BB7" w14:textId="07B7E17F" w:rsidR="001C1F18" w:rsidRPr="009D7C45" w:rsidRDefault="00610ED3" w:rsidP="009A17A0">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sz w:val="24"/>
          <w:szCs w:val="24"/>
        </w:rPr>
        <w:t>П</w:t>
      </w:r>
      <w:r w:rsidR="001C1F18" w:rsidRPr="009D7C45">
        <w:rPr>
          <w:rFonts w:ascii="Times New Roman" w:hAnsi="Times New Roman" w:cs="Times New Roman"/>
          <w:color w:val="000000"/>
          <w:kern w:val="0"/>
          <w:sz w:val="24"/>
          <w:szCs w:val="24"/>
        </w:rPr>
        <w:t>рактичн</w:t>
      </w:r>
      <w:r>
        <w:rPr>
          <w:rFonts w:ascii="Times New Roman" w:hAnsi="Times New Roman" w:cs="Times New Roman"/>
          <w:color w:val="000000"/>
          <w:kern w:val="0"/>
          <w:sz w:val="24"/>
          <w:szCs w:val="24"/>
        </w:rPr>
        <w:t>і</w:t>
      </w:r>
      <w:r w:rsidR="001C1F18" w:rsidRPr="009D7C45">
        <w:rPr>
          <w:rFonts w:ascii="Times New Roman" w:hAnsi="Times New Roman" w:cs="Times New Roman"/>
          <w:color w:val="000000"/>
          <w:kern w:val="0"/>
          <w:sz w:val="24"/>
          <w:szCs w:val="24"/>
        </w:rPr>
        <w:t xml:space="preserve"> крок</w:t>
      </w:r>
      <w:r>
        <w:rPr>
          <w:rFonts w:ascii="Times New Roman" w:hAnsi="Times New Roman" w:cs="Times New Roman"/>
          <w:color w:val="000000"/>
          <w:kern w:val="0"/>
          <w:sz w:val="24"/>
          <w:szCs w:val="24"/>
        </w:rPr>
        <w:t>и</w:t>
      </w:r>
      <w:r w:rsidR="001C1F18" w:rsidRPr="009D7C45">
        <w:rPr>
          <w:rFonts w:ascii="Times New Roman" w:hAnsi="Times New Roman" w:cs="Times New Roman"/>
          <w:color w:val="000000"/>
          <w:kern w:val="0"/>
          <w:sz w:val="24"/>
          <w:szCs w:val="24"/>
        </w:rPr>
        <w:t>, які необхідно здійснити при розроб</w:t>
      </w:r>
      <w:r>
        <w:rPr>
          <w:rFonts w:ascii="Times New Roman" w:hAnsi="Times New Roman" w:cs="Times New Roman"/>
          <w:color w:val="000000"/>
          <w:kern w:val="0"/>
          <w:sz w:val="24"/>
          <w:szCs w:val="24"/>
        </w:rPr>
        <w:t xml:space="preserve">ленні </w:t>
      </w:r>
      <w:r w:rsidR="001C1F18" w:rsidRPr="009D7C45">
        <w:rPr>
          <w:rFonts w:ascii="Times New Roman" w:hAnsi="Times New Roman" w:cs="Times New Roman"/>
          <w:color w:val="000000"/>
          <w:kern w:val="0"/>
          <w:sz w:val="24"/>
          <w:szCs w:val="24"/>
        </w:rPr>
        <w:t>спільних докторських програм, зокрема:</w:t>
      </w:r>
    </w:p>
    <w:p w14:paraId="10C92038" w14:textId="34BD9FD1"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визнач</w:t>
      </w:r>
      <w:r w:rsidR="00B66B97" w:rsidRPr="009D7C45">
        <w:rPr>
          <w:rFonts w:ascii="Times New Roman" w:hAnsi="Times New Roman" w:cs="Times New Roman"/>
          <w:kern w:val="0"/>
          <w:sz w:val="24"/>
          <w:szCs w:val="24"/>
        </w:rPr>
        <w:t>те</w:t>
      </w:r>
      <w:r w:rsidRPr="009D7C45">
        <w:rPr>
          <w:rFonts w:ascii="Times New Roman" w:hAnsi="Times New Roman" w:cs="Times New Roman"/>
          <w:kern w:val="0"/>
          <w:sz w:val="24"/>
          <w:szCs w:val="24"/>
        </w:rPr>
        <w:t xml:space="preserve">, які адміністративні органи </w:t>
      </w:r>
      <w:r w:rsidR="009A17A0">
        <w:rPr>
          <w:rFonts w:ascii="Times New Roman" w:hAnsi="Times New Roman" w:cs="Times New Roman"/>
          <w:kern w:val="0"/>
          <w:sz w:val="24"/>
          <w:szCs w:val="24"/>
        </w:rPr>
        <w:t xml:space="preserve">закладу </w:t>
      </w:r>
      <w:r w:rsidRPr="009D7C45">
        <w:rPr>
          <w:rFonts w:ascii="Times New Roman" w:hAnsi="Times New Roman" w:cs="Times New Roman"/>
          <w:kern w:val="0"/>
          <w:sz w:val="24"/>
          <w:szCs w:val="24"/>
        </w:rPr>
        <w:t>відповіда</w:t>
      </w:r>
      <w:r w:rsidR="00011FFD" w:rsidRPr="009D7C45">
        <w:rPr>
          <w:rFonts w:ascii="Times New Roman" w:hAnsi="Times New Roman" w:cs="Times New Roman"/>
          <w:kern w:val="0"/>
          <w:sz w:val="24"/>
          <w:szCs w:val="24"/>
        </w:rPr>
        <w:t>ють</w:t>
      </w:r>
      <w:r w:rsidRPr="009D7C45">
        <w:rPr>
          <w:rFonts w:ascii="Times New Roman" w:hAnsi="Times New Roman" w:cs="Times New Roman"/>
          <w:kern w:val="0"/>
          <w:sz w:val="24"/>
          <w:szCs w:val="24"/>
        </w:rPr>
        <w:t xml:space="preserve"> за </w:t>
      </w:r>
      <w:r w:rsidR="009A17A0">
        <w:rPr>
          <w:rFonts w:ascii="Times New Roman" w:hAnsi="Times New Roman" w:cs="Times New Roman"/>
          <w:kern w:val="0"/>
          <w:sz w:val="24"/>
          <w:szCs w:val="24"/>
        </w:rPr>
        <w:t>аспірантів;</w:t>
      </w:r>
    </w:p>
    <w:p w14:paraId="0EE5BEF1" w14:textId="6052F217"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плану</w:t>
      </w:r>
      <w:r w:rsidR="00B66B97" w:rsidRPr="009D7C45">
        <w:rPr>
          <w:rFonts w:ascii="Times New Roman" w:hAnsi="Times New Roman" w:cs="Times New Roman"/>
          <w:kern w:val="0"/>
          <w:sz w:val="24"/>
          <w:szCs w:val="24"/>
        </w:rPr>
        <w:t>йте</w:t>
      </w:r>
      <w:r w:rsidRPr="009D7C45">
        <w:rPr>
          <w:rFonts w:ascii="Times New Roman" w:hAnsi="Times New Roman" w:cs="Times New Roman"/>
          <w:kern w:val="0"/>
          <w:sz w:val="24"/>
          <w:szCs w:val="24"/>
        </w:rPr>
        <w:t xml:space="preserve"> фінанси з урахуванням непередбачуваних </w:t>
      </w:r>
      <w:r w:rsidR="00B66B97" w:rsidRPr="009D7C45">
        <w:rPr>
          <w:rFonts w:ascii="Times New Roman" w:hAnsi="Times New Roman" w:cs="Times New Roman"/>
          <w:kern w:val="0"/>
          <w:sz w:val="24"/>
          <w:szCs w:val="24"/>
        </w:rPr>
        <w:t>витрат</w:t>
      </w:r>
      <w:r w:rsidR="009A17A0">
        <w:rPr>
          <w:rFonts w:ascii="Times New Roman" w:hAnsi="Times New Roman" w:cs="Times New Roman"/>
          <w:kern w:val="0"/>
          <w:sz w:val="24"/>
          <w:szCs w:val="24"/>
        </w:rPr>
        <w:t>;</w:t>
      </w:r>
    </w:p>
    <w:p w14:paraId="1EDAD8AD" w14:textId="106C8BEC"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укла</w:t>
      </w:r>
      <w:r w:rsidR="00B66B97" w:rsidRPr="009D7C45">
        <w:rPr>
          <w:rFonts w:ascii="Times New Roman" w:hAnsi="Times New Roman" w:cs="Times New Roman"/>
          <w:kern w:val="0"/>
          <w:sz w:val="24"/>
          <w:szCs w:val="24"/>
        </w:rPr>
        <w:t>діть</w:t>
      </w:r>
      <w:r w:rsidRPr="009D7C45">
        <w:rPr>
          <w:rFonts w:ascii="Times New Roman" w:hAnsi="Times New Roman" w:cs="Times New Roman"/>
          <w:kern w:val="0"/>
          <w:sz w:val="24"/>
          <w:szCs w:val="24"/>
        </w:rPr>
        <w:t xml:space="preserve"> </w:t>
      </w:r>
      <w:r w:rsidR="00B66B97" w:rsidRPr="009D7C45">
        <w:rPr>
          <w:rFonts w:ascii="Times New Roman" w:hAnsi="Times New Roman" w:cs="Times New Roman"/>
          <w:kern w:val="0"/>
          <w:sz w:val="24"/>
          <w:szCs w:val="24"/>
        </w:rPr>
        <w:t xml:space="preserve">угоду </w:t>
      </w:r>
      <w:r w:rsidRPr="009D7C45">
        <w:rPr>
          <w:rFonts w:ascii="Times New Roman" w:hAnsi="Times New Roman" w:cs="Times New Roman"/>
          <w:kern w:val="0"/>
          <w:sz w:val="24"/>
          <w:szCs w:val="24"/>
        </w:rPr>
        <w:t>консорціу</w:t>
      </w:r>
      <w:r w:rsidR="00B66B97" w:rsidRPr="009D7C45">
        <w:rPr>
          <w:rFonts w:ascii="Times New Roman" w:hAnsi="Times New Roman" w:cs="Times New Roman"/>
          <w:kern w:val="0"/>
          <w:sz w:val="24"/>
          <w:szCs w:val="24"/>
        </w:rPr>
        <w:t>м</w:t>
      </w:r>
      <w:r w:rsidRPr="009D7C45">
        <w:rPr>
          <w:rFonts w:ascii="Times New Roman" w:hAnsi="Times New Roman" w:cs="Times New Roman"/>
          <w:kern w:val="0"/>
          <w:sz w:val="24"/>
          <w:szCs w:val="24"/>
        </w:rPr>
        <w:t xml:space="preserve">у щодо інтелектуальної власності та </w:t>
      </w:r>
      <w:r w:rsidR="00B66B97" w:rsidRPr="009D7C45">
        <w:rPr>
          <w:rFonts w:ascii="Times New Roman" w:hAnsi="Times New Roman" w:cs="Times New Roman"/>
          <w:kern w:val="0"/>
          <w:sz w:val="24"/>
          <w:szCs w:val="24"/>
        </w:rPr>
        <w:t>ініціатив з розвитку стартапів</w:t>
      </w:r>
      <w:r w:rsidR="009A17A0">
        <w:rPr>
          <w:rFonts w:ascii="Times New Roman" w:hAnsi="Times New Roman" w:cs="Times New Roman"/>
          <w:kern w:val="0"/>
          <w:sz w:val="24"/>
          <w:szCs w:val="24"/>
        </w:rPr>
        <w:t>;</w:t>
      </w:r>
    </w:p>
    <w:p w14:paraId="4CB7365F" w14:textId="0ABC9E5C"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укла</w:t>
      </w:r>
      <w:r w:rsidR="00B66B97" w:rsidRPr="009D7C45">
        <w:rPr>
          <w:rFonts w:ascii="Times New Roman" w:hAnsi="Times New Roman" w:cs="Times New Roman"/>
          <w:kern w:val="0"/>
          <w:sz w:val="24"/>
          <w:szCs w:val="24"/>
        </w:rPr>
        <w:t>діть</w:t>
      </w:r>
      <w:r w:rsidRPr="009D7C45">
        <w:rPr>
          <w:rFonts w:ascii="Times New Roman" w:hAnsi="Times New Roman" w:cs="Times New Roman"/>
          <w:kern w:val="0"/>
          <w:sz w:val="24"/>
          <w:szCs w:val="24"/>
        </w:rPr>
        <w:t xml:space="preserve"> трудові договори з </w:t>
      </w:r>
      <w:r w:rsidR="009A17A0">
        <w:rPr>
          <w:rFonts w:ascii="Times New Roman" w:hAnsi="Times New Roman" w:cs="Times New Roman"/>
          <w:kern w:val="0"/>
          <w:sz w:val="24"/>
          <w:szCs w:val="24"/>
        </w:rPr>
        <w:t>аспірантами (за можливості);</w:t>
      </w:r>
    </w:p>
    <w:p w14:paraId="2BADA5F7" w14:textId="3A288BD3"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створ</w:t>
      </w:r>
      <w:r w:rsidR="00B66B97" w:rsidRPr="009D7C45">
        <w:rPr>
          <w:rFonts w:ascii="Times New Roman" w:hAnsi="Times New Roman" w:cs="Times New Roman"/>
          <w:kern w:val="0"/>
          <w:sz w:val="24"/>
          <w:szCs w:val="24"/>
        </w:rPr>
        <w:t>іть</w:t>
      </w:r>
      <w:r w:rsidRPr="009D7C45">
        <w:rPr>
          <w:rFonts w:ascii="Times New Roman" w:hAnsi="Times New Roman" w:cs="Times New Roman"/>
          <w:kern w:val="0"/>
          <w:sz w:val="24"/>
          <w:szCs w:val="24"/>
        </w:rPr>
        <w:t xml:space="preserve"> </w:t>
      </w:r>
      <w:r w:rsidR="009A17A0">
        <w:rPr>
          <w:rFonts w:ascii="Times New Roman" w:hAnsi="Times New Roman" w:cs="Times New Roman"/>
          <w:kern w:val="0"/>
          <w:sz w:val="24"/>
          <w:szCs w:val="24"/>
        </w:rPr>
        <w:t>і</w:t>
      </w:r>
      <w:r w:rsidRPr="009D7C45">
        <w:rPr>
          <w:rFonts w:ascii="Times New Roman" w:hAnsi="Times New Roman" w:cs="Times New Roman"/>
          <w:kern w:val="0"/>
          <w:sz w:val="24"/>
          <w:szCs w:val="24"/>
        </w:rPr>
        <w:t xml:space="preserve"> впровад</w:t>
      </w:r>
      <w:r w:rsidR="00B66B97" w:rsidRPr="009D7C45">
        <w:rPr>
          <w:rFonts w:ascii="Times New Roman" w:hAnsi="Times New Roman" w:cs="Times New Roman"/>
          <w:kern w:val="0"/>
          <w:sz w:val="24"/>
          <w:szCs w:val="24"/>
        </w:rPr>
        <w:t>ьте</w:t>
      </w:r>
      <w:r w:rsidRPr="009D7C45">
        <w:rPr>
          <w:rFonts w:ascii="Times New Roman" w:hAnsi="Times New Roman" w:cs="Times New Roman"/>
          <w:kern w:val="0"/>
          <w:sz w:val="24"/>
          <w:szCs w:val="24"/>
        </w:rPr>
        <w:t xml:space="preserve"> систему забезпечення якості </w:t>
      </w:r>
      <w:r w:rsidR="009A17A0">
        <w:rPr>
          <w:rFonts w:ascii="Times New Roman" w:hAnsi="Times New Roman" w:cs="Times New Roman"/>
          <w:kern w:val="0"/>
          <w:sz w:val="24"/>
          <w:szCs w:val="24"/>
        </w:rPr>
        <w:t xml:space="preserve">спільної </w:t>
      </w:r>
      <w:r w:rsidRPr="009D7C45">
        <w:rPr>
          <w:rFonts w:ascii="Times New Roman" w:hAnsi="Times New Roman" w:cs="Times New Roman"/>
          <w:kern w:val="0"/>
          <w:sz w:val="24"/>
          <w:szCs w:val="24"/>
        </w:rPr>
        <w:t>програми</w:t>
      </w:r>
      <w:r w:rsidR="009A17A0">
        <w:rPr>
          <w:rFonts w:ascii="Times New Roman" w:hAnsi="Times New Roman" w:cs="Times New Roman"/>
          <w:kern w:val="0"/>
          <w:sz w:val="24"/>
          <w:szCs w:val="24"/>
        </w:rPr>
        <w:t>;</w:t>
      </w:r>
    </w:p>
    <w:p w14:paraId="3FC4CB33" w14:textId="6071BB1E"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розроб</w:t>
      </w:r>
      <w:r w:rsidR="00B66B97" w:rsidRPr="009D7C45">
        <w:rPr>
          <w:rFonts w:ascii="Times New Roman" w:hAnsi="Times New Roman" w:cs="Times New Roman"/>
          <w:kern w:val="0"/>
          <w:sz w:val="24"/>
          <w:szCs w:val="24"/>
        </w:rPr>
        <w:t>іть</w:t>
      </w:r>
      <w:r w:rsidRPr="009D7C45">
        <w:rPr>
          <w:rFonts w:ascii="Times New Roman" w:hAnsi="Times New Roman" w:cs="Times New Roman"/>
          <w:kern w:val="0"/>
          <w:sz w:val="24"/>
          <w:szCs w:val="24"/>
        </w:rPr>
        <w:t xml:space="preserve"> послідовну стратегію інтернаціоналізації</w:t>
      </w:r>
      <w:r w:rsidR="009A17A0">
        <w:rPr>
          <w:rFonts w:ascii="Times New Roman" w:hAnsi="Times New Roman" w:cs="Times New Roman"/>
          <w:kern w:val="0"/>
          <w:sz w:val="24"/>
          <w:szCs w:val="24"/>
        </w:rPr>
        <w:t>;</w:t>
      </w:r>
    </w:p>
    <w:p w14:paraId="7BB42E87" w14:textId="3BD7CD31" w:rsidR="001C1F18" w:rsidRPr="009D7C45" w:rsidRDefault="001C1F18" w:rsidP="009A17A0">
      <w:pPr>
        <w:numPr>
          <w:ilvl w:val="0"/>
          <w:numId w:val="87"/>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розроб</w:t>
      </w:r>
      <w:r w:rsidR="00B66B97" w:rsidRPr="009D7C45">
        <w:rPr>
          <w:rFonts w:ascii="Times New Roman" w:hAnsi="Times New Roman" w:cs="Times New Roman"/>
          <w:kern w:val="0"/>
          <w:sz w:val="24"/>
          <w:szCs w:val="24"/>
        </w:rPr>
        <w:t>іть</w:t>
      </w:r>
      <w:r w:rsidRPr="009D7C45">
        <w:rPr>
          <w:rFonts w:ascii="Times New Roman" w:hAnsi="Times New Roman" w:cs="Times New Roman"/>
          <w:kern w:val="0"/>
          <w:sz w:val="24"/>
          <w:szCs w:val="24"/>
        </w:rPr>
        <w:t xml:space="preserve"> </w:t>
      </w:r>
      <w:r w:rsidR="009A17A0">
        <w:rPr>
          <w:rFonts w:ascii="Times New Roman" w:hAnsi="Times New Roman" w:cs="Times New Roman"/>
          <w:kern w:val="0"/>
          <w:sz w:val="24"/>
          <w:szCs w:val="24"/>
        </w:rPr>
        <w:t>і</w:t>
      </w:r>
      <w:r w:rsidRPr="009D7C45">
        <w:rPr>
          <w:rFonts w:ascii="Times New Roman" w:hAnsi="Times New Roman" w:cs="Times New Roman"/>
          <w:kern w:val="0"/>
          <w:sz w:val="24"/>
          <w:szCs w:val="24"/>
        </w:rPr>
        <w:t xml:space="preserve"> впровад</w:t>
      </w:r>
      <w:r w:rsidR="00B66B97" w:rsidRPr="009D7C45">
        <w:rPr>
          <w:rFonts w:ascii="Times New Roman" w:hAnsi="Times New Roman" w:cs="Times New Roman"/>
          <w:kern w:val="0"/>
          <w:sz w:val="24"/>
          <w:szCs w:val="24"/>
        </w:rPr>
        <w:t>ьте</w:t>
      </w:r>
      <w:r w:rsidRPr="009D7C45">
        <w:rPr>
          <w:rFonts w:ascii="Times New Roman" w:hAnsi="Times New Roman" w:cs="Times New Roman"/>
          <w:kern w:val="0"/>
          <w:sz w:val="24"/>
          <w:szCs w:val="24"/>
        </w:rPr>
        <w:t xml:space="preserve"> маркетингову стратегію.</w:t>
      </w:r>
    </w:p>
    <w:p w14:paraId="2D84A761" w14:textId="0E13693D" w:rsidR="001C1F18" w:rsidRPr="009D7C45" w:rsidRDefault="008F2458"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8F2458">
        <w:rPr>
          <w:rFonts w:ascii="Times New Roman" w:hAnsi="Times New Roman" w:cs="Times New Roman"/>
          <w:kern w:val="0"/>
          <w:sz w:val="24"/>
          <w:szCs w:val="24"/>
        </w:rPr>
        <w:t>Також, проєкт ЄС</w:t>
      </w:r>
      <w:r>
        <w:rPr>
          <w:rFonts w:ascii="Times New Roman" w:hAnsi="Times New Roman" w:cs="Times New Roman"/>
          <w:color w:val="365F91" w:themeColor="accent1" w:themeShade="BF"/>
          <w:kern w:val="0"/>
          <w:sz w:val="24"/>
          <w:szCs w:val="24"/>
        </w:rPr>
        <w:t xml:space="preserve"> </w:t>
      </w:r>
      <w:hyperlink r:id="rId68" w:history="1">
        <w:r w:rsidR="001C1F18" w:rsidRPr="008F2458">
          <w:rPr>
            <w:rStyle w:val="a8"/>
            <w:rFonts w:ascii="Times New Roman" w:hAnsi="Times New Roman" w:cs="Times New Roman"/>
            <w:sz w:val="24"/>
            <w:szCs w:val="24"/>
          </w:rPr>
          <w:t>JOIMAN</w:t>
        </w:r>
      </w:hyperlink>
      <w:r w:rsidR="00B66B97" w:rsidRPr="009D7C45">
        <w:rPr>
          <w:rFonts w:ascii="Times New Roman" w:hAnsi="Times New Roman" w:cs="Times New Roman"/>
          <w:sz w:val="24"/>
          <w:szCs w:val="24"/>
        </w:rPr>
        <w:t xml:space="preserve"> надає рекомендації щодо аспектів, пов</w:t>
      </w:r>
      <w:r w:rsidR="00E82B6E" w:rsidRPr="009D7C45">
        <w:rPr>
          <w:rFonts w:ascii="Times New Roman" w:hAnsi="Times New Roman" w:cs="Times New Roman"/>
          <w:sz w:val="24"/>
          <w:szCs w:val="24"/>
        </w:rPr>
        <w:t>’</w:t>
      </w:r>
      <w:r w:rsidR="00B66B97" w:rsidRPr="009D7C45">
        <w:rPr>
          <w:rFonts w:ascii="Times New Roman" w:hAnsi="Times New Roman" w:cs="Times New Roman"/>
          <w:sz w:val="24"/>
          <w:szCs w:val="24"/>
        </w:rPr>
        <w:t xml:space="preserve">язаних з </w:t>
      </w:r>
      <w:r>
        <w:rPr>
          <w:rFonts w:ascii="Times New Roman" w:hAnsi="Times New Roman" w:cs="Times New Roman"/>
          <w:sz w:val="24"/>
          <w:szCs w:val="24"/>
        </w:rPr>
        <w:t>спільними</w:t>
      </w:r>
      <w:r w:rsidR="00B66B97" w:rsidRPr="009D7C45">
        <w:rPr>
          <w:rFonts w:ascii="Times New Roman" w:hAnsi="Times New Roman" w:cs="Times New Roman"/>
          <w:sz w:val="24"/>
          <w:szCs w:val="24"/>
        </w:rPr>
        <w:t xml:space="preserve"> докторськи</w:t>
      </w:r>
      <w:r>
        <w:rPr>
          <w:rFonts w:ascii="Times New Roman" w:hAnsi="Times New Roman" w:cs="Times New Roman"/>
          <w:sz w:val="24"/>
          <w:szCs w:val="24"/>
        </w:rPr>
        <w:t>ми</w:t>
      </w:r>
      <w:r w:rsidR="00B66B97" w:rsidRPr="009D7C45">
        <w:rPr>
          <w:rFonts w:ascii="Times New Roman" w:hAnsi="Times New Roman" w:cs="Times New Roman"/>
          <w:sz w:val="24"/>
          <w:szCs w:val="24"/>
        </w:rPr>
        <w:t xml:space="preserve"> програм</w:t>
      </w:r>
      <w:r>
        <w:rPr>
          <w:rFonts w:ascii="Times New Roman" w:hAnsi="Times New Roman" w:cs="Times New Roman"/>
          <w:sz w:val="24"/>
          <w:szCs w:val="24"/>
        </w:rPr>
        <w:t>ами</w:t>
      </w:r>
      <w:r w:rsidR="001C1F18" w:rsidRPr="009D7C45">
        <w:rPr>
          <w:rFonts w:ascii="Times New Roman" w:hAnsi="Times New Roman" w:cs="Times New Roman"/>
          <w:color w:val="000000"/>
          <w:kern w:val="0"/>
          <w:sz w:val="24"/>
          <w:szCs w:val="24"/>
        </w:rPr>
        <w:t>.</w:t>
      </w:r>
    </w:p>
    <w:p w14:paraId="4A12D57B" w14:textId="05B4C89F" w:rsidR="001C1F18" w:rsidRPr="009D7C45" w:rsidRDefault="00D10D89" w:rsidP="009D7C4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9D7C45">
        <w:rPr>
          <w:rFonts w:ascii="Times New Roman" w:hAnsi="Times New Roman" w:cs="Times New Roman"/>
          <w:color w:val="365F91" w:themeColor="accent1" w:themeShade="BF"/>
          <w:kern w:val="0"/>
          <w:sz w:val="24"/>
          <w:szCs w:val="24"/>
        </w:rPr>
        <w:lastRenderedPageBreak/>
        <w:t>Формування</w:t>
      </w:r>
      <w:r w:rsidR="001C1F18" w:rsidRPr="009D7C45">
        <w:rPr>
          <w:rFonts w:ascii="Times New Roman" w:hAnsi="Times New Roman" w:cs="Times New Roman"/>
          <w:color w:val="365F91" w:themeColor="accent1" w:themeShade="BF"/>
          <w:kern w:val="0"/>
          <w:sz w:val="24"/>
          <w:szCs w:val="24"/>
        </w:rPr>
        <w:t xml:space="preserve"> комплексного бачення </w:t>
      </w:r>
      <w:r w:rsidR="00B64DDF">
        <w:rPr>
          <w:rFonts w:ascii="Times New Roman" w:hAnsi="Times New Roman" w:cs="Times New Roman"/>
          <w:color w:val="365F91" w:themeColor="accent1" w:themeShade="BF"/>
          <w:kern w:val="0"/>
          <w:sz w:val="24"/>
          <w:szCs w:val="24"/>
        </w:rPr>
        <w:t>спільної докторської прогрми</w:t>
      </w:r>
    </w:p>
    <w:p w14:paraId="141038AD" w14:textId="714B7F33" w:rsidR="001C1F18" w:rsidRPr="009D7C45" w:rsidRDefault="00B64DDF"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w:t>
      </w:r>
      <w:r w:rsidR="00E82B6E" w:rsidRPr="009D7C45">
        <w:rPr>
          <w:rFonts w:ascii="Times New Roman" w:hAnsi="Times New Roman" w:cs="Times New Roman"/>
          <w:kern w:val="0"/>
          <w:sz w:val="24"/>
          <w:szCs w:val="24"/>
        </w:rPr>
        <w:t xml:space="preserve">лан дій з </w:t>
      </w:r>
      <w:r>
        <w:rPr>
          <w:rFonts w:ascii="Times New Roman" w:hAnsi="Times New Roman" w:cs="Times New Roman"/>
          <w:kern w:val="0"/>
          <w:sz w:val="24"/>
          <w:szCs w:val="24"/>
        </w:rPr>
        <w:t>таких</w:t>
      </w:r>
      <w:r w:rsidR="00E82B6E" w:rsidRPr="009D7C45">
        <w:rPr>
          <w:rFonts w:ascii="Times New Roman" w:hAnsi="Times New Roman" w:cs="Times New Roman"/>
          <w:kern w:val="0"/>
          <w:sz w:val="24"/>
          <w:szCs w:val="24"/>
        </w:rPr>
        <w:t xml:space="preserve"> кроків:</w:t>
      </w:r>
    </w:p>
    <w:p w14:paraId="7F95ADF0" w14:textId="77777777"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визначити унікальну конкурентну перевагу спільної програми, включаючи тип консорціуму та академічний зміст;</w:t>
      </w:r>
    </w:p>
    <w:p w14:paraId="2C3ED93C" w14:textId="77777777"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детально розробити обґрунтування програми та шляхи мобільності;</w:t>
      </w:r>
    </w:p>
    <w:p w14:paraId="02208ED2" w14:textId="792D5591"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створити стратегію забезпечення </w:t>
      </w:r>
      <w:r w:rsidR="00853594">
        <w:rPr>
          <w:rFonts w:ascii="Times New Roman" w:hAnsi="Times New Roman" w:cs="Times New Roman"/>
          <w:kern w:val="0"/>
          <w:sz w:val="24"/>
          <w:szCs w:val="24"/>
        </w:rPr>
        <w:t>стійкості</w:t>
      </w:r>
      <w:r w:rsidRPr="009D7C45">
        <w:rPr>
          <w:rFonts w:ascii="Times New Roman" w:hAnsi="Times New Roman" w:cs="Times New Roman"/>
          <w:kern w:val="0"/>
          <w:sz w:val="24"/>
          <w:szCs w:val="24"/>
        </w:rPr>
        <w:t xml:space="preserve"> програми;</w:t>
      </w:r>
    </w:p>
    <w:p w14:paraId="3613AE5C" w14:textId="2E29F392"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узгодити спільне бачення щодо єдиних культур, як академічних, так і адміністративних;</w:t>
      </w:r>
    </w:p>
    <w:p w14:paraId="2C14CF60" w14:textId="1152E83C"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розробити всеосяжну стратегію працевлаштування для </w:t>
      </w:r>
      <w:r w:rsidR="00853594">
        <w:rPr>
          <w:rFonts w:ascii="Times New Roman" w:hAnsi="Times New Roman" w:cs="Times New Roman"/>
          <w:kern w:val="0"/>
          <w:sz w:val="24"/>
          <w:szCs w:val="24"/>
        </w:rPr>
        <w:t>випускників</w:t>
      </w:r>
      <w:r w:rsidRPr="009D7C45">
        <w:rPr>
          <w:rFonts w:ascii="Times New Roman" w:hAnsi="Times New Roman" w:cs="Times New Roman"/>
          <w:kern w:val="0"/>
          <w:sz w:val="24"/>
          <w:szCs w:val="24"/>
        </w:rPr>
        <w:t>;</w:t>
      </w:r>
    </w:p>
    <w:p w14:paraId="35645916" w14:textId="383ED342" w:rsidR="00E82B6E" w:rsidRPr="009D7C45" w:rsidRDefault="00E82B6E" w:rsidP="00B64DDF">
      <w:pPr>
        <w:numPr>
          <w:ilvl w:val="0"/>
          <w:numId w:val="88"/>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домовитися про процес </w:t>
      </w:r>
      <w:r w:rsidR="00853594">
        <w:rPr>
          <w:rFonts w:ascii="Times New Roman" w:hAnsi="Times New Roman" w:cs="Times New Roman"/>
          <w:kern w:val="0"/>
          <w:sz w:val="24"/>
          <w:szCs w:val="24"/>
        </w:rPr>
        <w:t>захисту</w:t>
      </w:r>
      <w:r w:rsidRPr="009D7C45">
        <w:rPr>
          <w:rFonts w:ascii="Times New Roman" w:hAnsi="Times New Roman" w:cs="Times New Roman"/>
          <w:kern w:val="0"/>
          <w:sz w:val="24"/>
          <w:szCs w:val="24"/>
        </w:rPr>
        <w:t>, забезпечуючи прозорість;</w:t>
      </w:r>
    </w:p>
    <w:p w14:paraId="242F6624" w14:textId="65BA7835" w:rsidR="001C1F18" w:rsidRPr="009D7C45" w:rsidRDefault="00E82B6E" w:rsidP="00F61C5B">
      <w:pPr>
        <w:numPr>
          <w:ilvl w:val="0"/>
          <w:numId w:val="88"/>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узгодити ступінь, що присуджується, та забезпечити його максимальне визнання</w:t>
      </w:r>
      <w:r w:rsidR="001C1F18" w:rsidRPr="009D7C45">
        <w:rPr>
          <w:rFonts w:ascii="Times New Roman" w:hAnsi="Times New Roman" w:cs="Times New Roman"/>
          <w:kern w:val="0"/>
          <w:sz w:val="24"/>
          <w:szCs w:val="24"/>
        </w:rPr>
        <w:t>.</w:t>
      </w:r>
    </w:p>
    <w:p w14:paraId="23FA6E0B" w14:textId="66A70685" w:rsidR="001C1F18" w:rsidRPr="009D7C45" w:rsidRDefault="001C1F18" w:rsidP="009D7C4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9D7C45">
        <w:rPr>
          <w:rFonts w:ascii="Times New Roman" w:hAnsi="Times New Roman" w:cs="Times New Roman"/>
          <w:color w:val="365F91" w:themeColor="accent1" w:themeShade="BF"/>
          <w:kern w:val="0"/>
          <w:sz w:val="24"/>
          <w:szCs w:val="24"/>
        </w:rPr>
        <w:t>Розроб</w:t>
      </w:r>
      <w:r w:rsidR="00D10D89" w:rsidRPr="009D7C45">
        <w:rPr>
          <w:rFonts w:ascii="Times New Roman" w:hAnsi="Times New Roman" w:cs="Times New Roman"/>
          <w:color w:val="365F91" w:themeColor="accent1" w:themeShade="BF"/>
          <w:kern w:val="0"/>
          <w:sz w:val="24"/>
          <w:szCs w:val="24"/>
        </w:rPr>
        <w:t>лення</w:t>
      </w:r>
      <w:r w:rsidRPr="009D7C45">
        <w:rPr>
          <w:rFonts w:ascii="Times New Roman" w:hAnsi="Times New Roman" w:cs="Times New Roman"/>
          <w:color w:val="365F91" w:themeColor="accent1" w:themeShade="BF"/>
          <w:kern w:val="0"/>
          <w:sz w:val="24"/>
          <w:szCs w:val="24"/>
        </w:rPr>
        <w:t xml:space="preserve"> комплексної академічної стратегії</w:t>
      </w:r>
    </w:p>
    <w:p w14:paraId="459E03EA" w14:textId="002F6152" w:rsidR="001C1F18" w:rsidRPr="009D7C45" w:rsidRDefault="00312150"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w:t>
      </w:r>
      <w:r w:rsidR="001C1F18" w:rsidRPr="009D7C45">
        <w:rPr>
          <w:rFonts w:ascii="Times New Roman" w:hAnsi="Times New Roman" w:cs="Times New Roman"/>
          <w:kern w:val="0"/>
          <w:sz w:val="24"/>
          <w:szCs w:val="24"/>
        </w:rPr>
        <w:t xml:space="preserve">абезпечення інтегрованої академічної стратегії, включаючи </w:t>
      </w:r>
      <w:r w:rsidR="00E82B6E" w:rsidRPr="009D7C45">
        <w:rPr>
          <w:rFonts w:ascii="Times New Roman" w:hAnsi="Times New Roman" w:cs="Times New Roman"/>
          <w:kern w:val="0"/>
          <w:sz w:val="24"/>
          <w:szCs w:val="24"/>
        </w:rPr>
        <w:t xml:space="preserve">компоненти </w:t>
      </w:r>
      <w:r w:rsidR="001C1F18" w:rsidRPr="009D7C45">
        <w:rPr>
          <w:rFonts w:ascii="Times New Roman" w:hAnsi="Times New Roman" w:cs="Times New Roman"/>
          <w:kern w:val="0"/>
          <w:sz w:val="24"/>
          <w:szCs w:val="24"/>
        </w:rPr>
        <w:t>розвит</w:t>
      </w:r>
      <w:r w:rsidR="00E82B6E" w:rsidRPr="009D7C45">
        <w:rPr>
          <w:rFonts w:ascii="Times New Roman" w:hAnsi="Times New Roman" w:cs="Times New Roman"/>
          <w:kern w:val="0"/>
          <w:sz w:val="24"/>
          <w:szCs w:val="24"/>
        </w:rPr>
        <w:t>ку</w:t>
      </w:r>
      <w:r w:rsidR="001C1F18" w:rsidRPr="009D7C45">
        <w:rPr>
          <w:rFonts w:ascii="Times New Roman" w:hAnsi="Times New Roman" w:cs="Times New Roman"/>
          <w:kern w:val="0"/>
          <w:sz w:val="24"/>
          <w:szCs w:val="24"/>
        </w:rPr>
        <w:t xml:space="preserve"> персоналу, навчання та дослід</w:t>
      </w:r>
      <w:r w:rsidR="00E82B6E" w:rsidRPr="009D7C45">
        <w:rPr>
          <w:rFonts w:ascii="Times New Roman" w:hAnsi="Times New Roman" w:cs="Times New Roman"/>
          <w:kern w:val="0"/>
          <w:sz w:val="24"/>
          <w:szCs w:val="24"/>
        </w:rPr>
        <w:t>жень</w:t>
      </w:r>
      <w:r>
        <w:rPr>
          <w:rFonts w:ascii="Times New Roman" w:hAnsi="Times New Roman" w:cs="Times New Roman"/>
          <w:kern w:val="0"/>
          <w:sz w:val="24"/>
          <w:szCs w:val="24"/>
        </w:rPr>
        <w:t>,</w:t>
      </w:r>
      <w:r w:rsidR="001C1F18" w:rsidRPr="009D7C45">
        <w:rPr>
          <w:rFonts w:ascii="Times New Roman" w:hAnsi="Times New Roman" w:cs="Times New Roman"/>
          <w:color w:val="000000"/>
          <w:kern w:val="0"/>
          <w:sz w:val="24"/>
          <w:szCs w:val="24"/>
        </w:rPr>
        <w:t xml:space="preserve"> повинен виріш</w:t>
      </w:r>
      <w:r w:rsidR="00FF2190" w:rsidRPr="009D7C45">
        <w:rPr>
          <w:rFonts w:ascii="Times New Roman" w:hAnsi="Times New Roman" w:cs="Times New Roman"/>
          <w:color w:val="000000"/>
          <w:kern w:val="0"/>
          <w:sz w:val="24"/>
          <w:szCs w:val="24"/>
        </w:rPr>
        <w:t>и</w:t>
      </w:r>
      <w:r w:rsidR="001C1F18" w:rsidRPr="009D7C45">
        <w:rPr>
          <w:rFonts w:ascii="Times New Roman" w:hAnsi="Times New Roman" w:cs="Times New Roman"/>
          <w:color w:val="000000"/>
          <w:kern w:val="0"/>
          <w:sz w:val="24"/>
          <w:szCs w:val="24"/>
        </w:rPr>
        <w:t>ти консорціум</w:t>
      </w:r>
      <w:r>
        <w:rPr>
          <w:rFonts w:ascii="Times New Roman" w:hAnsi="Times New Roman" w:cs="Times New Roman"/>
          <w:color w:val="000000"/>
          <w:kern w:val="0"/>
          <w:sz w:val="24"/>
          <w:szCs w:val="24"/>
        </w:rPr>
        <w:t>, зокрема</w:t>
      </w:r>
      <w:r w:rsidR="001C1F18" w:rsidRPr="009D7C45">
        <w:rPr>
          <w:rFonts w:ascii="Times New Roman" w:hAnsi="Times New Roman" w:cs="Times New Roman"/>
          <w:color w:val="000000"/>
          <w:kern w:val="0"/>
          <w:sz w:val="24"/>
          <w:szCs w:val="24"/>
        </w:rPr>
        <w:t>:</w:t>
      </w:r>
    </w:p>
    <w:p w14:paraId="574DDD7E" w14:textId="77777777" w:rsidR="00FF2190" w:rsidRPr="009D7C45" w:rsidRDefault="00FF2190" w:rsidP="00773CD7">
      <w:pPr>
        <w:numPr>
          <w:ilvl w:val="0"/>
          <w:numId w:val="8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розробити збалансовані процеси нагляду в межах консорціуму;</w:t>
      </w:r>
    </w:p>
    <w:p w14:paraId="6137159F" w14:textId="227AAD68" w:rsidR="00FF2190" w:rsidRPr="009D7C45" w:rsidRDefault="00FF2190" w:rsidP="00773CD7">
      <w:pPr>
        <w:numPr>
          <w:ilvl w:val="0"/>
          <w:numId w:val="8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створити платформу для досліджень і комунікації, де </w:t>
      </w:r>
      <w:r w:rsidR="00773CD7">
        <w:rPr>
          <w:rFonts w:ascii="Times New Roman" w:hAnsi="Times New Roman" w:cs="Times New Roman"/>
          <w:kern w:val="0"/>
          <w:sz w:val="24"/>
          <w:szCs w:val="24"/>
        </w:rPr>
        <w:t xml:space="preserve">аспіранти, викладачі, дослідники та інші </w:t>
      </w:r>
      <w:r w:rsidRPr="009D7C45">
        <w:rPr>
          <w:rFonts w:ascii="Times New Roman" w:hAnsi="Times New Roman" w:cs="Times New Roman"/>
          <w:kern w:val="0"/>
          <w:sz w:val="24"/>
          <w:szCs w:val="24"/>
        </w:rPr>
        <w:t xml:space="preserve">співробітники зможуть співпрацювати в </w:t>
      </w:r>
      <w:r w:rsidR="00773CD7">
        <w:rPr>
          <w:rFonts w:ascii="Times New Roman" w:hAnsi="Times New Roman" w:cs="Times New Roman"/>
          <w:kern w:val="0"/>
          <w:sz w:val="24"/>
          <w:szCs w:val="24"/>
        </w:rPr>
        <w:t>межах</w:t>
      </w:r>
      <w:r w:rsidRPr="009D7C45">
        <w:rPr>
          <w:rFonts w:ascii="Times New Roman" w:hAnsi="Times New Roman" w:cs="Times New Roman"/>
          <w:kern w:val="0"/>
          <w:sz w:val="24"/>
          <w:szCs w:val="24"/>
        </w:rPr>
        <w:t xml:space="preserve"> консорціуму;</w:t>
      </w:r>
    </w:p>
    <w:p w14:paraId="19454F5A" w14:textId="181A2409" w:rsidR="00FF2190" w:rsidRPr="009D7C45" w:rsidRDefault="00FF2190" w:rsidP="00773CD7">
      <w:pPr>
        <w:numPr>
          <w:ilvl w:val="0"/>
          <w:numId w:val="8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забезпечити чіткі й узгоджені механізми оцінювання роботи </w:t>
      </w:r>
      <w:r w:rsidR="00773CD7">
        <w:rPr>
          <w:rFonts w:ascii="Times New Roman" w:hAnsi="Times New Roman" w:cs="Times New Roman"/>
          <w:kern w:val="0"/>
          <w:sz w:val="24"/>
          <w:szCs w:val="24"/>
        </w:rPr>
        <w:t>аспірантів</w:t>
      </w:r>
      <w:r w:rsidRPr="009D7C45">
        <w:rPr>
          <w:rFonts w:ascii="Times New Roman" w:hAnsi="Times New Roman" w:cs="Times New Roman"/>
          <w:kern w:val="0"/>
          <w:sz w:val="24"/>
          <w:szCs w:val="24"/>
        </w:rPr>
        <w:t>, які будуть послідовними й збалансованими в усіх закладах консорціуму;</w:t>
      </w:r>
    </w:p>
    <w:p w14:paraId="1301FA54" w14:textId="49C9A9FC" w:rsidR="00FF2190" w:rsidRPr="009D7C45" w:rsidRDefault="00FF2190" w:rsidP="00773CD7">
      <w:pPr>
        <w:numPr>
          <w:ilvl w:val="0"/>
          <w:numId w:val="8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надати </w:t>
      </w:r>
      <w:r w:rsidR="00773CD7">
        <w:rPr>
          <w:rFonts w:ascii="Times New Roman" w:hAnsi="Times New Roman" w:cs="Times New Roman"/>
          <w:kern w:val="0"/>
          <w:sz w:val="24"/>
          <w:szCs w:val="24"/>
        </w:rPr>
        <w:t>аспірантам</w:t>
      </w:r>
      <w:r w:rsidRPr="009D7C45">
        <w:rPr>
          <w:rFonts w:ascii="Times New Roman" w:hAnsi="Times New Roman" w:cs="Times New Roman"/>
          <w:kern w:val="0"/>
          <w:sz w:val="24"/>
          <w:szCs w:val="24"/>
        </w:rPr>
        <w:t xml:space="preserve"> дослідницькі інструменти та доступ до відповідної інфраструктури</w:t>
      </w:r>
      <w:r w:rsidR="00773CD7">
        <w:rPr>
          <w:rFonts w:ascii="Times New Roman" w:hAnsi="Times New Roman" w:cs="Times New Roman"/>
          <w:kern w:val="0"/>
          <w:sz w:val="24"/>
          <w:szCs w:val="24"/>
        </w:rPr>
        <w:t>, а також</w:t>
      </w:r>
      <w:r w:rsidR="00773CD7" w:rsidRPr="00773CD7">
        <w:rPr>
          <w:rFonts w:ascii="Times New Roman" w:hAnsi="Times New Roman" w:cs="Times New Roman"/>
          <w:kern w:val="0"/>
          <w:sz w:val="24"/>
          <w:szCs w:val="24"/>
        </w:rPr>
        <w:t xml:space="preserve"> </w:t>
      </w:r>
      <w:r w:rsidR="00773CD7" w:rsidRPr="009D7C45">
        <w:rPr>
          <w:rFonts w:ascii="Times New Roman" w:hAnsi="Times New Roman" w:cs="Times New Roman"/>
          <w:kern w:val="0"/>
          <w:sz w:val="24"/>
          <w:szCs w:val="24"/>
        </w:rPr>
        <w:t>необхідн</w:t>
      </w:r>
      <w:r w:rsidR="00773CD7">
        <w:rPr>
          <w:rFonts w:ascii="Times New Roman" w:hAnsi="Times New Roman" w:cs="Times New Roman"/>
          <w:kern w:val="0"/>
          <w:sz w:val="24"/>
          <w:szCs w:val="24"/>
        </w:rPr>
        <w:t>у освітню підготовку</w:t>
      </w:r>
      <w:r w:rsidRPr="009D7C45">
        <w:rPr>
          <w:rFonts w:ascii="Times New Roman" w:hAnsi="Times New Roman" w:cs="Times New Roman"/>
          <w:kern w:val="0"/>
          <w:sz w:val="24"/>
          <w:szCs w:val="24"/>
        </w:rPr>
        <w:t>;</w:t>
      </w:r>
    </w:p>
    <w:p w14:paraId="4DED18B2" w14:textId="740576E3" w:rsidR="00FF2190" w:rsidRPr="009D7C45" w:rsidRDefault="00FF2190" w:rsidP="00773CD7">
      <w:pPr>
        <w:numPr>
          <w:ilvl w:val="0"/>
          <w:numId w:val="89"/>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впровадити формальну процедуру моніторингу прогресу досліджень </w:t>
      </w:r>
      <w:r w:rsidR="00773CD7">
        <w:rPr>
          <w:rFonts w:ascii="Times New Roman" w:hAnsi="Times New Roman" w:cs="Times New Roman"/>
          <w:kern w:val="0"/>
          <w:sz w:val="24"/>
          <w:szCs w:val="24"/>
        </w:rPr>
        <w:t>аспірантів</w:t>
      </w:r>
      <w:r w:rsidRPr="009D7C45">
        <w:rPr>
          <w:rFonts w:ascii="Times New Roman" w:hAnsi="Times New Roman" w:cs="Times New Roman"/>
          <w:kern w:val="0"/>
          <w:sz w:val="24"/>
          <w:szCs w:val="24"/>
        </w:rPr>
        <w:t>;</w:t>
      </w:r>
    </w:p>
    <w:p w14:paraId="70D238B7" w14:textId="697A7EAD" w:rsidR="001C1F18" w:rsidRPr="009D7C45" w:rsidRDefault="00FF2190" w:rsidP="00773CD7">
      <w:pPr>
        <w:numPr>
          <w:ilvl w:val="0"/>
          <w:numId w:val="89"/>
        </w:numPr>
        <w:autoSpaceDE w:val="0"/>
        <w:autoSpaceDN w:val="0"/>
        <w:adjustRightInd w:val="0"/>
        <w:spacing w:after="100" w:afterAutospacing="1"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приділити увагу ефективному розвитку культурної обізнаності як </w:t>
      </w:r>
      <w:r w:rsidR="00773CD7">
        <w:rPr>
          <w:rFonts w:ascii="Times New Roman" w:hAnsi="Times New Roman" w:cs="Times New Roman"/>
          <w:kern w:val="0"/>
          <w:sz w:val="24"/>
          <w:szCs w:val="24"/>
        </w:rPr>
        <w:t xml:space="preserve">в </w:t>
      </w:r>
      <w:r w:rsidR="001C7ACC">
        <w:rPr>
          <w:rFonts w:ascii="Times New Roman" w:hAnsi="Times New Roman" w:cs="Times New Roman"/>
          <w:kern w:val="0"/>
          <w:sz w:val="24"/>
          <w:szCs w:val="24"/>
        </w:rPr>
        <w:t xml:space="preserve">межах </w:t>
      </w:r>
      <w:r w:rsidR="00773CD7">
        <w:rPr>
          <w:rFonts w:ascii="Times New Roman" w:hAnsi="Times New Roman" w:cs="Times New Roman"/>
          <w:kern w:val="0"/>
          <w:sz w:val="24"/>
          <w:szCs w:val="24"/>
        </w:rPr>
        <w:t>освітньо</w:t>
      </w:r>
      <w:r w:rsidR="001C7ACC">
        <w:rPr>
          <w:rFonts w:ascii="Times New Roman" w:hAnsi="Times New Roman" w:cs="Times New Roman"/>
          <w:kern w:val="0"/>
          <w:sz w:val="24"/>
          <w:szCs w:val="24"/>
        </w:rPr>
        <w:t>го</w:t>
      </w:r>
      <w:r w:rsidRPr="009D7C45">
        <w:rPr>
          <w:rFonts w:ascii="Times New Roman" w:hAnsi="Times New Roman" w:cs="Times New Roman"/>
          <w:kern w:val="0"/>
          <w:sz w:val="24"/>
          <w:szCs w:val="24"/>
        </w:rPr>
        <w:t xml:space="preserve"> процес</w:t>
      </w:r>
      <w:r w:rsidR="001C7ACC">
        <w:rPr>
          <w:rFonts w:ascii="Times New Roman" w:hAnsi="Times New Roman" w:cs="Times New Roman"/>
          <w:kern w:val="0"/>
          <w:sz w:val="24"/>
          <w:szCs w:val="24"/>
        </w:rPr>
        <w:t>у</w:t>
      </w:r>
      <w:r w:rsidRPr="009D7C45">
        <w:rPr>
          <w:rFonts w:ascii="Times New Roman" w:hAnsi="Times New Roman" w:cs="Times New Roman"/>
          <w:kern w:val="0"/>
          <w:sz w:val="24"/>
          <w:szCs w:val="24"/>
        </w:rPr>
        <w:t>, так і в дослідницькій траєкторії</w:t>
      </w:r>
      <w:r w:rsidR="00773CD7">
        <w:rPr>
          <w:rFonts w:ascii="Times New Roman" w:hAnsi="Times New Roman" w:cs="Times New Roman"/>
          <w:kern w:val="0"/>
          <w:sz w:val="24"/>
          <w:szCs w:val="24"/>
        </w:rPr>
        <w:t>,</w:t>
      </w:r>
      <w:r w:rsidRPr="009D7C45">
        <w:rPr>
          <w:rFonts w:ascii="Times New Roman" w:hAnsi="Times New Roman" w:cs="Times New Roman"/>
          <w:kern w:val="0"/>
          <w:sz w:val="24"/>
          <w:szCs w:val="24"/>
        </w:rPr>
        <w:t xml:space="preserve"> та в </w:t>
      </w:r>
      <w:r w:rsidR="00773CD7">
        <w:rPr>
          <w:rFonts w:ascii="Times New Roman" w:hAnsi="Times New Roman" w:cs="Times New Roman"/>
          <w:kern w:val="0"/>
          <w:sz w:val="24"/>
          <w:szCs w:val="24"/>
        </w:rPr>
        <w:t>межах</w:t>
      </w:r>
      <w:r w:rsidRPr="009D7C45">
        <w:rPr>
          <w:rFonts w:ascii="Times New Roman" w:hAnsi="Times New Roman" w:cs="Times New Roman"/>
          <w:kern w:val="0"/>
          <w:sz w:val="24"/>
          <w:szCs w:val="24"/>
        </w:rPr>
        <w:t xml:space="preserve"> консорціуму, забезпечивши, щоб цьому сприяла також і мобільність</w:t>
      </w:r>
      <w:r w:rsidR="00773CD7">
        <w:rPr>
          <w:rFonts w:ascii="Times New Roman" w:hAnsi="Times New Roman" w:cs="Times New Roman"/>
          <w:kern w:val="0"/>
          <w:sz w:val="24"/>
          <w:szCs w:val="24"/>
        </w:rPr>
        <w:t xml:space="preserve"> аспірантів та науково-педагогічного</w:t>
      </w:r>
      <w:r w:rsidRPr="009D7C45">
        <w:rPr>
          <w:rFonts w:ascii="Times New Roman" w:hAnsi="Times New Roman" w:cs="Times New Roman"/>
          <w:kern w:val="0"/>
          <w:sz w:val="24"/>
          <w:szCs w:val="24"/>
        </w:rPr>
        <w:t xml:space="preserve"> персоналу.</w:t>
      </w:r>
    </w:p>
    <w:p w14:paraId="46E45DAD" w14:textId="712C03D7" w:rsidR="001C1F18" w:rsidRPr="009D7C45" w:rsidRDefault="004D41D2" w:rsidP="009D7C4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9D7C45">
        <w:rPr>
          <w:rFonts w:ascii="Times New Roman" w:hAnsi="Times New Roman" w:cs="Times New Roman"/>
          <w:color w:val="365F91" w:themeColor="accent1" w:themeShade="BF"/>
          <w:kern w:val="0"/>
          <w:sz w:val="24"/>
          <w:szCs w:val="24"/>
        </w:rPr>
        <w:t>Залучення</w:t>
      </w:r>
      <w:r w:rsidR="001C1F18" w:rsidRPr="009D7C45">
        <w:rPr>
          <w:rFonts w:ascii="Times New Roman" w:hAnsi="Times New Roman" w:cs="Times New Roman"/>
          <w:color w:val="365F91" w:themeColor="accent1" w:themeShade="BF"/>
          <w:kern w:val="0"/>
          <w:sz w:val="24"/>
          <w:szCs w:val="24"/>
        </w:rPr>
        <w:t xml:space="preserve"> та відбір </w:t>
      </w:r>
      <w:r w:rsidR="00C668C5">
        <w:rPr>
          <w:rFonts w:ascii="Times New Roman" w:hAnsi="Times New Roman" w:cs="Times New Roman"/>
          <w:color w:val="365F91" w:themeColor="accent1" w:themeShade="BF"/>
          <w:kern w:val="0"/>
          <w:sz w:val="24"/>
          <w:szCs w:val="24"/>
        </w:rPr>
        <w:t>аспірантів</w:t>
      </w:r>
    </w:p>
    <w:p w14:paraId="612966FE" w14:textId="43CAE330" w:rsidR="001C1F18" w:rsidRPr="009D7C45" w:rsidRDefault="00C668C5"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Pr>
          <w:rFonts w:ascii="Times New Roman" w:hAnsi="Times New Roman" w:cs="Times New Roman"/>
          <w:color w:val="000000"/>
          <w:kern w:val="0"/>
          <w:sz w:val="24"/>
          <w:szCs w:val="24"/>
        </w:rPr>
        <w:t>П</w:t>
      </w:r>
      <w:r w:rsidR="001C1F18" w:rsidRPr="009D7C45">
        <w:rPr>
          <w:rFonts w:ascii="Times New Roman" w:hAnsi="Times New Roman" w:cs="Times New Roman"/>
          <w:color w:val="000000"/>
          <w:kern w:val="0"/>
          <w:sz w:val="24"/>
          <w:szCs w:val="24"/>
        </w:rPr>
        <w:t>ропонує</w:t>
      </w:r>
      <w:r>
        <w:rPr>
          <w:rFonts w:ascii="Times New Roman" w:hAnsi="Times New Roman" w:cs="Times New Roman"/>
          <w:color w:val="000000"/>
          <w:kern w:val="0"/>
          <w:sz w:val="24"/>
          <w:szCs w:val="24"/>
        </w:rPr>
        <w:t>ться</w:t>
      </w:r>
      <w:r w:rsidR="004D41D2" w:rsidRPr="009D7C45">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здійснити такі</w:t>
      </w:r>
      <w:r w:rsidR="001C1F18" w:rsidRPr="009D7C45">
        <w:rPr>
          <w:rFonts w:ascii="Times New Roman" w:hAnsi="Times New Roman" w:cs="Times New Roman"/>
          <w:color w:val="000000"/>
          <w:kern w:val="0"/>
          <w:sz w:val="24"/>
          <w:szCs w:val="24"/>
        </w:rPr>
        <w:t xml:space="preserve"> заход</w:t>
      </w:r>
      <w:r>
        <w:rPr>
          <w:rFonts w:ascii="Times New Roman" w:hAnsi="Times New Roman" w:cs="Times New Roman"/>
          <w:color w:val="000000"/>
          <w:kern w:val="0"/>
          <w:sz w:val="24"/>
          <w:szCs w:val="24"/>
        </w:rPr>
        <w:t>и</w:t>
      </w:r>
      <w:r w:rsidR="001C1F18" w:rsidRPr="009D7C45">
        <w:rPr>
          <w:rFonts w:ascii="Times New Roman" w:hAnsi="Times New Roman" w:cs="Times New Roman"/>
          <w:color w:val="000000"/>
          <w:kern w:val="0"/>
          <w:sz w:val="24"/>
          <w:szCs w:val="24"/>
        </w:rPr>
        <w:t>:</w:t>
      </w:r>
    </w:p>
    <w:p w14:paraId="0157487A" w14:textId="5E8830C3" w:rsidR="001C1F18"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залуч</w:t>
      </w:r>
      <w:r w:rsidR="00C668C5">
        <w:rPr>
          <w:rFonts w:ascii="Times New Roman" w:hAnsi="Times New Roman" w:cs="Times New Roman"/>
          <w:kern w:val="0"/>
          <w:sz w:val="24"/>
          <w:szCs w:val="24"/>
        </w:rPr>
        <w:t>а</w:t>
      </w:r>
      <w:r w:rsidRPr="009D7C45">
        <w:rPr>
          <w:rFonts w:ascii="Times New Roman" w:hAnsi="Times New Roman" w:cs="Times New Roman"/>
          <w:kern w:val="0"/>
          <w:sz w:val="24"/>
          <w:szCs w:val="24"/>
        </w:rPr>
        <w:t>ти</w:t>
      </w:r>
      <w:r w:rsidR="001C1F18" w:rsidRPr="009D7C45">
        <w:rPr>
          <w:rFonts w:ascii="Times New Roman" w:hAnsi="Times New Roman" w:cs="Times New Roman"/>
          <w:kern w:val="0"/>
          <w:sz w:val="24"/>
          <w:szCs w:val="24"/>
        </w:rPr>
        <w:t xml:space="preserve"> та відбирати </w:t>
      </w:r>
      <w:r w:rsidR="00C668C5">
        <w:rPr>
          <w:rFonts w:ascii="Times New Roman" w:hAnsi="Times New Roman" w:cs="Times New Roman"/>
          <w:kern w:val="0"/>
          <w:sz w:val="24"/>
          <w:szCs w:val="24"/>
        </w:rPr>
        <w:t>вступників</w:t>
      </w:r>
      <w:r w:rsidR="001C1F18" w:rsidRPr="009D7C45">
        <w:rPr>
          <w:rFonts w:ascii="Times New Roman" w:hAnsi="Times New Roman" w:cs="Times New Roman"/>
          <w:kern w:val="0"/>
          <w:sz w:val="24"/>
          <w:szCs w:val="24"/>
        </w:rPr>
        <w:t>, які найкраще підготовлені до програми</w:t>
      </w:r>
      <w:r w:rsidR="00C668C5">
        <w:rPr>
          <w:rFonts w:ascii="Times New Roman" w:hAnsi="Times New Roman" w:cs="Times New Roman"/>
          <w:kern w:val="0"/>
          <w:sz w:val="24"/>
          <w:szCs w:val="24"/>
        </w:rPr>
        <w:t>;</w:t>
      </w:r>
    </w:p>
    <w:p w14:paraId="0C8414E4" w14:textId="523BE79F" w:rsidR="001C1F18"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розглянути</w:t>
      </w:r>
      <w:r w:rsidR="001C1F18" w:rsidRPr="009D7C45">
        <w:rPr>
          <w:rFonts w:ascii="Times New Roman" w:hAnsi="Times New Roman" w:cs="Times New Roman"/>
          <w:kern w:val="0"/>
          <w:sz w:val="24"/>
          <w:szCs w:val="24"/>
        </w:rPr>
        <w:t xml:space="preserve"> підготовку </w:t>
      </w:r>
      <w:r w:rsidR="00C668C5">
        <w:rPr>
          <w:rFonts w:ascii="Times New Roman" w:hAnsi="Times New Roman" w:cs="Times New Roman"/>
          <w:kern w:val="0"/>
          <w:sz w:val="24"/>
          <w:szCs w:val="24"/>
        </w:rPr>
        <w:t>аспірантів</w:t>
      </w:r>
      <w:r w:rsidR="001C1F18" w:rsidRPr="009D7C45">
        <w:rPr>
          <w:rFonts w:ascii="Times New Roman" w:hAnsi="Times New Roman" w:cs="Times New Roman"/>
          <w:kern w:val="0"/>
          <w:sz w:val="24"/>
          <w:szCs w:val="24"/>
        </w:rPr>
        <w:t xml:space="preserve">, як академічну, так і </w:t>
      </w:r>
      <w:r w:rsidRPr="009D7C45">
        <w:rPr>
          <w:rFonts w:ascii="Times New Roman" w:hAnsi="Times New Roman" w:cs="Times New Roman"/>
          <w:kern w:val="0"/>
          <w:sz w:val="24"/>
          <w:szCs w:val="24"/>
        </w:rPr>
        <w:t>логістичну</w:t>
      </w:r>
      <w:r w:rsidR="00C668C5">
        <w:rPr>
          <w:rFonts w:ascii="Times New Roman" w:hAnsi="Times New Roman" w:cs="Times New Roman"/>
          <w:kern w:val="0"/>
          <w:sz w:val="24"/>
          <w:szCs w:val="24"/>
        </w:rPr>
        <w:t xml:space="preserve"> – для реалізації мобільності</w:t>
      </w:r>
      <w:r w:rsidR="001C1F18" w:rsidRPr="009D7C45">
        <w:rPr>
          <w:rFonts w:ascii="Times New Roman" w:hAnsi="Times New Roman" w:cs="Times New Roman"/>
          <w:kern w:val="0"/>
          <w:sz w:val="24"/>
          <w:szCs w:val="24"/>
        </w:rPr>
        <w:t>,</w:t>
      </w:r>
    </w:p>
    <w:p w14:paraId="42221485" w14:textId="0D44F749" w:rsidR="001C1F18" w:rsidRPr="009D7C45" w:rsidRDefault="001C1F18"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створити мережу підтримки соціальної, культурної та академічної діяльності</w:t>
      </w:r>
      <w:r w:rsidR="00C668C5">
        <w:rPr>
          <w:rFonts w:ascii="Times New Roman" w:hAnsi="Times New Roman" w:cs="Times New Roman"/>
          <w:kern w:val="0"/>
          <w:sz w:val="24"/>
          <w:szCs w:val="24"/>
        </w:rPr>
        <w:t>;</w:t>
      </w:r>
    </w:p>
    <w:p w14:paraId="3079FF4E" w14:textId="76FEF3DE" w:rsidR="001C1F18"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спільно використовувати IT, бібліотечні та інші послуги в межах консорціуму</w:t>
      </w:r>
      <w:r w:rsidR="008A3555">
        <w:rPr>
          <w:rFonts w:ascii="Times New Roman" w:hAnsi="Times New Roman" w:cs="Times New Roman"/>
          <w:kern w:val="0"/>
          <w:sz w:val="24"/>
          <w:szCs w:val="24"/>
        </w:rPr>
        <w:t>;</w:t>
      </w:r>
    </w:p>
    <w:p w14:paraId="1F284A9A" w14:textId="4B0FF9BE" w:rsidR="004D41D2"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надати інші можливості для навчання, такі як мовна підготовка та розвиток комунікативних навичок</w:t>
      </w:r>
      <w:r w:rsidR="008A3555">
        <w:rPr>
          <w:rFonts w:ascii="Times New Roman" w:hAnsi="Times New Roman" w:cs="Times New Roman"/>
          <w:kern w:val="0"/>
          <w:sz w:val="24"/>
          <w:szCs w:val="24"/>
        </w:rPr>
        <w:t>;</w:t>
      </w:r>
    </w:p>
    <w:p w14:paraId="67C2BB07" w14:textId="435CD9FD" w:rsidR="004D41D2"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готувати </w:t>
      </w:r>
      <w:r w:rsidR="008A3555">
        <w:rPr>
          <w:rFonts w:ascii="Times New Roman" w:hAnsi="Times New Roman" w:cs="Times New Roman"/>
          <w:kern w:val="0"/>
          <w:sz w:val="24"/>
          <w:szCs w:val="24"/>
        </w:rPr>
        <w:t>аспірантів</w:t>
      </w:r>
      <w:r w:rsidRPr="009D7C45">
        <w:rPr>
          <w:rFonts w:ascii="Times New Roman" w:hAnsi="Times New Roman" w:cs="Times New Roman"/>
          <w:kern w:val="0"/>
          <w:sz w:val="24"/>
          <w:szCs w:val="24"/>
        </w:rPr>
        <w:t xml:space="preserve"> до постдокторської кар’єри, пропонуючи тренінги з розвитку </w:t>
      </w:r>
      <w:r w:rsidR="008A3555">
        <w:rPr>
          <w:rFonts w:ascii="Times New Roman" w:hAnsi="Times New Roman" w:cs="Times New Roman"/>
          <w:kern w:val="0"/>
          <w:sz w:val="24"/>
          <w:szCs w:val="24"/>
        </w:rPr>
        <w:t xml:space="preserve">відповідних </w:t>
      </w:r>
      <w:r w:rsidRPr="009D7C45">
        <w:rPr>
          <w:rFonts w:ascii="Times New Roman" w:hAnsi="Times New Roman" w:cs="Times New Roman"/>
          <w:kern w:val="0"/>
          <w:sz w:val="24"/>
          <w:szCs w:val="24"/>
        </w:rPr>
        <w:t>компетен</w:t>
      </w:r>
      <w:r w:rsidR="005C57A0" w:rsidRPr="009D7C45">
        <w:rPr>
          <w:rFonts w:ascii="Times New Roman" w:hAnsi="Times New Roman" w:cs="Times New Roman"/>
          <w:kern w:val="0"/>
          <w:sz w:val="24"/>
          <w:szCs w:val="24"/>
        </w:rPr>
        <w:t>тностей</w:t>
      </w:r>
      <w:r w:rsidR="008A3555">
        <w:rPr>
          <w:rFonts w:ascii="Times New Roman" w:hAnsi="Times New Roman" w:cs="Times New Roman"/>
          <w:kern w:val="0"/>
          <w:sz w:val="24"/>
          <w:szCs w:val="24"/>
        </w:rPr>
        <w:t>;</w:t>
      </w:r>
    </w:p>
    <w:p w14:paraId="5A43C8A9" w14:textId="2EA6CC65" w:rsidR="001C1F18" w:rsidRPr="009D7C45" w:rsidRDefault="004D41D2" w:rsidP="00C668C5">
      <w:pPr>
        <w:numPr>
          <w:ilvl w:val="0"/>
          <w:numId w:val="90"/>
        </w:numPr>
        <w:autoSpaceDE w:val="0"/>
        <w:autoSpaceDN w:val="0"/>
        <w:adjustRightInd w:val="0"/>
        <w:spacing w:after="0" w:line="240" w:lineRule="auto"/>
        <w:ind w:left="714" w:hanging="357"/>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встановити та підтримувати міцні </w:t>
      </w:r>
      <w:r w:rsidR="00AA0A67">
        <w:rPr>
          <w:rFonts w:ascii="Times New Roman" w:hAnsi="Times New Roman" w:cs="Times New Roman"/>
          <w:kern w:val="0"/>
          <w:sz w:val="24"/>
          <w:szCs w:val="24"/>
        </w:rPr>
        <w:t>зв’язки</w:t>
      </w:r>
      <w:r w:rsidRPr="009D7C45">
        <w:rPr>
          <w:rFonts w:ascii="Times New Roman" w:hAnsi="Times New Roman" w:cs="Times New Roman"/>
          <w:kern w:val="0"/>
          <w:sz w:val="24"/>
          <w:szCs w:val="24"/>
        </w:rPr>
        <w:t xml:space="preserve"> з випускниками</w:t>
      </w:r>
      <w:r w:rsidR="001C1F18" w:rsidRPr="009D7C45">
        <w:rPr>
          <w:rFonts w:ascii="Times New Roman" w:hAnsi="Times New Roman" w:cs="Times New Roman"/>
          <w:kern w:val="0"/>
          <w:sz w:val="24"/>
          <w:szCs w:val="24"/>
        </w:rPr>
        <w:t>.</w:t>
      </w:r>
    </w:p>
    <w:p w14:paraId="46AA17A3" w14:textId="71D2AAFC" w:rsidR="001C1F18" w:rsidRPr="009D7C45" w:rsidRDefault="005C57A0"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В</w:t>
      </w:r>
      <w:r w:rsidR="001C1F18" w:rsidRPr="009D7C45">
        <w:rPr>
          <w:rFonts w:ascii="Times New Roman" w:hAnsi="Times New Roman" w:cs="Times New Roman"/>
          <w:color w:val="000000"/>
          <w:kern w:val="0"/>
          <w:sz w:val="24"/>
          <w:szCs w:val="24"/>
        </w:rPr>
        <w:t xml:space="preserve">ідбір </w:t>
      </w:r>
      <w:r w:rsidRPr="009D7C45">
        <w:rPr>
          <w:rFonts w:ascii="Times New Roman" w:hAnsi="Times New Roman" w:cs="Times New Roman"/>
          <w:color w:val="000000"/>
          <w:kern w:val="0"/>
          <w:sz w:val="24"/>
          <w:szCs w:val="24"/>
        </w:rPr>
        <w:t>кандидатів</w:t>
      </w:r>
      <w:r w:rsidR="001C1F18" w:rsidRPr="009D7C45">
        <w:rPr>
          <w:rFonts w:ascii="Times New Roman" w:hAnsi="Times New Roman" w:cs="Times New Roman"/>
          <w:color w:val="000000"/>
          <w:kern w:val="0"/>
          <w:sz w:val="24"/>
          <w:szCs w:val="24"/>
        </w:rPr>
        <w:t xml:space="preserve"> може складатися з двох процесів, які проводяться двома окремими групами осіб</w:t>
      </w:r>
      <w:r w:rsidR="009E1F78">
        <w:rPr>
          <w:rFonts w:ascii="Times New Roman" w:hAnsi="Times New Roman" w:cs="Times New Roman"/>
          <w:color w:val="000000"/>
          <w:kern w:val="0"/>
          <w:sz w:val="24"/>
          <w:szCs w:val="24"/>
        </w:rPr>
        <w:t>:</w:t>
      </w:r>
      <w:r w:rsidR="001C1F18" w:rsidRPr="009D7C45">
        <w:rPr>
          <w:rFonts w:ascii="Times New Roman" w:hAnsi="Times New Roman" w:cs="Times New Roman"/>
          <w:color w:val="000000"/>
          <w:kern w:val="0"/>
          <w:sz w:val="24"/>
          <w:szCs w:val="24"/>
        </w:rPr>
        <w:t xml:space="preserve"> </w:t>
      </w:r>
      <w:r w:rsidR="009E1F78">
        <w:rPr>
          <w:rFonts w:ascii="Times New Roman" w:hAnsi="Times New Roman" w:cs="Times New Roman"/>
          <w:color w:val="000000"/>
          <w:kern w:val="0"/>
          <w:sz w:val="24"/>
          <w:szCs w:val="24"/>
        </w:rPr>
        <w:t>п</w:t>
      </w:r>
      <w:r w:rsidR="001C1F18" w:rsidRPr="009D7C45">
        <w:rPr>
          <w:rFonts w:ascii="Times New Roman" w:hAnsi="Times New Roman" w:cs="Times New Roman"/>
          <w:color w:val="000000"/>
          <w:kern w:val="0"/>
          <w:sz w:val="24"/>
          <w:szCs w:val="24"/>
        </w:rPr>
        <w:t xml:space="preserve">роцедура може включати співбесіду, під час якої </w:t>
      </w:r>
      <w:r w:rsidR="009E1F78">
        <w:rPr>
          <w:rFonts w:ascii="Times New Roman" w:hAnsi="Times New Roman" w:cs="Times New Roman"/>
          <w:color w:val="000000"/>
          <w:kern w:val="0"/>
          <w:sz w:val="24"/>
          <w:szCs w:val="24"/>
        </w:rPr>
        <w:t>вступники</w:t>
      </w:r>
      <w:r w:rsidR="001C1F18" w:rsidRPr="009D7C45">
        <w:rPr>
          <w:rFonts w:ascii="Times New Roman" w:hAnsi="Times New Roman" w:cs="Times New Roman"/>
          <w:color w:val="000000"/>
          <w:kern w:val="0"/>
          <w:sz w:val="24"/>
          <w:szCs w:val="24"/>
        </w:rPr>
        <w:t xml:space="preserve"> представляють свій дослідницький про</w:t>
      </w:r>
      <w:r w:rsidR="009E1F78">
        <w:rPr>
          <w:rFonts w:ascii="Times New Roman" w:hAnsi="Times New Roman" w:cs="Times New Roman"/>
          <w:color w:val="000000"/>
          <w:kern w:val="0"/>
          <w:sz w:val="24"/>
          <w:szCs w:val="24"/>
        </w:rPr>
        <w:t>є</w:t>
      </w:r>
      <w:r w:rsidR="001C1F18" w:rsidRPr="009D7C45">
        <w:rPr>
          <w:rFonts w:ascii="Times New Roman" w:hAnsi="Times New Roman" w:cs="Times New Roman"/>
          <w:color w:val="000000"/>
          <w:kern w:val="0"/>
          <w:sz w:val="24"/>
          <w:szCs w:val="24"/>
        </w:rPr>
        <w:t xml:space="preserve">кт двом </w:t>
      </w:r>
      <w:r w:rsidR="004D41D2" w:rsidRPr="009D7C45">
        <w:rPr>
          <w:rFonts w:ascii="Times New Roman" w:hAnsi="Times New Roman" w:cs="Times New Roman"/>
          <w:color w:val="000000"/>
          <w:kern w:val="0"/>
          <w:sz w:val="24"/>
          <w:szCs w:val="24"/>
        </w:rPr>
        <w:t>викладачам</w:t>
      </w:r>
      <w:r w:rsidR="001C1F18" w:rsidRPr="009D7C45">
        <w:rPr>
          <w:rFonts w:ascii="Times New Roman" w:hAnsi="Times New Roman" w:cs="Times New Roman"/>
          <w:color w:val="000000"/>
          <w:kern w:val="0"/>
          <w:sz w:val="24"/>
          <w:szCs w:val="24"/>
        </w:rPr>
        <w:t>,</w:t>
      </w:r>
      <w:r w:rsidR="009E1F78">
        <w:rPr>
          <w:rFonts w:ascii="Times New Roman" w:hAnsi="Times New Roman" w:cs="Times New Roman"/>
          <w:color w:val="000000"/>
          <w:kern w:val="0"/>
          <w:sz w:val="24"/>
          <w:szCs w:val="24"/>
        </w:rPr>
        <w:t xml:space="preserve"> та</w:t>
      </w:r>
      <w:r w:rsidR="001C1F18" w:rsidRPr="009D7C45">
        <w:rPr>
          <w:rFonts w:ascii="Times New Roman" w:hAnsi="Times New Roman" w:cs="Times New Roman"/>
          <w:color w:val="000000"/>
          <w:kern w:val="0"/>
          <w:sz w:val="24"/>
          <w:szCs w:val="24"/>
        </w:rPr>
        <w:t xml:space="preserve"> оцін</w:t>
      </w:r>
      <w:r w:rsidR="009E1F78">
        <w:rPr>
          <w:rFonts w:ascii="Times New Roman" w:hAnsi="Times New Roman" w:cs="Times New Roman"/>
          <w:color w:val="000000"/>
          <w:kern w:val="0"/>
          <w:sz w:val="24"/>
          <w:szCs w:val="24"/>
        </w:rPr>
        <w:t>ювання</w:t>
      </w:r>
      <w:r w:rsidR="001C1F18" w:rsidRPr="009D7C45">
        <w:rPr>
          <w:rFonts w:ascii="Times New Roman" w:hAnsi="Times New Roman" w:cs="Times New Roman"/>
          <w:color w:val="000000"/>
          <w:kern w:val="0"/>
          <w:sz w:val="24"/>
          <w:szCs w:val="24"/>
        </w:rPr>
        <w:t xml:space="preserve"> рівня володіння мовою та мотивації. Деякі </w:t>
      </w:r>
      <w:r w:rsidRPr="009D7C45">
        <w:rPr>
          <w:rFonts w:ascii="Times New Roman" w:hAnsi="Times New Roman" w:cs="Times New Roman"/>
          <w:color w:val="000000"/>
          <w:kern w:val="0"/>
          <w:sz w:val="24"/>
          <w:szCs w:val="24"/>
        </w:rPr>
        <w:t>заклади</w:t>
      </w:r>
      <w:r w:rsidR="001C1F18" w:rsidRPr="009D7C45">
        <w:rPr>
          <w:rFonts w:ascii="Times New Roman" w:hAnsi="Times New Roman" w:cs="Times New Roman"/>
          <w:color w:val="000000"/>
          <w:kern w:val="0"/>
          <w:sz w:val="24"/>
          <w:szCs w:val="24"/>
        </w:rPr>
        <w:t xml:space="preserve"> проводять попередній відбір на основі резюме, про</w:t>
      </w:r>
      <w:r w:rsidRPr="009D7C45">
        <w:rPr>
          <w:rFonts w:ascii="Times New Roman" w:hAnsi="Times New Roman" w:cs="Times New Roman"/>
          <w:color w:val="000000"/>
          <w:kern w:val="0"/>
          <w:sz w:val="24"/>
          <w:szCs w:val="24"/>
        </w:rPr>
        <w:t>є</w:t>
      </w:r>
      <w:r w:rsidR="001C1F18" w:rsidRPr="009D7C45">
        <w:rPr>
          <w:rFonts w:ascii="Times New Roman" w:hAnsi="Times New Roman" w:cs="Times New Roman"/>
          <w:color w:val="000000"/>
          <w:kern w:val="0"/>
          <w:sz w:val="24"/>
          <w:szCs w:val="24"/>
        </w:rPr>
        <w:t xml:space="preserve">ктів дослідницьких </w:t>
      </w:r>
      <w:r w:rsidR="009E1F78">
        <w:rPr>
          <w:rFonts w:ascii="Times New Roman" w:hAnsi="Times New Roman" w:cs="Times New Roman"/>
          <w:color w:val="000000"/>
          <w:kern w:val="0"/>
          <w:sz w:val="24"/>
          <w:szCs w:val="24"/>
        </w:rPr>
        <w:t>пропозицій</w:t>
      </w:r>
      <w:r w:rsidR="001C1F18" w:rsidRPr="009D7C45">
        <w:rPr>
          <w:rFonts w:ascii="Times New Roman" w:hAnsi="Times New Roman" w:cs="Times New Roman"/>
          <w:color w:val="000000"/>
          <w:kern w:val="0"/>
          <w:sz w:val="24"/>
          <w:szCs w:val="24"/>
        </w:rPr>
        <w:t xml:space="preserve"> і рекомендаційних листів. Однак остаточний відбір здійснюється спільно всіма університетами-партнерами.</w:t>
      </w:r>
    </w:p>
    <w:p w14:paraId="2900E350" w14:textId="77777777" w:rsidR="001C1F18" w:rsidRPr="009D7C45" w:rsidRDefault="001C1F18" w:rsidP="009D7C4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9D7C45">
        <w:rPr>
          <w:rFonts w:ascii="Times New Roman" w:hAnsi="Times New Roman" w:cs="Times New Roman"/>
          <w:color w:val="365F91" w:themeColor="accent1" w:themeShade="BF"/>
          <w:kern w:val="0"/>
          <w:sz w:val="24"/>
          <w:szCs w:val="24"/>
        </w:rPr>
        <w:t>Дозвіл на роботу та оподаткування</w:t>
      </w:r>
    </w:p>
    <w:p w14:paraId="0F660B0A" w14:textId="62D0C0B9" w:rsidR="00980AFA" w:rsidRPr="009D7C45" w:rsidRDefault="001C1F18"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У тих країнах, де </w:t>
      </w:r>
      <w:r w:rsidR="00983D07">
        <w:rPr>
          <w:rFonts w:ascii="Times New Roman" w:hAnsi="Times New Roman" w:cs="Times New Roman"/>
          <w:kern w:val="0"/>
          <w:sz w:val="24"/>
          <w:szCs w:val="24"/>
        </w:rPr>
        <w:t>аспіранти</w:t>
      </w:r>
      <w:r w:rsidRPr="009D7C45">
        <w:rPr>
          <w:rFonts w:ascii="Times New Roman" w:hAnsi="Times New Roman" w:cs="Times New Roman"/>
          <w:kern w:val="0"/>
          <w:sz w:val="24"/>
          <w:szCs w:val="24"/>
        </w:rPr>
        <w:t xml:space="preserve"> мають офіційний статус прац</w:t>
      </w:r>
      <w:r w:rsidR="00980AFA" w:rsidRPr="009D7C45">
        <w:rPr>
          <w:rFonts w:ascii="Times New Roman" w:hAnsi="Times New Roman" w:cs="Times New Roman"/>
          <w:kern w:val="0"/>
          <w:sz w:val="24"/>
          <w:szCs w:val="24"/>
        </w:rPr>
        <w:t>івників</w:t>
      </w:r>
      <w:r w:rsidRPr="009D7C45">
        <w:rPr>
          <w:rFonts w:ascii="Times New Roman" w:hAnsi="Times New Roman" w:cs="Times New Roman"/>
          <w:kern w:val="0"/>
          <w:sz w:val="24"/>
          <w:szCs w:val="24"/>
        </w:rPr>
        <w:t xml:space="preserve"> (а не студентів), дозвіл на роботу та оподаткування часто є складним питанням, і ті, хто бере участь у розроб</w:t>
      </w:r>
      <w:r w:rsidR="00A7700D" w:rsidRPr="009D7C45">
        <w:rPr>
          <w:rFonts w:ascii="Times New Roman" w:hAnsi="Times New Roman" w:cs="Times New Roman"/>
          <w:kern w:val="0"/>
          <w:sz w:val="24"/>
          <w:szCs w:val="24"/>
        </w:rPr>
        <w:t>ленні</w:t>
      </w:r>
      <w:r w:rsidRPr="009D7C45">
        <w:rPr>
          <w:rFonts w:ascii="Times New Roman" w:hAnsi="Times New Roman" w:cs="Times New Roman"/>
          <w:kern w:val="0"/>
          <w:sz w:val="24"/>
          <w:szCs w:val="24"/>
        </w:rPr>
        <w:t xml:space="preserve"> </w:t>
      </w:r>
      <w:r w:rsidRPr="009D7C45">
        <w:rPr>
          <w:rFonts w:ascii="Times New Roman" w:hAnsi="Times New Roman" w:cs="Times New Roman"/>
          <w:kern w:val="0"/>
          <w:sz w:val="24"/>
          <w:szCs w:val="24"/>
        </w:rPr>
        <w:lastRenderedPageBreak/>
        <w:t xml:space="preserve">спільних </w:t>
      </w:r>
      <w:r w:rsidR="00983D07">
        <w:rPr>
          <w:rFonts w:ascii="Times New Roman" w:hAnsi="Times New Roman" w:cs="Times New Roman"/>
          <w:kern w:val="0"/>
          <w:sz w:val="24"/>
          <w:szCs w:val="24"/>
        </w:rPr>
        <w:t xml:space="preserve">докторських </w:t>
      </w:r>
      <w:r w:rsidRPr="009D7C45">
        <w:rPr>
          <w:rFonts w:ascii="Times New Roman" w:hAnsi="Times New Roman" w:cs="Times New Roman"/>
          <w:kern w:val="0"/>
          <w:sz w:val="24"/>
          <w:szCs w:val="24"/>
        </w:rPr>
        <w:t>програм, повинні усвідомлювати той факт, що правила надання дозволів на роботу та оподаткування встановлюються на національному рівні</w:t>
      </w:r>
      <w:r w:rsidR="00980AFA" w:rsidRPr="009D7C45">
        <w:rPr>
          <w:rFonts w:ascii="Times New Roman" w:hAnsi="Times New Roman" w:cs="Times New Roman"/>
          <w:kern w:val="0"/>
          <w:sz w:val="24"/>
          <w:szCs w:val="24"/>
        </w:rPr>
        <w:t>.</w:t>
      </w:r>
    </w:p>
    <w:p w14:paraId="5AC258A6" w14:textId="7B0EE595" w:rsidR="001C1F18" w:rsidRPr="009D7C45" w:rsidRDefault="00D44948" w:rsidP="009D7C45">
      <w:pPr>
        <w:keepNext/>
        <w:autoSpaceDE w:val="0"/>
        <w:autoSpaceDN w:val="0"/>
        <w:adjustRightInd w:val="0"/>
        <w:spacing w:before="100" w:beforeAutospacing="1" w:after="100" w:afterAutospacing="1" w:line="240" w:lineRule="auto"/>
        <w:jc w:val="both"/>
        <w:rPr>
          <w:rFonts w:ascii="Times New Roman" w:hAnsi="Times New Roman" w:cs="Times New Roman"/>
          <w:color w:val="365F91" w:themeColor="accent1" w:themeShade="BF"/>
          <w:kern w:val="0"/>
          <w:sz w:val="24"/>
          <w:szCs w:val="24"/>
        </w:rPr>
      </w:pPr>
      <w:r w:rsidRPr="009D7C45">
        <w:rPr>
          <w:rFonts w:ascii="Times New Roman" w:hAnsi="Times New Roman" w:cs="Times New Roman"/>
          <w:color w:val="365F91" w:themeColor="accent1" w:themeShade="BF"/>
          <w:kern w:val="0"/>
          <w:sz w:val="24"/>
          <w:szCs w:val="24"/>
        </w:rPr>
        <w:t xml:space="preserve">Угоди про спільне </w:t>
      </w:r>
      <w:r w:rsidR="003517F5">
        <w:rPr>
          <w:rFonts w:ascii="Times New Roman" w:hAnsi="Times New Roman" w:cs="Times New Roman"/>
          <w:color w:val="365F91" w:themeColor="accent1" w:themeShade="BF"/>
          <w:kern w:val="0"/>
          <w:sz w:val="24"/>
          <w:szCs w:val="24"/>
        </w:rPr>
        <w:t xml:space="preserve">наукове </w:t>
      </w:r>
      <w:r w:rsidRPr="009D7C45">
        <w:rPr>
          <w:rFonts w:ascii="Times New Roman" w:hAnsi="Times New Roman" w:cs="Times New Roman"/>
          <w:color w:val="365F91" w:themeColor="accent1" w:themeShade="BF"/>
          <w:kern w:val="0"/>
          <w:sz w:val="24"/>
          <w:szCs w:val="24"/>
        </w:rPr>
        <w:t>керівництво (cotutelle)</w:t>
      </w:r>
    </w:p>
    <w:p w14:paraId="7A3F2117" w14:textId="1E2F5E06" w:rsidR="001C1F18" w:rsidRPr="009D7C45" w:rsidRDefault="001C1F18"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У спільних докторських програмах угода про спільне </w:t>
      </w:r>
      <w:r w:rsidR="0097489B">
        <w:rPr>
          <w:rFonts w:ascii="Times New Roman" w:hAnsi="Times New Roman" w:cs="Times New Roman"/>
          <w:kern w:val="0"/>
          <w:sz w:val="24"/>
          <w:szCs w:val="24"/>
        </w:rPr>
        <w:t xml:space="preserve">наукове </w:t>
      </w:r>
      <w:r w:rsidRPr="009D7C45">
        <w:rPr>
          <w:rFonts w:ascii="Times New Roman" w:hAnsi="Times New Roman" w:cs="Times New Roman"/>
          <w:kern w:val="0"/>
          <w:sz w:val="24"/>
          <w:szCs w:val="24"/>
        </w:rPr>
        <w:t>керівництво є індивідуальною</w:t>
      </w:r>
      <w:r w:rsidR="00D44948" w:rsidRPr="009D7C45">
        <w:rPr>
          <w:rFonts w:ascii="Times New Roman" w:hAnsi="Times New Roman" w:cs="Times New Roman"/>
          <w:kern w:val="0"/>
          <w:sz w:val="24"/>
          <w:szCs w:val="24"/>
        </w:rPr>
        <w:t>, тобто</w:t>
      </w:r>
      <w:r w:rsidRPr="009D7C45">
        <w:rPr>
          <w:rFonts w:ascii="Times New Roman" w:hAnsi="Times New Roman" w:cs="Times New Roman"/>
          <w:kern w:val="0"/>
          <w:sz w:val="24"/>
          <w:szCs w:val="24"/>
        </w:rPr>
        <w:t xml:space="preserve"> </w:t>
      </w:r>
      <w:r w:rsidR="00D44948" w:rsidRPr="009D7C45">
        <w:rPr>
          <w:rFonts w:ascii="Times New Roman" w:hAnsi="Times New Roman" w:cs="Times New Roman"/>
          <w:kern w:val="0"/>
          <w:sz w:val="24"/>
          <w:szCs w:val="24"/>
        </w:rPr>
        <w:t xml:space="preserve">для кожного </w:t>
      </w:r>
      <w:r w:rsidR="0097489B">
        <w:rPr>
          <w:rFonts w:ascii="Times New Roman" w:hAnsi="Times New Roman" w:cs="Times New Roman"/>
          <w:kern w:val="0"/>
          <w:sz w:val="24"/>
          <w:szCs w:val="24"/>
        </w:rPr>
        <w:t>аспіранта</w:t>
      </w:r>
      <w:r w:rsidR="00D44948" w:rsidRPr="009D7C45">
        <w:rPr>
          <w:rFonts w:ascii="Times New Roman" w:hAnsi="Times New Roman" w:cs="Times New Roman"/>
          <w:kern w:val="0"/>
          <w:sz w:val="24"/>
          <w:szCs w:val="24"/>
        </w:rPr>
        <w:t xml:space="preserve"> </w:t>
      </w:r>
      <w:r w:rsidRPr="009D7C45">
        <w:rPr>
          <w:rFonts w:ascii="Times New Roman" w:hAnsi="Times New Roman" w:cs="Times New Roman"/>
          <w:kern w:val="0"/>
          <w:sz w:val="24"/>
          <w:szCs w:val="24"/>
        </w:rPr>
        <w:t xml:space="preserve">потрібна </w:t>
      </w:r>
      <w:r w:rsidR="00D44948" w:rsidRPr="009D7C45">
        <w:rPr>
          <w:rFonts w:ascii="Times New Roman" w:hAnsi="Times New Roman" w:cs="Times New Roman"/>
          <w:kern w:val="0"/>
          <w:sz w:val="24"/>
          <w:szCs w:val="24"/>
        </w:rPr>
        <w:t>індивідуальна</w:t>
      </w:r>
      <w:r w:rsidRPr="009D7C45">
        <w:rPr>
          <w:rFonts w:ascii="Times New Roman" w:hAnsi="Times New Roman" w:cs="Times New Roman"/>
          <w:kern w:val="0"/>
          <w:sz w:val="24"/>
          <w:szCs w:val="24"/>
        </w:rPr>
        <w:t xml:space="preserve"> угода. </w:t>
      </w:r>
      <w:r w:rsidR="00D44948" w:rsidRPr="009D7C45">
        <w:rPr>
          <w:rFonts w:ascii="Times New Roman" w:hAnsi="Times New Roman" w:cs="Times New Roman"/>
          <w:kern w:val="0"/>
          <w:sz w:val="24"/>
          <w:szCs w:val="24"/>
        </w:rPr>
        <w:t>Угода</w:t>
      </w:r>
      <w:r w:rsidRPr="009D7C45">
        <w:rPr>
          <w:rFonts w:ascii="Times New Roman" w:hAnsi="Times New Roman" w:cs="Times New Roman"/>
          <w:kern w:val="0"/>
          <w:sz w:val="24"/>
          <w:szCs w:val="24"/>
        </w:rPr>
        <w:t xml:space="preserve"> про спільне </w:t>
      </w:r>
      <w:r w:rsidR="0097489B">
        <w:rPr>
          <w:rFonts w:ascii="Times New Roman" w:hAnsi="Times New Roman" w:cs="Times New Roman"/>
          <w:kern w:val="0"/>
          <w:sz w:val="24"/>
          <w:szCs w:val="24"/>
        </w:rPr>
        <w:t xml:space="preserve">наукове </w:t>
      </w:r>
      <w:r w:rsidRPr="009D7C45">
        <w:rPr>
          <w:rFonts w:ascii="Times New Roman" w:hAnsi="Times New Roman" w:cs="Times New Roman"/>
          <w:kern w:val="0"/>
          <w:sz w:val="24"/>
          <w:szCs w:val="24"/>
        </w:rPr>
        <w:t>керівництво регулює обов</w:t>
      </w:r>
      <w:r w:rsidR="00D44948" w:rsidRPr="009D7C45">
        <w:rPr>
          <w:rFonts w:ascii="Times New Roman" w:hAnsi="Times New Roman" w:cs="Times New Roman"/>
          <w:kern w:val="0"/>
          <w:sz w:val="24"/>
          <w:szCs w:val="24"/>
        </w:rPr>
        <w:t>’</w:t>
      </w:r>
      <w:r w:rsidRPr="009D7C45">
        <w:rPr>
          <w:rFonts w:ascii="Times New Roman" w:hAnsi="Times New Roman" w:cs="Times New Roman"/>
          <w:kern w:val="0"/>
          <w:sz w:val="24"/>
          <w:szCs w:val="24"/>
        </w:rPr>
        <w:t xml:space="preserve">язки партнерів щодо спільного керівництва, оцінювання та захисту дисертації. </w:t>
      </w:r>
      <w:r w:rsidR="00D44948" w:rsidRPr="009D7C45">
        <w:rPr>
          <w:rFonts w:ascii="Times New Roman" w:hAnsi="Times New Roman" w:cs="Times New Roman"/>
          <w:kern w:val="0"/>
          <w:sz w:val="24"/>
          <w:szCs w:val="24"/>
        </w:rPr>
        <w:t>Можуть бути сформульовані д</w:t>
      </w:r>
      <w:r w:rsidRPr="009D7C45">
        <w:rPr>
          <w:rFonts w:ascii="Times New Roman" w:hAnsi="Times New Roman" w:cs="Times New Roman"/>
          <w:kern w:val="0"/>
          <w:sz w:val="24"/>
          <w:szCs w:val="24"/>
        </w:rPr>
        <w:t>одаткові інституційні</w:t>
      </w:r>
      <w:r w:rsidR="0097489B">
        <w:rPr>
          <w:rFonts w:ascii="Times New Roman" w:hAnsi="Times New Roman" w:cs="Times New Roman"/>
          <w:kern w:val="0"/>
          <w:sz w:val="24"/>
          <w:szCs w:val="24"/>
        </w:rPr>
        <w:t xml:space="preserve"> </w:t>
      </w:r>
      <w:r w:rsidRPr="009D7C45">
        <w:rPr>
          <w:rFonts w:ascii="Times New Roman" w:hAnsi="Times New Roman" w:cs="Times New Roman"/>
          <w:kern w:val="0"/>
          <w:sz w:val="24"/>
          <w:szCs w:val="24"/>
        </w:rPr>
        <w:t xml:space="preserve">угоди, </w:t>
      </w:r>
      <w:r w:rsidR="00D44948" w:rsidRPr="009D7C45">
        <w:rPr>
          <w:rFonts w:ascii="Times New Roman" w:hAnsi="Times New Roman" w:cs="Times New Roman"/>
          <w:kern w:val="0"/>
          <w:sz w:val="24"/>
          <w:szCs w:val="24"/>
        </w:rPr>
        <w:t xml:space="preserve">що </w:t>
      </w:r>
      <w:r w:rsidRPr="009D7C45">
        <w:rPr>
          <w:rFonts w:ascii="Times New Roman" w:hAnsi="Times New Roman" w:cs="Times New Roman"/>
          <w:kern w:val="0"/>
          <w:sz w:val="24"/>
          <w:szCs w:val="24"/>
        </w:rPr>
        <w:t>посилаю</w:t>
      </w:r>
      <w:r w:rsidR="00D44948" w:rsidRPr="009D7C45">
        <w:rPr>
          <w:rFonts w:ascii="Times New Roman" w:hAnsi="Times New Roman" w:cs="Times New Roman"/>
          <w:kern w:val="0"/>
          <w:sz w:val="24"/>
          <w:szCs w:val="24"/>
        </w:rPr>
        <w:t>ться</w:t>
      </w:r>
      <w:r w:rsidRPr="009D7C45">
        <w:rPr>
          <w:rFonts w:ascii="Times New Roman" w:hAnsi="Times New Roman" w:cs="Times New Roman"/>
          <w:kern w:val="0"/>
          <w:sz w:val="24"/>
          <w:szCs w:val="24"/>
        </w:rPr>
        <w:t xml:space="preserve"> на загальні процедури і системи. Такі угоди можуть охоплювати питання забезпечення якості, вступу, оцінювання та видачі дипломів. </w:t>
      </w:r>
      <w:r w:rsidR="00D44948" w:rsidRPr="009D7C45">
        <w:rPr>
          <w:rFonts w:ascii="Times New Roman" w:hAnsi="Times New Roman" w:cs="Times New Roman"/>
          <w:kern w:val="0"/>
          <w:sz w:val="24"/>
          <w:szCs w:val="24"/>
        </w:rPr>
        <w:t xml:space="preserve">Спільна докторська програма має включати спільне </w:t>
      </w:r>
      <w:r w:rsidR="0097489B">
        <w:rPr>
          <w:rFonts w:ascii="Times New Roman" w:hAnsi="Times New Roman" w:cs="Times New Roman"/>
          <w:kern w:val="0"/>
          <w:sz w:val="24"/>
          <w:szCs w:val="24"/>
        </w:rPr>
        <w:t xml:space="preserve">наукове </w:t>
      </w:r>
      <w:r w:rsidR="00D44948" w:rsidRPr="009D7C45">
        <w:rPr>
          <w:rFonts w:ascii="Times New Roman" w:hAnsi="Times New Roman" w:cs="Times New Roman"/>
          <w:kern w:val="0"/>
          <w:sz w:val="24"/>
          <w:szCs w:val="24"/>
        </w:rPr>
        <w:t xml:space="preserve">керівництво, але також може передбачати співпрацю у </w:t>
      </w:r>
      <w:r w:rsidR="0097489B">
        <w:rPr>
          <w:rFonts w:ascii="Times New Roman" w:hAnsi="Times New Roman" w:cs="Times New Roman"/>
          <w:kern w:val="0"/>
          <w:sz w:val="24"/>
          <w:szCs w:val="24"/>
        </w:rPr>
        <w:t xml:space="preserve">межах освітньої складової, зокрема з розвитку </w:t>
      </w:r>
      <w:r w:rsidR="00D44948" w:rsidRPr="009D7C45">
        <w:rPr>
          <w:rFonts w:ascii="Times New Roman" w:hAnsi="Times New Roman" w:cs="Times New Roman"/>
          <w:kern w:val="0"/>
          <w:sz w:val="24"/>
          <w:szCs w:val="24"/>
        </w:rPr>
        <w:t>дослідницьки</w:t>
      </w:r>
      <w:r w:rsidR="0097489B">
        <w:rPr>
          <w:rFonts w:ascii="Times New Roman" w:hAnsi="Times New Roman" w:cs="Times New Roman"/>
          <w:kern w:val="0"/>
          <w:sz w:val="24"/>
          <w:szCs w:val="24"/>
        </w:rPr>
        <w:t>х компетентностей</w:t>
      </w:r>
      <w:r w:rsidRPr="009D7C45">
        <w:rPr>
          <w:rFonts w:ascii="Times New Roman" w:hAnsi="Times New Roman" w:cs="Times New Roman"/>
          <w:kern w:val="0"/>
          <w:sz w:val="24"/>
          <w:szCs w:val="24"/>
        </w:rPr>
        <w:t>.</w:t>
      </w:r>
    </w:p>
    <w:p w14:paraId="138BBA04" w14:textId="0A150D07" w:rsidR="001C1F18" w:rsidRPr="009D7C45" w:rsidRDefault="00D44948" w:rsidP="009D7C45">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9D7C45">
        <w:rPr>
          <w:rFonts w:ascii="Times New Roman" w:hAnsi="Times New Roman" w:cs="Times New Roman"/>
          <w:kern w:val="0"/>
          <w:sz w:val="24"/>
          <w:szCs w:val="24"/>
        </w:rPr>
        <w:t xml:space="preserve">French-Dutch Academy </w:t>
      </w:r>
      <w:r w:rsidR="001C1F18" w:rsidRPr="009D7C45">
        <w:rPr>
          <w:rFonts w:ascii="Times New Roman" w:hAnsi="Times New Roman" w:cs="Times New Roman"/>
          <w:kern w:val="0"/>
          <w:sz w:val="24"/>
          <w:szCs w:val="24"/>
        </w:rPr>
        <w:t xml:space="preserve">пропонує </w:t>
      </w:r>
      <w:hyperlink r:id="rId69" w:history="1">
        <w:r w:rsidR="00296D70" w:rsidRPr="009D7C45">
          <w:rPr>
            <w:rStyle w:val="a8"/>
            <w:rFonts w:ascii="Times New Roman" w:hAnsi="Times New Roman" w:cs="Times New Roman"/>
            <w:sz w:val="24"/>
            <w:szCs w:val="24"/>
          </w:rPr>
          <w:t>Довідник</w:t>
        </w:r>
      </w:hyperlink>
      <w:r w:rsidR="00296D70" w:rsidRPr="009D7C45">
        <w:rPr>
          <w:rFonts w:ascii="Times New Roman" w:hAnsi="Times New Roman" w:cs="Times New Roman"/>
          <w:color w:val="000000"/>
          <w:kern w:val="0"/>
          <w:sz w:val="24"/>
          <w:szCs w:val="24"/>
        </w:rPr>
        <w:t xml:space="preserve"> </w:t>
      </w:r>
      <w:r w:rsidRPr="009D7C45">
        <w:rPr>
          <w:rFonts w:ascii="Times New Roman" w:hAnsi="Times New Roman" w:cs="Times New Roman"/>
          <w:color w:val="000000"/>
          <w:kern w:val="0"/>
          <w:sz w:val="24"/>
          <w:szCs w:val="24"/>
        </w:rPr>
        <w:t>для спільних докторських програм між Францією та Нідерландами</w:t>
      </w:r>
      <w:r w:rsidR="001C1F18" w:rsidRPr="009D7C45">
        <w:rPr>
          <w:rFonts w:ascii="Times New Roman" w:hAnsi="Times New Roman" w:cs="Times New Roman"/>
          <w:color w:val="000000"/>
          <w:kern w:val="0"/>
          <w:sz w:val="24"/>
          <w:szCs w:val="24"/>
        </w:rPr>
        <w:t xml:space="preserve">. </w:t>
      </w:r>
      <w:r w:rsidR="0037508F" w:rsidRPr="009D7C45">
        <w:rPr>
          <w:rFonts w:ascii="Times New Roman" w:hAnsi="Times New Roman" w:cs="Times New Roman"/>
          <w:color w:val="000000"/>
          <w:kern w:val="0"/>
          <w:sz w:val="24"/>
          <w:szCs w:val="24"/>
        </w:rPr>
        <w:t>Довід</w:t>
      </w:r>
      <w:r w:rsidR="001C1F18" w:rsidRPr="009D7C45">
        <w:rPr>
          <w:rFonts w:ascii="Times New Roman" w:hAnsi="Times New Roman" w:cs="Times New Roman"/>
          <w:color w:val="000000"/>
          <w:kern w:val="0"/>
          <w:sz w:val="24"/>
          <w:szCs w:val="24"/>
        </w:rPr>
        <w:t xml:space="preserve">ник </w:t>
      </w:r>
      <w:r w:rsidR="002255BA" w:rsidRPr="009D7C45">
        <w:rPr>
          <w:rFonts w:ascii="Times New Roman" w:hAnsi="Times New Roman" w:cs="Times New Roman"/>
          <w:color w:val="000000"/>
          <w:kern w:val="0"/>
          <w:sz w:val="24"/>
          <w:szCs w:val="24"/>
        </w:rPr>
        <w:t>окреслює</w:t>
      </w:r>
      <w:r w:rsidR="001C1F18" w:rsidRPr="009D7C45">
        <w:rPr>
          <w:rFonts w:ascii="Times New Roman" w:hAnsi="Times New Roman" w:cs="Times New Roman"/>
          <w:color w:val="000000"/>
          <w:kern w:val="0"/>
          <w:sz w:val="24"/>
          <w:szCs w:val="24"/>
        </w:rPr>
        <w:t xml:space="preserve"> зобов</w:t>
      </w:r>
      <w:r w:rsidRPr="009D7C45">
        <w:rPr>
          <w:rFonts w:ascii="Times New Roman" w:hAnsi="Times New Roman" w:cs="Times New Roman"/>
          <w:color w:val="000000"/>
          <w:kern w:val="0"/>
          <w:sz w:val="24"/>
          <w:szCs w:val="24"/>
        </w:rPr>
        <w:t>’</w:t>
      </w:r>
      <w:r w:rsidR="001C1F18" w:rsidRPr="009D7C45">
        <w:rPr>
          <w:rFonts w:ascii="Times New Roman" w:hAnsi="Times New Roman" w:cs="Times New Roman"/>
          <w:color w:val="000000"/>
          <w:kern w:val="0"/>
          <w:sz w:val="24"/>
          <w:szCs w:val="24"/>
        </w:rPr>
        <w:t xml:space="preserve">язання для </w:t>
      </w:r>
      <w:r w:rsidR="006756BF">
        <w:rPr>
          <w:rFonts w:ascii="Times New Roman" w:hAnsi="Times New Roman" w:cs="Times New Roman"/>
          <w:color w:val="000000"/>
          <w:kern w:val="0"/>
          <w:sz w:val="24"/>
          <w:szCs w:val="24"/>
        </w:rPr>
        <w:t>аспірантів</w:t>
      </w:r>
      <w:r w:rsidR="001C1F18" w:rsidRPr="009D7C45">
        <w:rPr>
          <w:rFonts w:ascii="Times New Roman" w:hAnsi="Times New Roman" w:cs="Times New Roman"/>
          <w:color w:val="000000"/>
          <w:kern w:val="0"/>
          <w:sz w:val="24"/>
          <w:szCs w:val="24"/>
        </w:rPr>
        <w:t xml:space="preserve"> і наукових керівників, а також розглядає </w:t>
      </w:r>
      <w:r w:rsidR="002255BA" w:rsidRPr="009D7C45">
        <w:rPr>
          <w:rFonts w:ascii="Times New Roman" w:hAnsi="Times New Roman" w:cs="Times New Roman"/>
          <w:color w:val="000000"/>
          <w:kern w:val="0"/>
          <w:sz w:val="24"/>
          <w:szCs w:val="24"/>
        </w:rPr>
        <w:t xml:space="preserve">питання мобільності, регламенту захисту дисертації та складу </w:t>
      </w:r>
      <w:r w:rsidR="006756BF">
        <w:rPr>
          <w:rFonts w:ascii="Times New Roman" w:hAnsi="Times New Roman" w:cs="Times New Roman"/>
          <w:color w:val="000000"/>
          <w:kern w:val="0"/>
          <w:sz w:val="24"/>
          <w:szCs w:val="24"/>
        </w:rPr>
        <w:t>вченої ради</w:t>
      </w:r>
      <w:r w:rsidR="002255BA" w:rsidRPr="009D7C45">
        <w:rPr>
          <w:rFonts w:ascii="Times New Roman" w:hAnsi="Times New Roman" w:cs="Times New Roman"/>
          <w:color w:val="000000"/>
          <w:kern w:val="0"/>
          <w:sz w:val="24"/>
          <w:szCs w:val="24"/>
        </w:rPr>
        <w:t>, докторського диплома, соціального захисту та оподаткування, інтелектуальної власності та забезпечення якості</w:t>
      </w:r>
      <w:r w:rsidR="001C1F18" w:rsidRPr="009D7C45">
        <w:rPr>
          <w:rFonts w:ascii="Times New Roman" w:hAnsi="Times New Roman" w:cs="Times New Roman"/>
          <w:color w:val="000000"/>
          <w:kern w:val="0"/>
          <w:sz w:val="24"/>
          <w:szCs w:val="24"/>
        </w:rPr>
        <w:t>.</w:t>
      </w:r>
    </w:p>
    <w:p w14:paraId="338D371C" w14:textId="516DA582" w:rsidR="001C1F18" w:rsidRPr="006756BF" w:rsidRDefault="0058376E" w:rsidP="009D7C45">
      <w:pPr>
        <w:pStyle w:val="2"/>
        <w:spacing w:before="100" w:beforeAutospacing="1" w:after="100" w:afterAutospacing="1" w:line="240" w:lineRule="auto"/>
        <w:jc w:val="both"/>
        <w:rPr>
          <w:rFonts w:ascii="Times New Roman" w:hAnsi="Times New Roman" w:cs="Times New Roman"/>
          <w:kern w:val="0"/>
          <w:sz w:val="24"/>
          <w:szCs w:val="24"/>
        </w:rPr>
      </w:pPr>
      <w:bookmarkStart w:id="43" w:name="_Toc188337467"/>
      <w:r w:rsidRPr="006756BF">
        <w:rPr>
          <w:rFonts w:ascii="Times New Roman" w:hAnsi="Times New Roman" w:cs="Times New Roman"/>
          <w:sz w:val="24"/>
          <w:szCs w:val="24"/>
        </w:rPr>
        <w:t xml:space="preserve">Приклади </w:t>
      </w:r>
      <w:bookmarkEnd w:id="43"/>
      <w:r w:rsidRPr="006756BF">
        <w:rPr>
          <w:rFonts w:ascii="Times New Roman" w:hAnsi="Times New Roman" w:cs="Times New Roman"/>
          <w:sz w:val="24"/>
          <w:szCs w:val="24"/>
        </w:rPr>
        <w:t>т</w:t>
      </w:r>
      <w:r w:rsidR="00B7748E" w:rsidRPr="006756BF">
        <w:rPr>
          <w:rFonts w:ascii="Times New Roman" w:hAnsi="Times New Roman" w:cs="Times New Roman"/>
          <w:kern w:val="0"/>
          <w:sz w:val="24"/>
          <w:szCs w:val="24"/>
        </w:rPr>
        <w:t>ипов</w:t>
      </w:r>
      <w:r w:rsidRPr="006756BF">
        <w:rPr>
          <w:rFonts w:ascii="Times New Roman" w:hAnsi="Times New Roman" w:cs="Times New Roman"/>
          <w:kern w:val="0"/>
          <w:sz w:val="24"/>
          <w:szCs w:val="24"/>
        </w:rPr>
        <w:t>их</w:t>
      </w:r>
      <w:r w:rsidR="00B7748E" w:rsidRPr="006756BF">
        <w:rPr>
          <w:rFonts w:ascii="Times New Roman" w:hAnsi="Times New Roman" w:cs="Times New Roman"/>
          <w:kern w:val="0"/>
          <w:sz w:val="24"/>
          <w:szCs w:val="24"/>
        </w:rPr>
        <w:t xml:space="preserve"> </w:t>
      </w:r>
      <w:r w:rsidR="001C1F18" w:rsidRPr="006756BF">
        <w:rPr>
          <w:rFonts w:ascii="Times New Roman" w:hAnsi="Times New Roman" w:cs="Times New Roman"/>
          <w:kern w:val="0"/>
          <w:sz w:val="24"/>
          <w:szCs w:val="24"/>
        </w:rPr>
        <w:t>договор</w:t>
      </w:r>
      <w:r w:rsidRPr="006756BF">
        <w:rPr>
          <w:rFonts w:ascii="Times New Roman" w:hAnsi="Times New Roman" w:cs="Times New Roman"/>
          <w:kern w:val="0"/>
          <w:sz w:val="24"/>
          <w:szCs w:val="24"/>
        </w:rPr>
        <w:t>ів</w:t>
      </w:r>
      <w:r w:rsidR="001C1F18" w:rsidRPr="006756BF">
        <w:rPr>
          <w:rFonts w:ascii="Times New Roman" w:hAnsi="Times New Roman" w:cs="Times New Roman"/>
          <w:kern w:val="0"/>
          <w:sz w:val="24"/>
          <w:szCs w:val="24"/>
        </w:rPr>
        <w:t xml:space="preserve"> про </w:t>
      </w:r>
      <w:r w:rsidR="00B7748E" w:rsidRPr="006756BF">
        <w:rPr>
          <w:rFonts w:ascii="Times New Roman" w:hAnsi="Times New Roman" w:cs="Times New Roman"/>
          <w:kern w:val="0"/>
          <w:sz w:val="24"/>
          <w:szCs w:val="24"/>
        </w:rPr>
        <w:t xml:space="preserve">партнерство </w:t>
      </w:r>
      <w:r w:rsidRPr="006756BF">
        <w:rPr>
          <w:rFonts w:ascii="Times New Roman" w:hAnsi="Times New Roman" w:cs="Times New Roman"/>
          <w:kern w:val="0"/>
          <w:sz w:val="24"/>
          <w:szCs w:val="24"/>
        </w:rPr>
        <w:t xml:space="preserve">з реалізації міжнародної </w:t>
      </w:r>
      <w:r w:rsidR="001C1F18" w:rsidRPr="006756BF">
        <w:rPr>
          <w:rFonts w:ascii="Times New Roman" w:hAnsi="Times New Roman" w:cs="Times New Roman"/>
          <w:kern w:val="0"/>
          <w:sz w:val="24"/>
          <w:szCs w:val="24"/>
        </w:rPr>
        <w:t>спільн</w:t>
      </w:r>
      <w:r w:rsidR="00B7748E" w:rsidRPr="006756BF">
        <w:rPr>
          <w:rFonts w:ascii="Times New Roman" w:hAnsi="Times New Roman" w:cs="Times New Roman"/>
          <w:kern w:val="0"/>
          <w:sz w:val="24"/>
          <w:szCs w:val="24"/>
        </w:rPr>
        <w:t>ої</w:t>
      </w:r>
      <w:r w:rsidR="001C1F18" w:rsidRPr="006756BF">
        <w:rPr>
          <w:rFonts w:ascii="Times New Roman" w:hAnsi="Times New Roman" w:cs="Times New Roman"/>
          <w:kern w:val="0"/>
          <w:sz w:val="24"/>
          <w:szCs w:val="24"/>
        </w:rPr>
        <w:t xml:space="preserve"> докторськ</w:t>
      </w:r>
      <w:r w:rsidR="00B7748E" w:rsidRPr="006756BF">
        <w:rPr>
          <w:rFonts w:ascii="Times New Roman" w:hAnsi="Times New Roman" w:cs="Times New Roman"/>
          <w:kern w:val="0"/>
          <w:sz w:val="24"/>
          <w:szCs w:val="24"/>
        </w:rPr>
        <w:t>ої</w:t>
      </w:r>
      <w:r w:rsidR="001C1F18" w:rsidRPr="006756BF">
        <w:rPr>
          <w:rFonts w:ascii="Times New Roman" w:hAnsi="Times New Roman" w:cs="Times New Roman"/>
          <w:kern w:val="0"/>
          <w:sz w:val="24"/>
          <w:szCs w:val="24"/>
        </w:rPr>
        <w:t xml:space="preserve"> програм</w:t>
      </w:r>
      <w:r w:rsidR="00B7748E" w:rsidRPr="006756BF">
        <w:rPr>
          <w:rFonts w:ascii="Times New Roman" w:hAnsi="Times New Roman" w:cs="Times New Roman"/>
          <w:kern w:val="0"/>
          <w:sz w:val="24"/>
          <w:szCs w:val="24"/>
        </w:rPr>
        <w:t>и</w:t>
      </w:r>
      <w:r w:rsidR="001C1F18" w:rsidRPr="006756BF">
        <w:rPr>
          <w:rFonts w:ascii="Times New Roman" w:hAnsi="Times New Roman" w:cs="Times New Roman"/>
          <w:kern w:val="0"/>
          <w:sz w:val="24"/>
          <w:szCs w:val="24"/>
        </w:rPr>
        <w:t>:</w:t>
      </w:r>
    </w:p>
    <w:p w14:paraId="31871580" w14:textId="6BEE1A9B" w:rsidR="001C1F18" w:rsidRPr="009D7C45" w:rsidRDefault="001C1F18" w:rsidP="005D2F5A">
      <w:pPr>
        <w:numPr>
          <w:ilvl w:val="0"/>
          <w:numId w:val="91"/>
        </w:numPr>
        <w:autoSpaceDE w:val="0"/>
        <w:autoSpaceDN w:val="0"/>
        <w:adjustRightInd w:val="0"/>
        <w:spacing w:after="0" w:line="240" w:lineRule="auto"/>
        <w:ind w:left="714" w:hanging="357"/>
        <w:rPr>
          <w:rFonts w:ascii="Times New Roman" w:hAnsi="Times New Roman" w:cs="Times New Roman"/>
          <w:kern w:val="0"/>
          <w:sz w:val="24"/>
          <w:szCs w:val="24"/>
        </w:rPr>
      </w:pPr>
      <w:hyperlink r:id="rId70" w:history="1">
        <w:r w:rsidRPr="009D7C45">
          <w:rPr>
            <w:rStyle w:val="a8"/>
            <w:rFonts w:ascii="Times New Roman" w:hAnsi="Times New Roman" w:cs="Times New Roman"/>
            <w:sz w:val="24"/>
            <w:szCs w:val="24"/>
          </w:rPr>
          <w:t>Меморандум про спільну докторськ</w:t>
        </w:r>
        <w:r w:rsidR="00B7748E" w:rsidRPr="009D7C45">
          <w:rPr>
            <w:rStyle w:val="a8"/>
            <w:rFonts w:ascii="Times New Roman" w:hAnsi="Times New Roman" w:cs="Times New Roman"/>
            <w:sz w:val="24"/>
            <w:szCs w:val="24"/>
          </w:rPr>
          <w:t>у програму</w:t>
        </w:r>
      </w:hyperlink>
      <w:r w:rsidR="00B7748E" w:rsidRPr="009D7C45">
        <w:rPr>
          <w:rFonts w:ascii="Times New Roman" w:hAnsi="Times New Roman" w:cs="Times New Roman"/>
          <w:kern w:val="0"/>
          <w:sz w:val="24"/>
          <w:szCs w:val="24"/>
        </w:rPr>
        <w:t xml:space="preserve"> (University of Heidelberg, Німеччина),</w:t>
      </w:r>
    </w:p>
    <w:p w14:paraId="6207E974" w14:textId="2429C52B" w:rsidR="001C1F18" w:rsidRPr="009D7C45" w:rsidRDefault="001C1F18" w:rsidP="005D2F5A">
      <w:pPr>
        <w:numPr>
          <w:ilvl w:val="0"/>
          <w:numId w:val="91"/>
        </w:numPr>
        <w:autoSpaceDE w:val="0"/>
        <w:autoSpaceDN w:val="0"/>
        <w:adjustRightInd w:val="0"/>
        <w:spacing w:after="0" w:line="240" w:lineRule="auto"/>
        <w:ind w:left="714" w:hanging="357"/>
        <w:rPr>
          <w:rFonts w:ascii="Times New Roman" w:hAnsi="Times New Roman" w:cs="Times New Roman"/>
          <w:kern w:val="0"/>
          <w:sz w:val="24"/>
          <w:szCs w:val="24"/>
        </w:rPr>
      </w:pPr>
      <w:hyperlink r:id="rId71" w:history="1">
        <w:r w:rsidRPr="009D7C45">
          <w:rPr>
            <w:rStyle w:val="a8"/>
            <w:rFonts w:ascii="Times New Roman" w:hAnsi="Times New Roman" w:cs="Times New Roman"/>
            <w:sz w:val="24"/>
            <w:szCs w:val="24"/>
          </w:rPr>
          <w:t xml:space="preserve">Керівництво для програм здобуття </w:t>
        </w:r>
        <w:r w:rsidR="000704DF" w:rsidRPr="009D7C45">
          <w:rPr>
            <w:rStyle w:val="a8"/>
            <w:rFonts w:ascii="Times New Roman" w:hAnsi="Times New Roman" w:cs="Times New Roman"/>
            <w:sz w:val="24"/>
            <w:szCs w:val="24"/>
          </w:rPr>
          <w:t xml:space="preserve">спільного </w:t>
        </w:r>
        <w:r w:rsidRPr="009D7C45">
          <w:rPr>
            <w:rStyle w:val="a8"/>
            <w:rFonts w:ascii="Times New Roman" w:hAnsi="Times New Roman" w:cs="Times New Roman"/>
            <w:sz w:val="24"/>
            <w:szCs w:val="24"/>
          </w:rPr>
          <w:t>ступеня доктора філософії</w:t>
        </w:r>
      </w:hyperlink>
      <w:r w:rsidR="000704DF" w:rsidRPr="009D7C45">
        <w:rPr>
          <w:rFonts w:ascii="Times New Roman" w:hAnsi="Times New Roman" w:cs="Times New Roman"/>
          <w:sz w:val="24"/>
          <w:szCs w:val="24"/>
        </w:rPr>
        <w:t xml:space="preserve"> (University of Edinburgh, Scotland),</w:t>
      </w:r>
    </w:p>
    <w:p w14:paraId="315EC793" w14:textId="4EA8E711" w:rsidR="000704DF" w:rsidRPr="009D7C45" w:rsidRDefault="001C1F18" w:rsidP="005D2F5A">
      <w:pPr>
        <w:numPr>
          <w:ilvl w:val="0"/>
          <w:numId w:val="91"/>
        </w:numPr>
        <w:autoSpaceDE w:val="0"/>
        <w:autoSpaceDN w:val="0"/>
        <w:adjustRightInd w:val="0"/>
        <w:spacing w:after="0" w:line="240" w:lineRule="auto"/>
        <w:ind w:left="714" w:hanging="357"/>
        <w:rPr>
          <w:rFonts w:ascii="Times New Roman" w:hAnsi="Times New Roman" w:cs="Times New Roman"/>
          <w:sz w:val="24"/>
          <w:szCs w:val="24"/>
        </w:rPr>
      </w:pPr>
      <w:hyperlink r:id="rId72" w:history="1">
        <w:r w:rsidRPr="009D7C45">
          <w:rPr>
            <w:rStyle w:val="a8"/>
            <w:rFonts w:ascii="Times New Roman" w:hAnsi="Times New Roman" w:cs="Times New Roman"/>
            <w:sz w:val="24"/>
            <w:szCs w:val="24"/>
          </w:rPr>
          <w:t>Меморандум про</w:t>
        </w:r>
        <w:r w:rsidR="000704DF" w:rsidRPr="009D7C45">
          <w:rPr>
            <w:rStyle w:val="a8"/>
            <w:rFonts w:ascii="Times New Roman" w:hAnsi="Times New Roman" w:cs="Times New Roman"/>
            <w:sz w:val="24"/>
            <w:szCs w:val="24"/>
          </w:rPr>
          <w:t xml:space="preserve"> співпрацю програми</w:t>
        </w:r>
        <w:r w:rsidRPr="009D7C45">
          <w:rPr>
            <w:rStyle w:val="a8"/>
            <w:rFonts w:ascii="Times New Roman" w:hAnsi="Times New Roman" w:cs="Times New Roman"/>
            <w:sz w:val="24"/>
            <w:szCs w:val="24"/>
          </w:rPr>
          <w:t xml:space="preserve"> спільн</w:t>
        </w:r>
        <w:r w:rsidR="000704DF" w:rsidRPr="009D7C45">
          <w:rPr>
            <w:rStyle w:val="a8"/>
            <w:rFonts w:ascii="Times New Roman" w:hAnsi="Times New Roman" w:cs="Times New Roman"/>
            <w:sz w:val="24"/>
            <w:szCs w:val="24"/>
          </w:rPr>
          <w:t>ого</w:t>
        </w:r>
        <w:r w:rsidRPr="009D7C45">
          <w:rPr>
            <w:rStyle w:val="a8"/>
            <w:rFonts w:ascii="Times New Roman" w:hAnsi="Times New Roman" w:cs="Times New Roman"/>
            <w:sz w:val="24"/>
            <w:szCs w:val="24"/>
          </w:rPr>
          <w:t xml:space="preserve"> ступ</w:t>
        </w:r>
        <w:r w:rsidR="000704DF" w:rsidRPr="009D7C45">
          <w:rPr>
            <w:rStyle w:val="a8"/>
            <w:rFonts w:ascii="Times New Roman" w:hAnsi="Times New Roman" w:cs="Times New Roman"/>
            <w:sz w:val="24"/>
            <w:szCs w:val="24"/>
          </w:rPr>
          <w:t>еня PhD</w:t>
        </w:r>
      </w:hyperlink>
      <w:r w:rsidR="000704DF" w:rsidRPr="009D7C45">
        <w:rPr>
          <w:rFonts w:ascii="Times New Roman" w:hAnsi="Times New Roman" w:cs="Times New Roman"/>
          <w:sz w:val="24"/>
          <w:szCs w:val="24"/>
          <w:lang w:val="ru-RU"/>
        </w:rPr>
        <w:t xml:space="preserve"> </w:t>
      </w:r>
      <w:r w:rsidR="000704DF" w:rsidRPr="009D7C45">
        <w:rPr>
          <w:rFonts w:ascii="Times New Roman" w:hAnsi="Times New Roman" w:cs="Times New Roman"/>
          <w:sz w:val="24"/>
          <w:szCs w:val="24"/>
        </w:rPr>
        <w:t xml:space="preserve">(Universitas21, Південна Корея). </w:t>
      </w:r>
    </w:p>
    <w:sectPr w:rsidR="000704DF" w:rsidRPr="009D7C45" w:rsidSect="005F1428">
      <w:footerReference w:type="default" r:id="rId73"/>
      <w:pgSz w:w="11906" w:h="16838" w:code="9"/>
      <w:pgMar w:top="851" w:right="851" w:bottom="851" w:left="1418" w:header="709" w:footer="13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46FC" w14:textId="77777777" w:rsidR="008824D3" w:rsidRDefault="008824D3" w:rsidP="00011FFD">
      <w:pPr>
        <w:spacing w:after="0" w:line="240" w:lineRule="auto"/>
      </w:pPr>
      <w:r>
        <w:separator/>
      </w:r>
    </w:p>
  </w:endnote>
  <w:endnote w:type="continuationSeparator" w:id="0">
    <w:p w14:paraId="6E3038CC" w14:textId="77777777" w:rsidR="008824D3" w:rsidRDefault="008824D3" w:rsidP="0001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63564"/>
      <w:docPartObj>
        <w:docPartGallery w:val="Page Numbers (Bottom of Page)"/>
        <w:docPartUnique/>
      </w:docPartObj>
    </w:sdtPr>
    <w:sdtEndPr>
      <w:rPr>
        <w:rFonts w:ascii="Times New Roman" w:hAnsi="Times New Roman" w:cs="Times New Roman"/>
      </w:rPr>
    </w:sdtEndPr>
    <w:sdtContent>
      <w:p w14:paraId="2136F2C8" w14:textId="5BC69736" w:rsidR="00961AB0" w:rsidRPr="00961AB0" w:rsidRDefault="00961AB0">
        <w:pPr>
          <w:pStyle w:val="af6"/>
          <w:jc w:val="right"/>
          <w:rPr>
            <w:rFonts w:ascii="Times New Roman" w:hAnsi="Times New Roman" w:cs="Times New Roman"/>
          </w:rPr>
        </w:pPr>
        <w:r w:rsidRPr="00961AB0">
          <w:rPr>
            <w:rFonts w:ascii="Times New Roman" w:hAnsi="Times New Roman" w:cs="Times New Roman"/>
          </w:rPr>
          <w:fldChar w:fldCharType="begin"/>
        </w:r>
        <w:r w:rsidRPr="00961AB0">
          <w:rPr>
            <w:rFonts w:ascii="Times New Roman" w:hAnsi="Times New Roman" w:cs="Times New Roman"/>
          </w:rPr>
          <w:instrText>PAGE   \* MERGEFORMAT</w:instrText>
        </w:r>
        <w:r w:rsidRPr="00961AB0">
          <w:rPr>
            <w:rFonts w:ascii="Times New Roman" w:hAnsi="Times New Roman" w:cs="Times New Roman"/>
          </w:rPr>
          <w:fldChar w:fldCharType="separate"/>
        </w:r>
        <w:r w:rsidRPr="00961AB0">
          <w:rPr>
            <w:rFonts w:ascii="Times New Roman" w:hAnsi="Times New Roman" w:cs="Times New Roman"/>
          </w:rPr>
          <w:t>2</w:t>
        </w:r>
        <w:r w:rsidRPr="00961AB0">
          <w:rPr>
            <w:rFonts w:ascii="Times New Roman" w:hAnsi="Times New Roman" w:cs="Times New Roman"/>
          </w:rPr>
          <w:fldChar w:fldCharType="end"/>
        </w:r>
      </w:p>
    </w:sdtContent>
  </w:sdt>
  <w:p w14:paraId="5ABA18C7" w14:textId="77777777" w:rsidR="00961AB0" w:rsidRDefault="00961AB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9257" w14:textId="77777777" w:rsidR="008824D3" w:rsidRDefault="008824D3" w:rsidP="00011FFD">
      <w:pPr>
        <w:spacing w:after="0" w:line="240" w:lineRule="auto"/>
      </w:pPr>
      <w:r>
        <w:separator/>
      </w:r>
    </w:p>
  </w:footnote>
  <w:footnote w:type="continuationSeparator" w:id="0">
    <w:p w14:paraId="77528E3D" w14:textId="77777777" w:rsidR="008824D3" w:rsidRDefault="008824D3" w:rsidP="00011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C30E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11C8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461D2"/>
    <w:multiLevelType w:val="hybridMultilevel"/>
    <w:tmpl w:val="6EC85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02D84"/>
    <w:multiLevelType w:val="hybridMultilevel"/>
    <w:tmpl w:val="B9EE726E"/>
    <w:lvl w:ilvl="0" w:tplc="E75AEC96">
      <w:start w:val="1"/>
      <w:numFmt w:val="decimal"/>
      <w:lvlText w:val="%1."/>
      <w:lvlJc w:val="left"/>
      <w:pPr>
        <w:ind w:left="2520" w:hanging="21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202470F"/>
    <w:multiLevelType w:val="hybridMultilevel"/>
    <w:tmpl w:val="7A78F360"/>
    <w:lvl w:ilvl="0" w:tplc="D6C6F682">
      <w:numFmt w:val="bullet"/>
      <w:lvlText w:val="-"/>
      <w:lvlJc w:val="left"/>
      <w:pPr>
        <w:ind w:left="720" w:hanging="360"/>
      </w:pPr>
      <w:rPr>
        <w:rFonts w:ascii="Calibri" w:eastAsiaTheme="minorEastAsia" w:hAnsi="Calibri" w:cs="Calibri" w:hint="default"/>
        <w:color w:val="0000FF"/>
        <w:u w:val="singl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2F362A4"/>
    <w:multiLevelType w:val="hybridMultilevel"/>
    <w:tmpl w:val="0DFE20B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4653F18"/>
    <w:multiLevelType w:val="hybridMultilevel"/>
    <w:tmpl w:val="75A24DA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C318F4"/>
    <w:multiLevelType w:val="hybridMultilevel"/>
    <w:tmpl w:val="0DB2CC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6D54795"/>
    <w:multiLevelType w:val="hybridMultilevel"/>
    <w:tmpl w:val="A94404C6"/>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78A5763"/>
    <w:multiLevelType w:val="hybridMultilevel"/>
    <w:tmpl w:val="8B76ACD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84B610B"/>
    <w:multiLevelType w:val="hybridMultilevel"/>
    <w:tmpl w:val="EBBC49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97A3CB0"/>
    <w:multiLevelType w:val="hybridMultilevel"/>
    <w:tmpl w:val="6F6C14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A976DC8"/>
    <w:multiLevelType w:val="hybridMultilevel"/>
    <w:tmpl w:val="D004DC3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0B572CAA"/>
    <w:multiLevelType w:val="hybridMultilevel"/>
    <w:tmpl w:val="45C048AC"/>
    <w:lvl w:ilvl="0" w:tplc="A5BEE6D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E712644"/>
    <w:multiLevelType w:val="hybridMultilevel"/>
    <w:tmpl w:val="59822DA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F957487"/>
    <w:multiLevelType w:val="hybridMultilevel"/>
    <w:tmpl w:val="E86E76D0"/>
    <w:lvl w:ilvl="0" w:tplc="A5BEE6D0">
      <w:start w:val="1"/>
      <w:numFmt w:val="bullet"/>
      <w:lvlText w:val=""/>
      <w:lvlJc w:val="left"/>
      <w:pPr>
        <w:ind w:left="1056" w:hanging="360"/>
      </w:pPr>
      <w:rPr>
        <w:rFonts w:ascii="Symbol" w:hAnsi="Symbol"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16" w15:restartNumberingAfterBreak="0">
    <w:nsid w:val="102E785D"/>
    <w:multiLevelType w:val="hybridMultilevel"/>
    <w:tmpl w:val="91D88C94"/>
    <w:lvl w:ilvl="0" w:tplc="0422000F">
      <w:start w:val="1"/>
      <w:numFmt w:val="decimal"/>
      <w:lvlText w:val="%1."/>
      <w:lvlJc w:val="left"/>
      <w:pPr>
        <w:ind w:left="720" w:hanging="360"/>
      </w:pPr>
      <w:rPr>
        <w:rFonts w:hint="default"/>
      </w:rPr>
    </w:lvl>
    <w:lvl w:ilvl="1" w:tplc="C2361B5C">
      <w:start w:val="1"/>
      <w:numFmt w:val="bullet"/>
      <w:lvlText w:val=""/>
      <w:lvlJc w:val="left"/>
      <w:pPr>
        <w:ind w:left="1440" w:hanging="360"/>
      </w:pPr>
      <w:rPr>
        <w:rFonts w:ascii="Wingdings" w:eastAsiaTheme="minorHAnsi" w:hAnsi="Wingdings" w:cs="Calibri" w:hint="default"/>
      </w:rPr>
    </w:lvl>
    <w:lvl w:ilvl="2" w:tplc="7CB0FF22">
      <w:start w:val="6"/>
      <w:numFmt w:val="bullet"/>
      <w:lvlText w:val="-"/>
      <w:lvlJc w:val="left"/>
      <w:pPr>
        <w:ind w:left="2340" w:hanging="360"/>
      </w:pPr>
      <w:rPr>
        <w:rFonts w:ascii="Calibri" w:eastAsiaTheme="minorHAnsi" w:hAnsi="Calibri" w:cs="Calibri" w:hint="default"/>
        <w:i/>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03E5C7C"/>
    <w:multiLevelType w:val="hybridMultilevel"/>
    <w:tmpl w:val="FD52C704"/>
    <w:lvl w:ilvl="0" w:tplc="A5BEE6D0">
      <w:start w:val="1"/>
      <w:numFmt w:val="bullet"/>
      <w:lvlText w:val=""/>
      <w:lvlJc w:val="left"/>
      <w:pPr>
        <w:ind w:left="1080" w:hanging="360"/>
      </w:pPr>
      <w:rPr>
        <w:rFonts w:ascii="Symbol" w:hAnsi="Symbol" w:hint="default"/>
      </w:rPr>
    </w:lvl>
    <w:lvl w:ilvl="1" w:tplc="083AF10A">
      <w:start w:val="1"/>
      <w:numFmt w:val="decimal"/>
      <w:lvlText w:val="%2."/>
      <w:lvlJc w:val="left"/>
      <w:pPr>
        <w:ind w:left="1800" w:hanging="360"/>
      </w:pPr>
      <w:rPr>
        <w:rFonts w:hint="default"/>
      </w:rPr>
    </w:lvl>
    <w:lvl w:ilvl="2" w:tplc="59FC7688">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0FD7F6D"/>
    <w:multiLevelType w:val="hybridMultilevel"/>
    <w:tmpl w:val="8702D3FE"/>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2382247"/>
    <w:multiLevelType w:val="hybridMultilevel"/>
    <w:tmpl w:val="49966DF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2DD56DB"/>
    <w:multiLevelType w:val="hybridMultilevel"/>
    <w:tmpl w:val="AC781EF6"/>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395601B"/>
    <w:multiLevelType w:val="hybridMultilevel"/>
    <w:tmpl w:val="53C89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8F9477D"/>
    <w:multiLevelType w:val="hybridMultilevel"/>
    <w:tmpl w:val="A7747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8FC4226"/>
    <w:multiLevelType w:val="hybridMultilevel"/>
    <w:tmpl w:val="CE1EE48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A5A1E6D"/>
    <w:multiLevelType w:val="hybridMultilevel"/>
    <w:tmpl w:val="EFD0A3B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1C7A49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C202BA"/>
    <w:multiLevelType w:val="hybridMultilevel"/>
    <w:tmpl w:val="7BC4A8E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0D0036E"/>
    <w:multiLevelType w:val="hybridMultilevel"/>
    <w:tmpl w:val="9BE29D6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0E35143"/>
    <w:multiLevelType w:val="hybridMultilevel"/>
    <w:tmpl w:val="9184FF0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0FD352E"/>
    <w:multiLevelType w:val="hybridMultilevel"/>
    <w:tmpl w:val="B8D4190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1FA3305"/>
    <w:multiLevelType w:val="hybridMultilevel"/>
    <w:tmpl w:val="E9E0FDC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225549EB"/>
    <w:multiLevelType w:val="hybridMultilevel"/>
    <w:tmpl w:val="11CE75A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2C0583B"/>
    <w:multiLevelType w:val="hybridMultilevel"/>
    <w:tmpl w:val="4496B74E"/>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37C79F9"/>
    <w:multiLevelType w:val="hybridMultilevel"/>
    <w:tmpl w:val="434C4AA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23AC2398"/>
    <w:multiLevelType w:val="hybridMultilevel"/>
    <w:tmpl w:val="916437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243B2A6B"/>
    <w:multiLevelType w:val="hybridMultilevel"/>
    <w:tmpl w:val="E930648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4CB2A75"/>
    <w:multiLevelType w:val="multilevel"/>
    <w:tmpl w:val="FAE0F3D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8AE5761"/>
    <w:multiLevelType w:val="hybridMultilevel"/>
    <w:tmpl w:val="F36898D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28CD750E"/>
    <w:multiLevelType w:val="hybridMultilevel"/>
    <w:tmpl w:val="D0B06F3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29002375"/>
    <w:multiLevelType w:val="hybridMultilevel"/>
    <w:tmpl w:val="FD2AE2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29794DE6"/>
    <w:multiLevelType w:val="hybridMultilevel"/>
    <w:tmpl w:val="5C1616C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29BC3E41"/>
    <w:multiLevelType w:val="hybridMultilevel"/>
    <w:tmpl w:val="17AA356E"/>
    <w:lvl w:ilvl="0" w:tplc="4D3A3752">
      <w:start w:val="6"/>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B552864"/>
    <w:multiLevelType w:val="hybridMultilevel"/>
    <w:tmpl w:val="58029EAC"/>
    <w:lvl w:ilvl="0" w:tplc="D772C8D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2FA22473"/>
    <w:multiLevelType w:val="hybridMultilevel"/>
    <w:tmpl w:val="FA58B2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2FA87FB4"/>
    <w:multiLevelType w:val="hybridMultilevel"/>
    <w:tmpl w:val="06AC6D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2FE10437"/>
    <w:multiLevelType w:val="hybridMultilevel"/>
    <w:tmpl w:val="9F86613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307B1D21"/>
    <w:multiLevelType w:val="hybridMultilevel"/>
    <w:tmpl w:val="1FD244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30A60456"/>
    <w:multiLevelType w:val="hybridMultilevel"/>
    <w:tmpl w:val="2458C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314447EF"/>
    <w:multiLevelType w:val="hybridMultilevel"/>
    <w:tmpl w:val="BA56F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32DC71BC"/>
    <w:multiLevelType w:val="hybridMultilevel"/>
    <w:tmpl w:val="F6D84C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336143E8"/>
    <w:multiLevelType w:val="multilevel"/>
    <w:tmpl w:val="FAE0F3D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5327EBB"/>
    <w:multiLevelType w:val="hybridMultilevel"/>
    <w:tmpl w:val="27DA31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35715E0C"/>
    <w:multiLevelType w:val="hybridMultilevel"/>
    <w:tmpl w:val="6AE44B3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36C02D56"/>
    <w:multiLevelType w:val="hybridMultilevel"/>
    <w:tmpl w:val="0BCCD9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37492243"/>
    <w:multiLevelType w:val="hybridMultilevel"/>
    <w:tmpl w:val="E7CCFEF6"/>
    <w:lvl w:ilvl="0" w:tplc="74DC7E3A">
      <w:start w:val="1"/>
      <w:numFmt w:val="decimal"/>
      <w:lvlText w:val="%1."/>
      <w:lvlJc w:val="left"/>
      <w:pPr>
        <w:ind w:left="2660" w:hanging="23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392159E7"/>
    <w:multiLevelType w:val="hybridMultilevel"/>
    <w:tmpl w:val="6E0EB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39273C71"/>
    <w:multiLevelType w:val="hybridMultilevel"/>
    <w:tmpl w:val="7BAE3C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3A88404E"/>
    <w:multiLevelType w:val="hybridMultilevel"/>
    <w:tmpl w:val="1786E314"/>
    <w:lvl w:ilvl="0" w:tplc="9AB0C29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3ADE14F4"/>
    <w:multiLevelType w:val="hybridMultilevel"/>
    <w:tmpl w:val="28BC18D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3C710AB1"/>
    <w:multiLevelType w:val="hybridMultilevel"/>
    <w:tmpl w:val="98D0E4A2"/>
    <w:lvl w:ilvl="0" w:tplc="A5BEE6D0">
      <w:start w:val="1"/>
      <w:numFmt w:val="bullet"/>
      <w:lvlText w:val=""/>
      <w:lvlJc w:val="left"/>
      <w:pPr>
        <w:ind w:left="720" w:hanging="360"/>
      </w:pPr>
      <w:rPr>
        <w:rFonts w:ascii="Symbol" w:hAnsi="Symbol" w:hint="default"/>
        <w:color w:val="0000FF"/>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D4F4D74"/>
    <w:multiLevelType w:val="hybridMultilevel"/>
    <w:tmpl w:val="4E1C1DC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41F764E3"/>
    <w:multiLevelType w:val="hybridMultilevel"/>
    <w:tmpl w:val="3D507A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44B81033"/>
    <w:multiLevelType w:val="hybridMultilevel"/>
    <w:tmpl w:val="6F64D0F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4535497E"/>
    <w:multiLevelType w:val="hybridMultilevel"/>
    <w:tmpl w:val="45867C26"/>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4728148F"/>
    <w:multiLevelType w:val="hybridMultilevel"/>
    <w:tmpl w:val="68D63DA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48AC252D"/>
    <w:multiLevelType w:val="hybridMultilevel"/>
    <w:tmpl w:val="BC98A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4B676833"/>
    <w:multiLevelType w:val="hybridMultilevel"/>
    <w:tmpl w:val="8836E4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4BD20DBC"/>
    <w:multiLevelType w:val="hybridMultilevel"/>
    <w:tmpl w:val="2F7876C6"/>
    <w:lvl w:ilvl="0" w:tplc="A5BEE6D0">
      <w:start w:val="1"/>
      <w:numFmt w:val="bullet"/>
      <w:lvlText w:val=""/>
      <w:lvlJc w:val="left"/>
      <w:pPr>
        <w:ind w:left="720" w:hanging="360"/>
      </w:pPr>
      <w:rPr>
        <w:rFonts w:ascii="Symbol" w:hAnsi="Symbol" w:hint="default"/>
        <w:color w:val="0000FF"/>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C0C1F3B"/>
    <w:multiLevelType w:val="hybridMultilevel"/>
    <w:tmpl w:val="929E51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4CE710DE"/>
    <w:multiLevelType w:val="hybridMultilevel"/>
    <w:tmpl w:val="9A18FAC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4CF93692"/>
    <w:multiLevelType w:val="hybridMultilevel"/>
    <w:tmpl w:val="77160EE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4E705626"/>
    <w:multiLevelType w:val="multilevel"/>
    <w:tmpl w:val="FAE0F3D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0495807"/>
    <w:multiLevelType w:val="hybridMultilevel"/>
    <w:tmpl w:val="D1E002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5061578B"/>
    <w:multiLevelType w:val="hybridMultilevel"/>
    <w:tmpl w:val="6F56AE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52BF2B67"/>
    <w:multiLevelType w:val="hybridMultilevel"/>
    <w:tmpl w:val="F404EF1A"/>
    <w:lvl w:ilvl="0" w:tplc="96C0CDE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53D42DD5"/>
    <w:multiLevelType w:val="hybridMultilevel"/>
    <w:tmpl w:val="0E7624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552D6D6B"/>
    <w:multiLevelType w:val="hybridMultilevel"/>
    <w:tmpl w:val="E5581B0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55BF585B"/>
    <w:multiLevelType w:val="hybridMultilevel"/>
    <w:tmpl w:val="E35E4C3A"/>
    <w:lvl w:ilvl="0" w:tplc="A5BEE6D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55DB6F62"/>
    <w:multiLevelType w:val="hybridMultilevel"/>
    <w:tmpl w:val="92347A6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6084544"/>
    <w:multiLevelType w:val="hybridMultilevel"/>
    <w:tmpl w:val="DC5AE6D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56BB0455"/>
    <w:multiLevelType w:val="hybridMultilevel"/>
    <w:tmpl w:val="C8666C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6C50862"/>
    <w:multiLevelType w:val="hybridMultilevel"/>
    <w:tmpl w:val="81A29D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5743600F"/>
    <w:multiLevelType w:val="hybridMultilevel"/>
    <w:tmpl w:val="F5742F2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57983821"/>
    <w:multiLevelType w:val="hybridMultilevel"/>
    <w:tmpl w:val="F0D8201E"/>
    <w:lvl w:ilvl="0" w:tplc="A5BEE6D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4" w15:restartNumberingAfterBreak="0">
    <w:nsid w:val="57AF1607"/>
    <w:multiLevelType w:val="hybridMultilevel"/>
    <w:tmpl w:val="60B0AF20"/>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15:restartNumberingAfterBreak="0">
    <w:nsid w:val="5851FB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58DA7274"/>
    <w:multiLevelType w:val="hybridMultilevel"/>
    <w:tmpl w:val="376EF5B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15:restartNumberingAfterBreak="0">
    <w:nsid w:val="597824D1"/>
    <w:multiLevelType w:val="multilevel"/>
    <w:tmpl w:val="78BEA48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59C05928"/>
    <w:multiLevelType w:val="hybridMultilevel"/>
    <w:tmpl w:val="567E87B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15:restartNumberingAfterBreak="0">
    <w:nsid w:val="5AC451B5"/>
    <w:multiLevelType w:val="hybridMultilevel"/>
    <w:tmpl w:val="6CA44A44"/>
    <w:lvl w:ilvl="0" w:tplc="A5BEE6D0">
      <w:start w:val="1"/>
      <w:numFmt w:val="bullet"/>
      <w:lvlText w:val=""/>
      <w:lvlJc w:val="left"/>
      <w:pPr>
        <w:ind w:left="720" w:hanging="360"/>
      </w:pPr>
      <w:rPr>
        <w:rFonts w:ascii="Symbol" w:hAnsi="Symbol" w:hint="default"/>
      </w:rPr>
    </w:lvl>
    <w:lvl w:ilvl="1" w:tplc="87DC93A8">
      <w:start w:val="2"/>
      <w:numFmt w:val="bullet"/>
      <w:lvlText w:val="•"/>
      <w:lvlJc w:val="left"/>
      <w:pPr>
        <w:ind w:left="1800" w:hanging="720"/>
      </w:pPr>
      <w:rPr>
        <w:rFonts w:ascii="Calibri" w:eastAsiaTheme="minorEastAsia"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15:restartNumberingAfterBreak="0">
    <w:nsid w:val="5AEA1760"/>
    <w:multiLevelType w:val="hybridMultilevel"/>
    <w:tmpl w:val="CE3ECF0E"/>
    <w:lvl w:ilvl="0" w:tplc="04220001">
      <w:start w:val="1"/>
      <w:numFmt w:val="bullet"/>
      <w:lvlText w:val=""/>
      <w:lvlJc w:val="left"/>
      <w:pPr>
        <w:ind w:left="1056" w:hanging="360"/>
      </w:pPr>
      <w:rPr>
        <w:rFonts w:ascii="Symbol" w:hAnsi="Symbol" w:hint="default"/>
      </w:rPr>
    </w:lvl>
    <w:lvl w:ilvl="1" w:tplc="04220003" w:tentative="1">
      <w:start w:val="1"/>
      <w:numFmt w:val="bullet"/>
      <w:lvlText w:val="o"/>
      <w:lvlJc w:val="left"/>
      <w:pPr>
        <w:ind w:left="1776" w:hanging="360"/>
      </w:pPr>
      <w:rPr>
        <w:rFonts w:ascii="Courier New" w:hAnsi="Courier New" w:cs="Courier New" w:hint="default"/>
      </w:rPr>
    </w:lvl>
    <w:lvl w:ilvl="2" w:tplc="04220005" w:tentative="1">
      <w:start w:val="1"/>
      <w:numFmt w:val="bullet"/>
      <w:lvlText w:val=""/>
      <w:lvlJc w:val="left"/>
      <w:pPr>
        <w:ind w:left="2496" w:hanging="360"/>
      </w:pPr>
      <w:rPr>
        <w:rFonts w:ascii="Wingdings" w:hAnsi="Wingdings" w:hint="default"/>
      </w:rPr>
    </w:lvl>
    <w:lvl w:ilvl="3" w:tplc="04220001" w:tentative="1">
      <w:start w:val="1"/>
      <w:numFmt w:val="bullet"/>
      <w:lvlText w:val=""/>
      <w:lvlJc w:val="left"/>
      <w:pPr>
        <w:ind w:left="3216" w:hanging="360"/>
      </w:pPr>
      <w:rPr>
        <w:rFonts w:ascii="Symbol" w:hAnsi="Symbol" w:hint="default"/>
      </w:rPr>
    </w:lvl>
    <w:lvl w:ilvl="4" w:tplc="04220003" w:tentative="1">
      <w:start w:val="1"/>
      <w:numFmt w:val="bullet"/>
      <w:lvlText w:val="o"/>
      <w:lvlJc w:val="left"/>
      <w:pPr>
        <w:ind w:left="3936" w:hanging="360"/>
      </w:pPr>
      <w:rPr>
        <w:rFonts w:ascii="Courier New" w:hAnsi="Courier New" w:cs="Courier New" w:hint="default"/>
      </w:rPr>
    </w:lvl>
    <w:lvl w:ilvl="5" w:tplc="04220005" w:tentative="1">
      <w:start w:val="1"/>
      <w:numFmt w:val="bullet"/>
      <w:lvlText w:val=""/>
      <w:lvlJc w:val="left"/>
      <w:pPr>
        <w:ind w:left="4656" w:hanging="360"/>
      </w:pPr>
      <w:rPr>
        <w:rFonts w:ascii="Wingdings" w:hAnsi="Wingdings" w:hint="default"/>
      </w:rPr>
    </w:lvl>
    <w:lvl w:ilvl="6" w:tplc="04220001" w:tentative="1">
      <w:start w:val="1"/>
      <w:numFmt w:val="bullet"/>
      <w:lvlText w:val=""/>
      <w:lvlJc w:val="left"/>
      <w:pPr>
        <w:ind w:left="5376" w:hanging="360"/>
      </w:pPr>
      <w:rPr>
        <w:rFonts w:ascii="Symbol" w:hAnsi="Symbol" w:hint="default"/>
      </w:rPr>
    </w:lvl>
    <w:lvl w:ilvl="7" w:tplc="04220003" w:tentative="1">
      <w:start w:val="1"/>
      <w:numFmt w:val="bullet"/>
      <w:lvlText w:val="o"/>
      <w:lvlJc w:val="left"/>
      <w:pPr>
        <w:ind w:left="6096" w:hanging="360"/>
      </w:pPr>
      <w:rPr>
        <w:rFonts w:ascii="Courier New" w:hAnsi="Courier New" w:cs="Courier New" w:hint="default"/>
      </w:rPr>
    </w:lvl>
    <w:lvl w:ilvl="8" w:tplc="04220005" w:tentative="1">
      <w:start w:val="1"/>
      <w:numFmt w:val="bullet"/>
      <w:lvlText w:val=""/>
      <w:lvlJc w:val="left"/>
      <w:pPr>
        <w:ind w:left="6816" w:hanging="360"/>
      </w:pPr>
      <w:rPr>
        <w:rFonts w:ascii="Wingdings" w:hAnsi="Wingdings" w:hint="default"/>
      </w:rPr>
    </w:lvl>
  </w:abstractNum>
  <w:abstractNum w:abstractNumId="91" w15:restartNumberingAfterBreak="0">
    <w:nsid w:val="5B81206E"/>
    <w:multiLevelType w:val="hybridMultilevel"/>
    <w:tmpl w:val="AC586244"/>
    <w:lvl w:ilvl="0" w:tplc="A5BEE6D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2" w15:restartNumberingAfterBreak="0">
    <w:nsid w:val="5C254E22"/>
    <w:multiLevelType w:val="hybridMultilevel"/>
    <w:tmpl w:val="7AA6CA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5CF313C6"/>
    <w:multiLevelType w:val="hybridMultilevel"/>
    <w:tmpl w:val="9EA0D28E"/>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15:restartNumberingAfterBreak="0">
    <w:nsid w:val="5E011AF5"/>
    <w:multiLevelType w:val="hybridMultilevel"/>
    <w:tmpl w:val="C1BA8D76"/>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15:restartNumberingAfterBreak="0">
    <w:nsid w:val="5EA95164"/>
    <w:multiLevelType w:val="hybridMultilevel"/>
    <w:tmpl w:val="F6D84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068457C"/>
    <w:multiLevelType w:val="hybridMultilevel"/>
    <w:tmpl w:val="C87E00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60A565C3"/>
    <w:multiLevelType w:val="hybridMultilevel"/>
    <w:tmpl w:val="69E0317E"/>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15:restartNumberingAfterBreak="0">
    <w:nsid w:val="60A67ABF"/>
    <w:multiLevelType w:val="hybridMultilevel"/>
    <w:tmpl w:val="76C4C21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61287765"/>
    <w:multiLevelType w:val="hybridMultilevel"/>
    <w:tmpl w:val="5A8C30BA"/>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15:restartNumberingAfterBreak="0">
    <w:nsid w:val="63F87340"/>
    <w:multiLevelType w:val="hybridMultilevel"/>
    <w:tmpl w:val="4AA4DCE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15:restartNumberingAfterBreak="0">
    <w:nsid w:val="642D6CBB"/>
    <w:multiLevelType w:val="hybridMultilevel"/>
    <w:tmpl w:val="0D20021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15:restartNumberingAfterBreak="0">
    <w:nsid w:val="68CA6436"/>
    <w:multiLevelType w:val="hybridMultilevel"/>
    <w:tmpl w:val="8CCE4E1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3" w15:restartNumberingAfterBreak="0">
    <w:nsid w:val="694A1BCC"/>
    <w:multiLevelType w:val="hybridMultilevel"/>
    <w:tmpl w:val="A44EDF06"/>
    <w:lvl w:ilvl="0" w:tplc="A5BEE6D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696635D2"/>
    <w:multiLevelType w:val="hybridMultilevel"/>
    <w:tmpl w:val="AC2811A8"/>
    <w:lvl w:ilvl="0" w:tplc="A5BEE6D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9AD5CEA"/>
    <w:multiLevelType w:val="hybridMultilevel"/>
    <w:tmpl w:val="B22E41A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15:restartNumberingAfterBreak="0">
    <w:nsid w:val="6A173B43"/>
    <w:multiLevelType w:val="hybridMultilevel"/>
    <w:tmpl w:val="6EC85B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15:restartNumberingAfterBreak="0">
    <w:nsid w:val="6B0E3A98"/>
    <w:multiLevelType w:val="hybridMultilevel"/>
    <w:tmpl w:val="D9DC60FE"/>
    <w:lvl w:ilvl="0" w:tplc="A5BEE6D0">
      <w:start w:val="1"/>
      <w:numFmt w:val="bullet"/>
      <w:lvlText w:val=""/>
      <w:lvlJc w:val="left"/>
      <w:pPr>
        <w:ind w:left="720" w:hanging="360"/>
      </w:pPr>
      <w:rPr>
        <w:rFonts w:ascii="Symbol" w:hAnsi="Symbol" w:hint="default"/>
        <w:color w:val="0000FF"/>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C9C76A2"/>
    <w:multiLevelType w:val="hybridMultilevel"/>
    <w:tmpl w:val="92623A10"/>
    <w:lvl w:ilvl="0" w:tplc="A5BEE6D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9" w15:restartNumberingAfterBreak="0">
    <w:nsid w:val="6F626212"/>
    <w:multiLevelType w:val="hybridMultilevel"/>
    <w:tmpl w:val="3C200F46"/>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15:restartNumberingAfterBreak="0">
    <w:nsid w:val="7161660F"/>
    <w:multiLevelType w:val="hybridMultilevel"/>
    <w:tmpl w:val="1D2EEB0C"/>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71F523F9"/>
    <w:multiLevelType w:val="hybridMultilevel"/>
    <w:tmpl w:val="8C04F6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15:restartNumberingAfterBreak="0">
    <w:nsid w:val="7235198E"/>
    <w:multiLevelType w:val="hybridMultilevel"/>
    <w:tmpl w:val="23605E24"/>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3" w15:restartNumberingAfterBreak="0">
    <w:nsid w:val="747A465A"/>
    <w:multiLevelType w:val="hybridMultilevel"/>
    <w:tmpl w:val="77FA57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15:restartNumberingAfterBreak="0">
    <w:nsid w:val="76FB455D"/>
    <w:multiLevelType w:val="hybridMultilevel"/>
    <w:tmpl w:val="6E44BC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15:restartNumberingAfterBreak="0">
    <w:nsid w:val="771B080B"/>
    <w:multiLevelType w:val="hybridMultilevel"/>
    <w:tmpl w:val="9B080DC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15:restartNumberingAfterBreak="0">
    <w:nsid w:val="78187733"/>
    <w:multiLevelType w:val="hybridMultilevel"/>
    <w:tmpl w:val="7E8A02F8"/>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15:restartNumberingAfterBreak="0">
    <w:nsid w:val="7D395900"/>
    <w:multiLevelType w:val="hybridMultilevel"/>
    <w:tmpl w:val="2A1A9B6E"/>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15:restartNumberingAfterBreak="0">
    <w:nsid w:val="7DEE624F"/>
    <w:multiLevelType w:val="hybridMultilevel"/>
    <w:tmpl w:val="DFD0CBEA"/>
    <w:lvl w:ilvl="0" w:tplc="04220001">
      <w:start w:val="1"/>
      <w:numFmt w:val="bullet"/>
      <w:lvlText w:val=""/>
      <w:lvlJc w:val="left"/>
      <w:pPr>
        <w:ind w:left="720" w:hanging="360"/>
      </w:pPr>
      <w:rPr>
        <w:rFonts w:ascii="Symbol" w:hAnsi="Symbol" w:hint="default"/>
        <w:color w:val="0000FF"/>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EAC55A4"/>
    <w:multiLevelType w:val="hybridMultilevel"/>
    <w:tmpl w:val="6CEC2B62"/>
    <w:lvl w:ilvl="0" w:tplc="A5BEE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0" w15:restartNumberingAfterBreak="0">
    <w:nsid w:val="7EBD6397"/>
    <w:multiLevelType w:val="hybridMultilevel"/>
    <w:tmpl w:val="E2C8C6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7F274FB1"/>
    <w:multiLevelType w:val="multilevel"/>
    <w:tmpl w:val="FAE0F3D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87050134">
    <w:abstractNumId w:val="65"/>
  </w:num>
  <w:num w:numId="2" w16cid:durableId="915865872">
    <w:abstractNumId w:val="4"/>
  </w:num>
  <w:num w:numId="3" w16cid:durableId="1711802592">
    <w:abstractNumId w:val="22"/>
  </w:num>
  <w:num w:numId="4" w16cid:durableId="291402729">
    <w:abstractNumId w:val="3"/>
  </w:num>
  <w:num w:numId="5" w16cid:durableId="2003005603">
    <w:abstractNumId w:val="96"/>
  </w:num>
  <w:num w:numId="6" w16cid:durableId="152257115">
    <w:abstractNumId w:val="106"/>
  </w:num>
  <w:num w:numId="7" w16cid:durableId="492071321">
    <w:abstractNumId w:val="112"/>
  </w:num>
  <w:num w:numId="8" w16cid:durableId="1467117396">
    <w:abstractNumId w:val="60"/>
  </w:num>
  <w:num w:numId="9" w16cid:durableId="1027485394">
    <w:abstractNumId w:val="84"/>
  </w:num>
  <w:num w:numId="10" w16cid:durableId="1723095211">
    <w:abstractNumId w:val="102"/>
  </w:num>
  <w:num w:numId="11" w16cid:durableId="773552814">
    <w:abstractNumId w:val="38"/>
  </w:num>
  <w:num w:numId="12" w16cid:durableId="1889030336">
    <w:abstractNumId w:val="23"/>
  </w:num>
  <w:num w:numId="13" w16cid:durableId="1724479418">
    <w:abstractNumId w:val="113"/>
  </w:num>
  <w:num w:numId="14" w16cid:durableId="149642881">
    <w:abstractNumId w:val="54"/>
  </w:num>
  <w:num w:numId="15" w16cid:durableId="1034384744">
    <w:abstractNumId w:val="91"/>
  </w:num>
  <w:num w:numId="16" w16cid:durableId="288903151">
    <w:abstractNumId w:val="69"/>
  </w:num>
  <w:num w:numId="17" w16cid:durableId="821577656">
    <w:abstractNumId w:val="14"/>
  </w:num>
  <w:num w:numId="18" w16cid:durableId="269319222">
    <w:abstractNumId w:val="110"/>
  </w:num>
  <w:num w:numId="19" w16cid:durableId="544409786">
    <w:abstractNumId w:val="7"/>
  </w:num>
  <w:num w:numId="20" w16cid:durableId="277107581">
    <w:abstractNumId w:val="73"/>
  </w:num>
  <w:num w:numId="21" w16cid:durableId="26492375">
    <w:abstractNumId w:val="37"/>
  </w:num>
  <w:num w:numId="22" w16cid:durableId="614794930">
    <w:abstractNumId w:val="8"/>
  </w:num>
  <w:num w:numId="23" w16cid:durableId="299044846">
    <w:abstractNumId w:val="80"/>
  </w:num>
  <w:num w:numId="24" w16cid:durableId="1157307191">
    <w:abstractNumId w:val="57"/>
  </w:num>
  <w:num w:numId="25" w16cid:durableId="79913147">
    <w:abstractNumId w:val="39"/>
  </w:num>
  <w:num w:numId="26" w16cid:durableId="201673330">
    <w:abstractNumId w:val="111"/>
  </w:num>
  <w:num w:numId="27" w16cid:durableId="791941043">
    <w:abstractNumId w:val="114"/>
  </w:num>
  <w:num w:numId="28" w16cid:durableId="637494634">
    <w:abstractNumId w:val="120"/>
  </w:num>
  <w:num w:numId="29" w16cid:durableId="17899405">
    <w:abstractNumId w:val="26"/>
  </w:num>
  <w:num w:numId="30" w16cid:durableId="889070045">
    <w:abstractNumId w:val="86"/>
  </w:num>
  <w:num w:numId="31" w16cid:durableId="380596354">
    <w:abstractNumId w:val="116"/>
  </w:num>
  <w:num w:numId="32" w16cid:durableId="589579386">
    <w:abstractNumId w:val="72"/>
  </w:num>
  <w:num w:numId="33" w16cid:durableId="662784596">
    <w:abstractNumId w:val="74"/>
  </w:num>
  <w:num w:numId="34" w16cid:durableId="1440445835">
    <w:abstractNumId w:val="55"/>
  </w:num>
  <w:num w:numId="35" w16cid:durableId="279723182">
    <w:abstractNumId w:val="47"/>
  </w:num>
  <w:num w:numId="36" w16cid:durableId="322780030">
    <w:abstractNumId w:val="20"/>
  </w:num>
  <w:num w:numId="37" w16cid:durableId="1128082256">
    <w:abstractNumId w:val="63"/>
  </w:num>
  <w:num w:numId="38" w16cid:durableId="993526676">
    <w:abstractNumId w:val="85"/>
  </w:num>
  <w:num w:numId="39" w16cid:durableId="774641911">
    <w:abstractNumId w:val="6"/>
  </w:num>
  <w:num w:numId="40" w16cid:durableId="2053530620">
    <w:abstractNumId w:val="12"/>
  </w:num>
  <w:num w:numId="41" w16cid:durableId="1444955330">
    <w:abstractNumId w:val="119"/>
  </w:num>
  <w:num w:numId="42" w16cid:durableId="1741832533">
    <w:abstractNumId w:val="31"/>
  </w:num>
  <w:num w:numId="43" w16cid:durableId="1539511254">
    <w:abstractNumId w:val="29"/>
  </w:num>
  <w:num w:numId="44" w16cid:durableId="961040164">
    <w:abstractNumId w:val="92"/>
  </w:num>
  <w:num w:numId="45" w16cid:durableId="539587700">
    <w:abstractNumId w:val="46"/>
  </w:num>
  <w:num w:numId="46" w16cid:durableId="1148672216">
    <w:abstractNumId w:val="19"/>
  </w:num>
  <w:num w:numId="47" w16cid:durableId="413548872">
    <w:abstractNumId w:val="49"/>
  </w:num>
  <w:num w:numId="48" w16cid:durableId="358623373">
    <w:abstractNumId w:val="10"/>
  </w:num>
  <w:num w:numId="49" w16cid:durableId="1241913653">
    <w:abstractNumId w:val="17"/>
  </w:num>
  <w:num w:numId="50" w16cid:durableId="1978875199">
    <w:abstractNumId w:val="99"/>
  </w:num>
  <w:num w:numId="51" w16cid:durableId="1074476113">
    <w:abstractNumId w:val="83"/>
  </w:num>
  <w:num w:numId="52" w16cid:durableId="374429037">
    <w:abstractNumId w:val="115"/>
  </w:num>
  <w:num w:numId="53" w16cid:durableId="2044791844">
    <w:abstractNumId w:val="98"/>
  </w:num>
  <w:num w:numId="54" w16cid:durableId="435369499">
    <w:abstractNumId w:val="101"/>
  </w:num>
  <w:num w:numId="55" w16cid:durableId="1239903258">
    <w:abstractNumId w:val="93"/>
  </w:num>
  <w:num w:numId="56" w16cid:durableId="1205144259">
    <w:abstractNumId w:val="24"/>
  </w:num>
  <w:num w:numId="57" w16cid:durableId="1259144549">
    <w:abstractNumId w:val="44"/>
  </w:num>
  <w:num w:numId="58" w16cid:durableId="659694948">
    <w:abstractNumId w:val="95"/>
  </w:num>
  <w:num w:numId="59" w16cid:durableId="657684529">
    <w:abstractNumId w:val="103"/>
  </w:num>
  <w:num w:numId="60" w16cid:durableId="1896159084">
    <w:abstractNumId w:val="52"/>
  </w:num>
  <w:num w:numId="61" w16cid:durableId="1517502183">
    <w:abstractNumId w:val="81"/>
  </w:num>
  <w:num w:numId="62" w16cid:durableId="1692488097">
    <w:abstractNumId w:val="77"/>
  </w:num>
  <w:num w:numId="63" w16cid:durableId="846558075">
    <w:abstractNumId w:val="9"/>
  </w:num>
  <w:num w:numId="64" w16cid:durableId="1210874553">
    <w:abstractNumId w:val="89"/>
  </w:num>
  <w:num w:numId="65" w16cid:durableId="2128691357">
    <w:abstractNumId w:val="13"/>
  </w:num>
  <w:num w:numId="66" w16cid:durableId="1243024373">
    <w:abstractNumId w:val="88"/>
  </w:num>
  <w:num w:numId="67" w16cid:durableId="1086195204">
    <w:abstractNumId w:val="117"/>
  </w:num>
  <w:num w:numId="68" w16cid:durableId="674115812">
    <w:abstractNumId w:val="75"/>
  </w:num>
  <w:num w:numId="69" w16cid:durableId="1256209362">
    <w:abstractNumId w:val="53"/>
  </w:num>
  <w:num w:numId="70" w16cid:durableId="714349961">
    <w:abstractNumId w:val="79"/>
  </w:num>
  <w:num w:numId="71" w16cid:durableId="402534540">
    <w:abstractNumId w:val="51"/>
  </w:num>
  <w:num w:numId="72" w16cid:durableId="1882663746">
    <w:abstractNumId w:val="62"/>
  </w:num>
  <w:num w:numId="73" w16cid:durableId="2093811545">
    <w:abstractNumId w:val="5"/>
  </w:num>
  <w:num w:numId="74" w16cid:durableId="433326468">
    <w:abstractNumId w:val="64"/>
  </w:num>
  <w:num w:numId="75" w16cid:durableId="1361129220">
    <w:abstractNumId w:val="105"/>
  </w:num>
  <w:num w:numId="76" w16cid:durableId="399793432">
    <w:abstractNumId w:val="45"/>
  </w:num>
  <w:num w:numId="77" w16cid:durableId="1186552321">
    <w:abstractNumId w:val="30"/>
  </w:num>
  <w:num w:numId="78" w16cid:durableId="214312724">
    <w:abstractNumId w:val="76"/>
  </w:num>
  <w:num w:numId="79" w16cid:durableId="396394050">
    <w:abstractNumId w:val="18"/>
  </w:num>
  <w:num w:numId="80" w16cid:durableId="239605558">
    <w:abstractNumId w:val="28"/>
  </w:num>
  <w:num w:numId="81" w16cid:durableId="577793286">
    <w:abstractNumId w:val="97"/>
  </w:num>
  <w:num w:numId="82" w16cid:durableId="1523934525">
    <w:abstractNumId w:val="40"/>
  </w:num>
  <w:num w:numId="83" w16cid:durableId="1184323030">
    <w:abstractNumId w:val="70"/>
  </w:num>
  <w:num w:numId="84" w16cid:durableId="535316919">
    <w:abstractNumId w:val="35"/>
  </w:num>
  <w:num w:numId="85" w16cid:durableId="640156258">
    <w:abstractNumId w:val="34"/>
  </w:num>
  <w:num w:numId="86" w16cid:durableId="275252792">
    <w:abstractNumId w:val="43"/>
  </w:num>
  <w:num w:numId="87" w16cid:durableId="285894816">
    <w:abstractNumId w:val="27"/>
  </w:num>
  <w:num w:numId="88" w16cid:durableId="825630303">
    <w:abstractNumId w:val="100"/>
  </w:num>
  <w:num w:numId="89" w16cid:durableId="2087069588">
    <w:abstractNumId w:val="32"/>
  </w:num>
  <w:num w:numId="90" w16cid:durableId="111290776">
    <w:abstractNumId w:val="94"/>
  </w:num>
  <w:num w:numId="91" w16cid:durableId="1776362532">
    <w:abstractNumId w:val="58"/>
  </w:num>
  <w:num w:numId="92" w16cid:durableId="707796157">
    <w:abstractNumId w:val="33"/>
  </w:num>
  <w:num w:numId="93" w16cid:durableId="705254881">
    <w:abstractNumId w:val="82"/>
  </w:num>
  <w:num w:numId="94" w16cid:durableId="149373541">
    <w:abstractNumId w:val="0"/>
  </w:num>
  <w:num w:numId="95" w16cid:durableId="1335449127">
    <w:abstractNumId w:val="109"/>
  </w:num>
  <w:num w:numId="96" w16cid:durableId="304359048">
    <w:abstractNumId w:val="107"/>
  </w:num>
  <w:num w:numId="97" w16cid:durableId="793714488">
    <w:abstractNumId w:val="118"/>
  </w:num>
  <w:num w:numId="98" w16cid:durableId="1422682831">
    <w:abstractNumId w:val="59"/>
  </w:num>
  <w:num w:numId="99" w16cid:durableId="275455620">
    <w:abstractNumId w:val="25"/>
  </w:num>
  <w:num w:numId="100" w16cid:durableId="2008315339">
    <w:abstractNumId w:val="1"/>
  </w:num>
  <w:num w:numId="101" w16cid:durableId="1346446003">
    <w:abstractNumId w:val="78"/>
  </w:num>
  <w:num w:numId="102" w16cid:durableId="94601031">
    <w:abstractNumId w:val="67"/>
  </w:num>
  <w:num w:numId="103" w16cid:durableId="2056465117">
    <w:abstractNumId w:val="21"/>
  </w:num>
  <w:num w:numId="104" w16cid:durableId="78143498">
    <w:abstractNumId w:val="11"/>
  </w:num>
  <w:num w:numId="105" w16cid:durableId="898713639">
    <w:abstractNumId w:val="66"/>
  </w:num>
  <w:num w:numId="106" w16cid:durableId="1497569095">
    <w:abstractNumId w:val="56"/>
  </w:num>
  <w:num w:numId="107" w16cid:durableId="1711416704">
    <w:abstractNumId w:val="108"/>
  </w:num>
  <w:num w:numId="108" w16cid:durableId="2121679550">
    <w:abstractNumId w:val="48"/>
  </w:num>
  <w:num w:numId="109" w16cid:durableId="1582761872">
    <w:abstractNumId w:val="71"/>
  </w:num>
  <w:num w:numId="110" w16cid:durableId="1040860448">
    <w:abstractNumId w:val="16"/>
  </w:num>
  <w:num w:numId="111" w16cid:durableId="1292444615">
    <w:abstractNumId w:val="50"/>
  </w:num>
  <w:num w:numId="112" w16cid:durableId="561908821">
    <w:abstractNumId w:val="87"/>
  </w:num>
  <w:num w:numId="113" w16cid:durableId="876505502">
    <w:abstractNumId w:val="36"/>
  </w:num>
  <w:num w:numId="114" w16cid:durableId="260995847">
    <w:abstractNumId w:val="121"/>
  </w:num>
  <w:num w:numId="115" w16cid:durableId="2065641483">
    <w:abstractNumId w:val="2"/>
  </w:num>
  <w:num w:numId="116" w16cid:durableId="1686323388">
    <w:abstractNumId w:val="42"/>
  </w:num>
  <w:num w:numId="117" w16cid:durableId="309792530">
    <w:abstractNumId w:val="68"/>
  </w:num>
  <w:num w:numId="118" w16cid:durableId="20136348">
    <w:abstractNumId w:val="61"/>
  </w:num>
  <w:num w:numId="119" w16cid:durableId="1977373365">
    <w:abstractNumId w:val="41"/>
  </w:num>
  <w:num w:numId="120" w16cid:durableId="1645431211">
    <w:abstractNumId w:val="90"/>
  </w:num>
  <w:num w:numId="121" w16cid:durableId="903443956">
    <w:abstractNumId w:val="15"/>
  </w:num>
  <w:num w:numId="122" w16cid:durableId="152573528">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37"/>
    <w:rsid w:val="000010E3"/>
    <w:rsid w:val="000027E5"/>
    <w:rsid w:val="00005BAF"/>
    <w:rsid w:val="00005E08"/>
    <w:rsid w:val="000065CF"/>
    <w:rsid w:val="00011C6F"/>
    <w:rsid w:val="00011FFD"/>
    <w:rsid w:val="000147BC"/>
    <w:rsid w:val="00014918"/>
    <w:rsid w:val="00014EE3"/>
    <w:rsid w:val="00014F61"/>
    <w:rsid w:val="00015077"/>
    <w:rsid w:val="000160C7"/>
    <w:rsid w:val="000173E0"/>
    <w:rsid w:val="000208D7"/>
    <w:rsid w:val="00024B66"/>
    <w:rsid w:val="000262CF"/>
    <w:rsid w:val="00027477"/>
    <w:rsid w:val="00030B8A"/>
    <w:rsid w:val="0003276E"/>
    <w:rsid w:val="00032CFF"/>
    <w:rsid w:val="0003747B"/>
    <w:rsid w:val="00037C68"/>
    <w:rsid w:val="000405FC"/>
    <w:rsid w:val="00045E88"/>
    <w:rsid w:val="00046EF8"/>
    <w:rsid w:val="00050A06"/>
    <w:rsid w:val="000521C7"/>
    <w:rsid w:val="000567C7"/>
    <w:rsid w:val="0005705E"/>
    <w:rsid w:val="000604F0"/>
    <w:rsid w:val="0006500D"/>
    <w:rsid w:val="000662AE"/>
    <w:rsid w:val="000704DF"/>
    <w:rsid w:val="00071EBB"/>
    <w:rsid w:val="00072EA7"/>
    <w:rsid w:val="00073D40"/>
    <w:rsid w:val="0007720F"/>
    <w:rsid w:val="00083B87"/>
    <w:rsid w:val="000865CE"/>
    <w:rsid w:val="00087646"/>
    <w:rsid w:val="00094A74"/>
    <w:rsid w:val="0009580A"/>
    <w:rsid w:val="00095C8E"/>
    <w:rsid w:val="000973C5"/>
    <w:rsid w:val="000A072A"/>
    <w:rsid w:val="000B1C7F"/>
    <w:rsid w:val="000B1E52"/>
    <w:rsid w:val="000B687A"/>
    <w:rsid w:val="000B746A"/>
    <w:rsid w:val="000B7BDB"/>
    <w:rsid w:val="000C10D4"/>
    <w:rsid w:val="000C2157"/>
    <w:rsid w:val="000C2937"/>
    <w:rsid w:val="000C30D8"/>
    <w:rsid w:val="000C3686"/>
    <w:rsid w:val="000C484C"/>
    <w:rsid w:val="000C57EC"/>
    <w:rsid w:val="000C76CA"/>
    <w:rsid w:val="000D2ED5"/>
    <w:rsid w:val="000D3DD4"/>
    <w:rsid w:val="000D7096"/>
    <w:rsid w:val="000E0C1A"/>
    <w:rsid w:val="000F1AEC"/>
    <w:rsid w:val="000F36E3"/>
    <w:rsid w:val="000F6A98"/>
    <w:rsid w:val="00101A6C"/>
    <w:rsid w:val="00102D90"/>
    <w:rsid w:val="0010575E"/>
    <w:rsid w:val="00107C8D"/>
    <w:rsid w:val="00111E71"/>
    <w:rsid w:val="0011254C"/>
    <w:rsid w:val="00113C37"/>
    <w:rsid w:val="00114D36"/>
    <w:rsid w:val="00114E4F"/>
    <w:rsid w:val="00116FA1"/>
    <w:rsid w:val="001233DF"/>
    <w:rsid w:val="00123C7F"/>
    <w:rsid w:val="0012586B"/>
    <w:rsid w:val="001317E5"/>
    <w:rsid w:val="001318DF"/>
    <w:rsid w:val="00133D0F"/>
    <w:rsid w:val="00151B80"/>
    <w:rsid w:val="001532D7"/>
    <w:rsid w:val="00156460"/>
    <w:rsid w:val="00157DE7"/>
    <w:rsid w:val="001604CB"/>
    <w:rsid w:val="001609FE"/>
    <w:rsid w:val="00160D6C"/>
    <w:rsid w:val="00160E6E"/>
    <w:rsid w:val="00165FA3"/>
    <w:rsid w:val="001663EE"/>
    <w:rsid w:val="00167438"/>
    <w:rsid w:val="001703DA"/>
    <w:rsid w:val="001739B2"/>
    <w:rsid w:val="001758B7"/>
    <w:rsid w:val="001761CE"/>
    <w:rsid w:val="00177214"/>
    <w:rsid w:val="00181E84"/>
    <w:rsid w:val="00184C93"/>
    <w:rsid w:val="00184F32"/>
    <w:rsid w:val="00191500"/>
    <w:rsid w:val="001932BA"/>
    <w:rsid w:val="00193BA7"/>
    <w:rsid w:val="0019761F"/>
    <w:rsid w:val="001A1CD6"/>
    <w:rsid w:val="001A3E4E"/>
    <w:rsid w:val="001A4D7B"/>
    <w:rsid w:val="001A7BD6"/>
    <w:rsid w:val="001B0787"/>
    <w:rsid w:val="001B5DFA"/>
    <w:rsid w:val="001B6578"/>
    <w:rsid w:val="001B6733"/>
    <w:rsid w:val="001C170B"/>
    <w:rsid w:val="001C1CBC"/>
    <w:rsid w:val="001C1F18"/>
    <w:rsid w:val="001C2C6A"/>
    <w:rsid w:val="001C77AC"/>
    <w:rsid w:val="001C7ACC"/>
    <w:rsid w:val="001D4781"/>
    <w:rsid w:val="001D616D"/>
    <w:rsid w:val="001E0C3C"/>
    <w:rsid w:val="001E5B68"/>
    <w:rsid w:val="001E6B8B"/>
    <w:rsid w:val="001F56E1"/>
    <w:rsid w:val="001F6757"/>
    <w:rsid w:val="001F7432"/>
    <w:rsid w:val="001F7840"/>
    <w:rsid w:val="0020375E"/>
    <w:rsid w:val="00212A06"/>
    <w:rsid w:val="00212AAB"/>
    <w:rsid w:val="0021512D"/>
    <w:rsid w:val="00216461"/>
    <w:rsid w:val="0021647A"/>
    <w:rsid w:val="00217956"/>
    <w:rsid w:val="002233EB"/>
    <w:rsid w:val="00223C2B"/>
    <w:rsid w:val="002255BA"/>
    <w:rsid w:val="0022614E"/>
    <w:rsid w:val="002332C0"/>
    <w:rsid w:val="002332E9"/>
    <w:rsid w:val="00237717"/>
    <w:rsid w:val="00244D9C"/>
    <w:rsid w:val="0024782F"/>
    <w:rsid w:val="00253BA7"/>
    <w:rsid w:val="00253D9C"/>
    <w:rsid w:val="00254B37"/>
    <w:rsid w:val="00254FE5"/>
    <w:rsid w:val="002557CF"/>
    <w:rsid w:val="0027014A"/>
    <w:rsid w:val="0027306B"/>
    <w:rsid w:val="00275402"/>
    <w:rsid w:val="002767A8"/>
    <w:rsid w:val="002775F9"/>
    <w:rsid w:val="0028317D"/>
    <w:rsid w:val="0028413E"/>
    <w:rsid w:val="002946FB"/>
    <w:rsid w:val="002962EB"/>
    <w:rsid w:val="00296D70"/>
    <w:rsid w:val="002A2B38"/>
    <w:rsid w:val="002A43F9"/>
    <w:rsid w:val="002A5E10"/>
    <w:rsid w:val="002A6F8D"/>
    <w:rsid w:val="002B1E7A"/>
    <w:rsid w:val="002B2384"/>
    <w:rsid w:val="002B753E"/>
    <w:rsid w:val="002C2C98"/>
    <w:rsid w:val="002C5715"/>
    <w:rsid w:val="002D02C4"/>
    <w:rsid w:val="002D06B3"/>
    <w:rsid w:val="002D6B32"/>
    <w:rsid w:val="002D7876"/>
    <w:rsid w:val="002E1CC2"/>
    <w:rsid w:val="002E24F6"/>
    <w:rsid w:val="002E2FF2"/>
    <w:rsid w:val="002E6D96"/>
    <w:rsid w:val="002E711C"/>
    <w:rsid w:val="002F54A6"/>
    <w:rsid w:val="0030206C"/>
    <w:rsid w:val="00312150"/>
    <w:rsid w:val="00314B22"/>
    <w:rsid w:val="00315B26"/>
    <w:rsid w:val="003164E3"/>
    <w:rsid w:val="00320731"/>
    <w:rsid w:val="0032358C"/>
    <w:rsid w:val="0032773D"/>
    <w:rsid w:val="00331A99"/>
    <w:rsid w:val="003377CD"/>
    <w:rsid w:val="00341A8A"/>
    <w:rsid w:val="003517F5"/>
    <w:rsid w:val="0035363A"/>
    <w:rsid w:val="003549DE"/>
    <w:rsid w:val="00364F1E"/>
    <w:rsid w:val="00365379"/>
    <w:rsid w:val="00370C1B"/>
    <w:rsid w:val="00374796"/>
    <w:rsid w:val="0037508F"/>
    <w:rsid w:val="00375954"/>
    <w:rsid w:val="00384742"/>
    <w:rsid w:val="003851C1"/>
    <w:rsid w:val="00385718"/>
    <w:rsid w:val="00385B0E"/>
    <w:rsid w:val="00385F77"/>
    <w:rsid w:val="00390839"/>
    <w:rsid w:val="00390EC3"/>
    <w:rsid w:val="00393097"/>
    <w:rsid w:val="00394DF0"/>
    <w:rsid w:val="00395800"/>
    <w:rsid w:val="00397694"/>
    <w:rsid w:val="00397753"/>
    <w:rsid w:val="003A01C6"/>
    <w:rsid w:val="003A27C9"/>
    <w:rsid w:val="003A489D"/>
    <w:rsid w:val="003A4EEA"/>
    <w:rsid w:val="003A654E"/>
    <w:rsid w:val="003B0D08"/>
    <w:rsid w:val="003B1479"/>
    <w:rsid w:val="003B4A6F"/>
    <w:rsid w:val="003B5817"/>
    <w:rsid w:val="003C206A"/>
    <w:rsid w:val="003C2D56"/>
    <w:rsid w:val="003D0087"/>
    <w:rsid w:val="003D063C"/>
    <w:rsid w:val="003D0C8B"/>
    <w:rsid w:val="003D220E"/>
    <w:rsid w:val="003D5676"/>
    <w:rsid w:val="003D6251"/>
    <w:rsid w:val="003D72BD"/>
    <w:rsid w:val="003E1ACA"/>
    <w:rsid w:val="003E200B"/>
    <w:rsid w:val="003E36BB"/>
    <w:rsid w:val="003E72F1"/>
    <w:rsid w:val="003F1C5F"/>
    <w:rsid w:val="003F5273"/>
    <w:rsid w:val="003F7155"/>
    <w:rsid w:val="003F7D15"/>
    <w:rsid w:val="00401708"/>
    <w:rsid w:val="00404449"/>
    <w:rsid w:val="0040739F"/>
    <w:rsid w:val="00407B82"/>
    <w:rsid w:val="00407F7D"/>
    <w:rsid w:val="0041066D"/>
    <w:rsid w:val="0041572B"/>
    <w:rsid w:val="004170D8"/>
    <w:rsid w:val="0042296D"/>
    <w:rsid w:val="004254D8"/>
    <w:rsid w:val="00433C29"/>
    <w:rsid w:val="00443373"/>
    <w:rsid w:val="004450D8"/>
    <w:rsid w:val="004469C3"/>
    <w:rsid w:val="00446D3F"/>
    <w:rsid w:val="0045479C"/>
    <w:rsid w:val="00454E36"/>
    <w:rsid w:val="004554AF"/>
    <w:rsid w:val="004615F4"/>
    <w:rsid w:val="004617E9"/>
    <w:rsid w:val="00462874"/>
    <w:rsid w:val="00467EFB"/>
    <w:rsid w:val="0047010E"/>
    <w:rsid w:val="00481BE8"/>
    <w:rsid w:val="0048280E"/>
    <w:rsid w:val="00485132"/>
    <w:rsid w:val="00485465"/>
    <w:rsid w:val="0049486E"/>
    <w:rsid w:val="004A07D9"/>
    <w:rsid w:val="004A0B4F"/>
    <w:rsid w:val="004A47A2"/>
    <w:rsid w:val="004A51F9"/>
    <w:rsid w:val="004A71F2"/>
    <w:rsid w:val="004A73E1"/>
    <w:rsid w:val="004B1F70"/>
    <w:rsid w:val="004B52D6"/>
    <w:rsid w:val="004B5C69"/>
    <w:rsid w:val="004B5D86"/>
    <w:rsid w:val="004C032B"/>
    <w:rsid w:val="004C224F"/>
    <w:rsid w:val="004C2C39"/>
    <w:rsid w:val="004C385E"/>
    <w:rsid w:val="004C6252"/>
    <w:rsid w:val="004D3541"/>
    <w:rsid w:val="004D41D2"/>
    <w:rsid w:val="004D7CF4"/>
    <w:rsid w:val="004D7D07"/>
    <w:rsid w:val="004D7E73"/>
    <w:rsid w:val="004E23CC"/>
    <w:rsid w:val="004E7437"/>
    <w:rsid w:val="004F0A25"/>
    <w:rsid w:val="004F2965"/>
    <w:rsid w:val="004F37D9"/>
    <w:rsid w:val="004F41B6"/>
    <w:rsid w:val="004F5128"/>
    <w:rsid w:val="005002CE"/>
    <w:rsid w:val="00502702"/>
    <w:rsid w:val="0050650F"/>
    <w:rsid w:val="00512BCE"/>
    <w:rsid w:val="00515BBE"/>
    <w:rsid w:val="0052160C"/>
    <w:rsid w:val="00525498"/>
    <w:rsid w:val="005264F5"/>
    <w:rsid w:val="00531440"/>
    <w:rsid w:val="00532CAA"/>
    <w:rsid w:val="005336FC"/>
    <w:rsid w:val="00534EC5"/>
    <w:rsid w:val="00537861"/>
    <w:rsid w:val="005415E0"/>
    <w:rsid w:val="00542E71"/>
    <w:rsid w:val="0054595C"/>
    <w:rsid w:val="00552011"/>
    <w:rsid w:val="00553F65"/>
    <w:rsid w:val="00554715"/>
    <w:rsid w:val="00556070"/>
    <w:rsid w:val="00556A64"/>
    <w:rsid w:val="00556F84"/>
    <w:rsid w:val="00557BDC"/>
    <w:rsid w:val="0056129F"/>
    <w:rsid w:val="00562EB9"/>
    <w:rsid w:val="0058376E"/>
    <w:rsid w:val="00587049"/>
    <w:rsid w:val="00587296"/>
    <w:rsid w:val="00590DF7"/>
    <w:rsid w:val="00591735"/>
    <w:rsid w:val="00592CCE"/>
    <w:rsid w:val="00594A08"/>
    <w:rsid w:val="00594DC4"/>
    <w:rsid w:val="00595113"/>
    <w:rsid w:val="00597256"/>
    <w:rsid w:val="005A1E41"/>
    <w:rsid w:val="005A3FFB"/>
    <w:rsid w:val="005A65C4"/>
    <w:rsid w:val="005A7338"/>
    <w:rsid w:val="005B05B5"/>
    <w:rsid w:val="005B3BC3"/>
    <w:rsid w:val="005B4C3E"/>
    <w:rsid w:val="005B6484"/>
    <w:rsid w:val="005C0EC6"/>
    <w:rsid w:val="005C57A0"/>
    <w:rsid w:val="005D033C"/>
    <w:rsid w:val="005D2F5A"/>
    <w:rsid w:val="005D6648"/>
    <w:rsid w:val="005D7B86"/>
    <w:rsid w:val="005D7F23"/>
    <w:rsid w:val="005E29A8"/>
    <w:rsid w:val="005E377E"/>
    <w:rsid w:val="005E3F21"/>
    <w:rsid w:val="005E47B3"/>
    <w:rsid w:val="005E497E"/>
    <w:rsid w:val="005F0779"/>
    <w:rsid w:val="005F1428"/>
    <w:rsid w:val="005F459D"/>
    <w:rsid w:val="005F553A"/>
    <w:rsid w:val="005F66E1"/>
    <w:rsid w:val="005F7766"/>
    <w:rsid w:val="0060236F"/>
    <w:rsid w:val="00602C91"/>
    <w:rsid w:val="00607448"/>
    <w:rsid w:val="00610ED3"/>
    <w:rsid w:val="006111EF"/>
    <w:rsid w:val="006133B7"/>
    <w:rsid w:val="0061624C"/>
    <w:rsid w:val="006166BF"/>
    <w:rsid w:val="0062708A"/>
    <w:rsid w:val="0062768A"/>
    <w:rsid w:val="00627AB9"/>
    <w:rsid w:val="00632F45"/>
    <w:rsid w:val="00636117"/>
    <w:rsid w:val="00636B28"/>
    <w:rsid w:val="006418A6"/>
    <w:rsid w:val="00650FB4"/>
    <w:rsid w:val="006538D9"/>
    <w:rsid w:val="00654F84"/>
    <w:rsid w:val="006560A9"/>
    <w:rsid w:val="00656A38"/>
    <w:rsid w:val="00656AAC"/>
    <w:rsid w:val="00657A8A"/>
    <w:rsid w:val="00661D41"/>
    <w:rsid w:val="00663BC2"/>
    <w:rsid w:val="00666C17"/>
    <w:rsid w:val="00667A2C"/>
    <w:rsid w:val="006756BF"/>
    <w:rsid w:val="00677A09"/>
    <w:rsid w:val="0068166D"/>
    <w:rsid w:val="00681CB7"/>
    <w:rsid w:val="006837E0"/>
    <w:rsid w:val="0068649C"/>
    <w:rsid w:val="0068734B"/>
    <w:rsid w:val="00693694"/>
    <w:rsid w:val="00694268"/>
    <w:rsid w:val="00697BE7"/>
    <w:rsid w:val="006A22F8"/>
    <w:rsid w:val="006A36AB"/>
    <w:rsid w:val="006A66F0"/>
    <w:rsid w:val="006B17CC"/>
    <w:rsid w:val="006B1C71"/>
    <w:rsid w:val="006B4B20"/>
    <w:rsid w:val="006B650A"/>
    <w:rsid w:val="006B682B"/>
    <w:rsid w:val="006B7ABB"/>
    <w:rsid w:val="006C20E8"/>
    <w:rsid w:val="006C5674"/>
    <w:rsid w:val="006C5690"/>
    <w:rsid w:val="006D4FBD"/>
    <w:rsid w:val="006D6F62"/>
    <w:rsid w:val="006F5105"/>
    <w:rsid w:val="006F5F27"/>
    <w:rsid w:val="006F6D4B"/>
    <w:rsid w:val="00701CA4"/>
    <w:rsid w:val="007022BE"/>
    <w:rsid w:val="00702E4C"/>
    <w:rsid w:val="007141DE"/>
    <w:rsid w:val="0071677B"/>
    <w:rsid w:val="00717230"/>
    <w:rsid w:val="0072174B"/>
    <w:rsid w:val="00723F8C"/>
    <w:rsid w:val="007278FF"/>
    <w:rsid w:val="00734050"/>
    <w:rsid w:val="00742AEB"/>
    <w:rsid w:val="00742FDD"/>
    <w:rsid w:val="007433FE"/>
    <w:rsid w:val="00750DAC"/>
    <w:rsid w:val="00752457"/>
    <w:rsid w:val="00752998"/>
    <w:rsid w:val="00754F16"/>
    <w:rsid w:val="007573D3"/>
    <w:rsid w:val="00757F46"/>
    <w:rsid w:val="00761A96"/>
    <w:rsid w:val="007630AE"/>
    <w:rsid w:val="0076378A"/>
    <w:rsid w:val="00764D55"/>
    <w:rsid w:val="00764E18"/>
    <w:rsid w:val="00773CD7"/>
    <w:rsid w:val="00776F02"/>
    <w:rsid w:val="007812EB"/>
    <w:rsid w:val="007817D5"/>
    <w:rsid w:val="00783484"/>
    <w:rsid w:val="007836AA"/>
    <w:rsid w:val="007879F4"/>
    <w:rsid w:val="00793B68"/>
    <w:rsid w:val="007A1819"/>
    <w:rsid w:val="007A2CC4"/>
    <w:rsid w:val="007A3243"/>
    <w:rsid w:val="007A3DB6"/>
    <w:rsid w:val="007A469D"/>
    <w:rsid w:val="007A5D25"/>
    <w:rsid w:val="007A6AB0"/>
    <w:rsid w:val="007A70EE"/>
    <w:rsid w:val="007B472D"/>
    <w:rsid w:val="007C0114"/>
    <w:rsid w:val="007C2C47"/>
    <w:rsid w:val="007C5A14"/>
    <w:rsid w:val="007C6411"/>
    <w:rsid w:val="007D0021"/>
    <w:rsid w:val="007D139C"/>
    <w:rsid w:val="007D1FAB"/>
    <w:rsid w:val="007D2866"/>
    <w:rsid w:val="007D4583"/>
    <w:rsid w:val="007D47A3"/>
    <w:rsid w:val="007D4AB8"/>
    <w:rsid w:val="007E0D93"/>
    <w:rsid w:val="007E0E57"/>
    <w:rsid w:val="007E3027"/>
    <w:rsid w:val="007E4116"/>
    <w:rsid w:val="007E5C21"/>
    <w:rsid w:val="007E6839"/>
    <w:rsid w:val="007E758D"/>
    <w:rsid w:val="007E7B3A"/>
    <w:rsid w:val="007F6A27"/>
    <w:rsid w:val="0080024C"/>
    <w:rsid w:val="00803242"/>
    <w:rsid w:val="00807437"/>
    <w:rsid w:val="00807C90"/>
    <w:rsid w:val="008116B0"/>
    <w:rsid w:val="008120FA"/>
    <w:rsid w:val="008125D2"/>
    <w:rsid w:val="008127D9"/>
    <w:rsid w:val="00813CCF"/>
    <w:rsid w:val="00821FE3"/>
    <w:rsid w:val="00823775"/>
    <w:rsid w:val="008306B7"/>
    <w:rsid w:val="0083136B"/>
    <w:rsid w:val="00832171"/>
    <w:rsid w:val="00832494"/>
    <w:rsid w:val="00835D59"/>
    <w:rsid w:val="008361FA"/>
    <w:rsid w:val="00843E72"/>
    <w:rsid w:val="0084595C"/>
    <w:rsid w:val="0084756E"/>
    <w:rsid w:val="00850200"/>
    <w:rsid w:val="00851A09"/>
    <w:rsid w:val="00853594"/>
    <w:rsid w:val="00854729"/>
    <w:rsid w:val="00855EB9"/>
    <w:rsid w:val="00856219"/>
    <w:rsid w:val="00856866"/>
    <w:rsid w:val="008620EC"/>
    <w:rsid w:val="00862A57"/>
    <w:rsid w:val="00863002"/>
    <w:rsid w:val="00864BAD"/>
    <w:rsid w:val="008666A1"/>
    <w:rsid w:val="00870626"/>
    <w:rsid w:val="00871BD7"/>
    <w:rsid w:val="00871C2A"/>
    <w:rsid w:val="00873B42"/>
    <w:rsid w:val="0088017B"/>
    <w:rsid w:val="00881C72"/>
    <w:rsid w:val="008824D3"/>
    <w:rsid w:val="00882F3F"/>
    <w:rsid w:val="00890667"/>
    <w:rsid w:val="008913A2"/>
    <w:rsid w:val="00891CB0"/>
    <w:rsid w:val="00894192"/>
    <w:rsid w:val="008941D6"/>
    <w:rsid w:val="008941DB"/>
    <w:rsid w:val="00897ECA"/>
    <w:rsid w:val="008A3509"/>
    <w:rsid w:val="008A3555"/>
    <w:rsid w:val="008A3C17"/>
    <w:rsid w:val="008A5B06"/>
    <w:rsid w:val="008B1BA7"/>
    <w:rsid w:val="008B2F05"/>
    <w:rsid w:val="008C2C71"/>
    <w:rsid w:val="008C6695"/>
    <w:rsid w:val="008C78A2"/>
    <w:rsid w:val="008D1433"/>
    <w:rsid w:val="008D18B7"/>
    <w:rsid w:val="008D23EC"/>
    <w:rsid w:val="008D52AF"/>
    <w:rsid w:val="008E0A33"/>
    <w:rsid w:val="008E141E"/>
    <w:rsid w:val="008E147A"/>
    <w:rsid w:val="008E1D21"/>
    <w:rsid w:val="008E2988"/>
    <w:rsid w:val="008E4BE2"/>
    <w:rsid w:val="008E55EA"/>
    <w:rsid w:val="008E71B4"/>
    <w:rsid w:val="008E72E1"/>
    <w:rsid w:val="008E7B70"/>
    <w:rsid w:val="008F0736"/>
    <w:rsid w:val="008F2458"/>
    <w:rsid w:val="008F25F8"/>
    <w:rsid w:val="008F4F70"/>
    <w:rsid w:val="008F5837"/>
    <w:rsid w:val="00900C28"/>
    <w:rsid w:val="00903154"/>
    <w:rsid w:val="009031B0"/>
    <w:rsid w:val="0090537C"/>
    <w:rsid w:val="0091748A"/>
    <w:rsid w:val="00917D28"/>
    <w:rsid w:val="0092257F"/>
    <w:rsid w:val="009246D1"/>
    <w:rsid w:val="00927D68"/>
    <w:rsid w:val="00933E56"/>
    <w:rsid w:val="00936F89"/>
    <w:rsid w:val="009408D7"/>
    <w:rsid w:val="0094296E"/>
    <w:rsid w:val="00942EE7"/>
    <w:rsid w:val="00943509"/>
    <w:rsid w:val="0094404A"/>
    <w:rsid w:val="009448E4"/>
    <w:rsid w:val="00944E92"/>
    <w:rsid w:val="00946274"/>
    <w:rsid w:val="00947D92"/>
    <w:rsid w:val="00961AB0"/>
    <w:rsid w:val="009649DB"/>
    <w:rsid w:val="00966911"/>
    <w:rsid w:val="0097489B"/>
    <w:rsid w:val="009755F8"/>
    <w:rsid w:val="0097706F"/>
    <w:rsid w:val="0097725A"/>
    <w:rsid w:val="00980AFA"/>
    <w:rsid w:val="009818F4"/>
    <w:rsid w:val="00983D07"/>
    <w:rsid w:val="00983E85"/>
    <w:rsid w:val="00992CF0"/>
    <w:rsid w:val="00995094"/>
    <w:rsid w:val="009967C4"/>
    <w:rsid w:val="00996A51"/>
    <w:rsid w:val="009A02B2"/>
    <w:rsid w:val="009A0B18"/>
    <w:rsid w:val="009A17A0"/>
    <w:rsid w:val="009A2B40"/>
    <w:rsid w:val="009A5B67"/>
    <w:rsid w:val="009A60C3"/>
    <w:rsid w:val="009B50A0"/>
    <w:rsid w:val="009B656E"/>
    <w:rsid w:val="009B736E"/>
    <w:rsid w:val="009B7FCF"/>
    <w:rsid w:val="009C3665"/>
    <w:rsid w:val="009C3B79"/>
    <w:rsid w:val="009C4799"/>
    <w:rsid w:val="009C58D8"/>
    <w:rsid w:val="009C7AC0"/>
    <w:rsid w:val="009D1FD0"/>
    <w:rsid w:val="009D4E20"/>
    <w:rsid w:val="009D5325"/>
    <w:rsid w:val="009D71C7"/>
    <w:rsid w:val="009D7C45"/>
    <w:rsid w:val="009E1F78"/>
    <w:rsid w:val="009E3EA0"/>
    <w:rsid w:val="009E4BC6"/>
    <w:rsid w:val="009F020E"/>
    <w:rsid w:val="009F0B47"/>
    <w:rsid w:val="009F0DD6"/>
    <w:rsid w:val="009F1370"/>
    <w:rsid w:val="009F150B"/>
    <w:rsid w:val="009F1DEE"/>
    <w:rsid w:val="009F3313"/>
    <w:rsid w:val="009F44CD"/>
    <w:rsid w:val="009F5C54"/>
    <w:rsid w:val="009F6BC3"/>
    <w:rsid w:val="009F793F"/>
    <w:rsid w:val="00A0045D"/>
    <w:rsid w:val="00A0568F"/>
    <w:rsid w:val="00A11F99"/>
    <w:rsid w:val="00A123CA"/>
    <w:rsid w:val="00A13E29"/>
    <w:rsid w:val="00A147A2"/>
    <w:rsid w:val="00A22CF8"/>
    <w:rsid w:val="00A252A7"/>
    <w:rsid w:val="00A27BFB"/>
    <w:rsid w:val="00A339B6"/>
    <w:rsid w:val="00A378CB"/>
    <w:rsid w:val="00A40A79"/>
    <w:rsid w:val="00A44A31"/>
    <w:rsid w:val="00A45651"/>
    <w:rsid w:val="00A5090D"/>
    <w:rsid w:val="00A517B7"/>
    <w:rsid w:val="00A552DD"/>
    <w:rsid w:val="00A601C3"/>
    <w:rsid w:val="00A61ADF"/>
    <w:rsid w:val="00A634B6"/>
    <w:rsid w:val="00A642CF"/>
    <w:rsid w:val="00A6634F"/>
    <w:rsid w:val="00A72F6F"/>
    <w:rsid w:val="00A74166"/>
    <w:rsid w:val="00A7700D"/>
    <w:rsid w:val="00A8226A"/>
    <w:rsid w:val="00A92FAF"/>
    <w:rsid w:val="00A93930"/>
    <w:rsid w:val="00A94F17"/>
    <w:rsid w:val="00A95D9F"/>
    <w:rsid w:val="00AA0A67"/>
    <w:rsid w:val="00AA2451"/>
    <w:rsid w:val="00AB048F"/>
    <w:rsid w:val="00AB1D78"/>
    <w:rsid w:val="00AB493C"/>
    <w:rsid w:val="00AC3922"/>
    <w:rsid w:val="00AC5932"/>
    <w:rsid w:val="00AC5A65"/>
    <w:rsid w:val="00AC7193"/>
    <w:rsid w:val="00AD10D2"/>
    <w:rsid w:val="00AE08E9"/>
    <w:rsid w:val="00AE114B"/>
    <w:rsid w:val="00AE2FD9"/>
    <w:rsid w:val="00AF0A7F"/>
    <w:rsid w:val="00AF0DAF"/>
    <w:rsid w:val="00AF3E35"/>
    <w:rsid w:val="00AF492D"/>
    <w:rsid w:val="00AF4FC9"/>
    <w:rsid w:val="00B03448"/>
    <w:rsid w:val="00B060CF"/>
    <w:rsid w:val="00B06804"/>
    <w:rsid w:val="00B10531"/>
    <w:rsid w:val="00B12474"/>
    <w:rsid w:val="00B1413F"/>
    <w:rsid w:val="00B1568E"/>
    <w:rsid w:val="00B15753"/>
    <w:rsid w:val="00B15A78"/>
    <w:rsid w:val="00B20B4D"/>
    <w:rsid w:val="00B2594D"/>
    <w:rsid w:val="00B27EC9"/>
    <w:rsid w:val="00B31650"/>
    <w:rsid w:val="00B328EA"/>
    <w:rsid w:val="00B37224"/>
    <w:rsid w:val="00B433C3"/>
    <w:rsid w:val="00B5429E"/>
    <w:rsid w:val="00B6403F"/>
    <w:rsid w:val="00B64BA4"/>
    <w:rsid w:val="00B64DDF"/>
    <w:rsid w:val="00B66B97"/>
    <w:rsid w:val="00B716CC"/>
    <w:rsid w:val="00B7748E"/>
    <w:rsid w:val="00B81118"/>
    <w:rsid w:val="00B83CA4"/>
    <w:rsid w:val="00B83D5D"/>
    <w:rsid w:val="00B84166"/>
    <w:rsid w:val="00B858A7"/>
    <w:rsid w:val="00B85CDE"/>
    <w:rsid w:val="00B90E3E"/>
    <w:rsid w:val="00B94367"/>
    <w:rsid w:val="00B94946"/>
    <w:rsid w:val="00B94C43"/>
    <w:rsid w:val="00BA6B0B"/>
    <w:rsid w:val="00BB315E"/>
    <w:rsid w:val="00BB3D57"/>
    <w:rsid w:val="00BB417D"/>
    <w:rsid w:val="00BB4BD5"/>
    <w:rsid w:val="00BB580D"/>
    <w:rsid w:val="00BB6BA0"/>
    <w:rsid w:val="00BC17F7"/>
    <w:rsid w:val="00BC30BA"/>
    <w:rsid w:val="00BC467C"/>
    <w:rsid w:val="00BC4B1D"/>
    <w:rsid w:val="00BC53F4"/>
    <w:rsid w:val="00BD12AE"/>
    <w:rsid w:val="00BD3482"/>
    <w:rsid w:val="00BD74D5"/>
    <w:rsid w:val="00BE15BF"/>
    <w:rsid w:val="00BE2ACC"/>
    <w:rsid w:val="00BE5307"/>
    <w:rsid w:val="00BE5C12"/>
    <w:rsid w:val="00BE6A59"/>
    <w:rsid w:val="00BF0986"/>
    <w:rsid w:val="00BF132D"/>
    <w:rsid w:val="00BF726A"/>
    <w:rsid w:val="00C023E4"/>
    <w:rsid w:val="00C0335C"/>
    <w:rsid w:val="00C04976"/>
    <w:rsid w:val="00C1109B"/>
    <w:rsid w:val="00C12468"/>
    <w:rsid w:val="00C12898"/>
    <w:rsid w:val="00C14531"/>
    <w:rsid w:val="00C15611"/>
    <w:rsid w:val="00C216E0"/>
    <w:rsid w:val="00C269C3"/>
    <w:rsid w:val="00C35395"/>
    <w:rsid w:val="00C360B5"/>
    <w:rsid w:val="00C435D9"/>
    <w:rsid w:val="00C43DAF"/>
    <w:rsid w:val="00C45075"/>
    <w:rsid w:val="00C5279F"/>
    <w:rsid w:val="00C5322A"/>
    <w:rsid w:val="00C538D2"/>
    <w:rsid w:val="00C56096"/>
    <w:rsid w:val="00C63F5B"/>
    <w:rsid w:val="00C668C5"/>
    <w:rsid w:val="00C71CE0"/>
    <w:rsid w:val="00C733DA"/>
    <w:rsid w:val="00C75192"/>
    <w:rsid w:val="00C92948"/>
    <w:rsid w:val="00C92AA6"/>
    <w:rsid w:val="00CA127E"/>
    <w:rsid w:val="00CA14DF"/>
    <w:rsid w:val="00CA156E"/>
    <w:rsid w:val="00CA1B5D"/>
    <w:rsid w:val="00CA3977"/>
    <w:rsid w:val="00CA3E2B"/>
    <w:rsid w:val="00CA3F5E"/>
    <w:rsid w:val="00CB2675"/>
    <w:rsid w:val="00CB2FF4"/>
    <w:rsid w:val="00CC1AA1"/>
    <w:rsid w:val="00CC2A6C"/>
    <w:rsid w:val="00CC7258"/>
    <w:rsid w:val="00CC7341"/>
    <w:rsid w:val="00CD0280"/>
    <w:rsid w:val="00CD1816"/>
    <w:rsid w:val="00CD40CC"/>
    <w:rsid w:val="00CD5C2A"/>
    <w:rsid w:val="00CD64C1"/>
    <w:rsid w:val="00CD7349"/>
    <w:rsid w:val="00CE6187"/>
    <w:rsid w:val="00CF1361"/>
    <w:rsid w:val="00CF33DD"/>
    <w:rsid w:val="00CF543E"/>
    <w:rsid w:val="00CF59E3"/>
    <w:rsid w:val="00D041A9"/>
    <w:rsid w:val="00D051ED"/>
    <w:rsid w:val="00D078D9"/>
    <w:rsid w:val="00D10D89"/>
    <w:rsid w:val="00D14DF8"/>
    <w:rsid w:val="00D1699B"/>
    <w:rsid w:val="00D2317C"/>
    <w:rsid w:val="00D24649"/>
    <w:rsid w:val="00D24C9F"/>
    <w:rsid w:val="00D334D5"/>
    <w:rsid w:val="00D34A55"/>
    <w:rsid w:val="00D362C7"/>
    <w:rsid w:val="00D3688A"/>
    <w:rsid w:val="00D36959"/>
    <w:rsid w:val="00D37589"/>
    <w:rsid w:val="00D426BE"/>
    <w:rsid w:val="00D44948"/>
    <w:rsid w:val="00D524F4"/>
    <w:rsid w:val="00D56017"/>
    <w:rsid w:val="00D5639A"/>
    <w:rsid w:val="00D57571"/>
    <w:rsid w:val="00D576BC"/>
    <w:rsid w:val="00D6130E"/>
    <w:rsid w:val="00D656EF"/>
    <w:rsid w:val="00D6657B"/>
    <w:rsid w:val="00D6780D"/>
    <w:rsid w:val="00D67D91"/>
    <w:rsid w:val="00D70219"/>
    <w:rsid w:val="00D7493A"/>
    <w:rsid w:val="00D7640C"/>
    <w:rsid w:val="00D822CE"/>
    <w:rsid w:val="00D86242"/>
    <w:rsid w:val="00D92208"/>
    <w:rsid w:val="00D93271"/>
    <w:rsid w:val="00DB03E3"/>
    <w:rsid w:val="00DB0561"/>
    <w:rsid w:val="00DB12AC"/>
    <w:rsid w:val="00DB1A2B"/>
    <w:rsid w:val="00DC18E8"/>
    <w:rsid w:val="00DC74A0"/>
    <w:rsid w:val="00DD2357"/>
    <w:rsid w:val="00DD313D"/>
    <w:rsid w:val="00DE7080"/>
    <w:rsid w:val="00DF0250"/>
    <w:rsid w:val="00DF4FAE"/>
    <w:rsid w:val="00DF50F5"/>
    <w:rsid w:val="00DF5A66"/>
    <w:rsid w:val="00E01E1C"/>
    <w:rsid w:val="00E0331A"/>
    <w:rsid w:val="00E07B86"/>
    <w:rsid w:val="00E10307"/>
    <w:rsid w:val="00E10AE5"/>
    <w:rsid w:val="00E113FF"/>
    <w:rsid w:val="00E116CC"/>
    <w:rsid w:val="00E12C7E"/>
    <w:rsid w:val="00E1678E"/>
    <w:rsid w:val="00E16DA7"/>
    <w:rsid w:val="00E1768F"/>
    <w:rsid w:val="00E17C42"/>
    <w:rsid w:val="00E22D28"/>
    <w:rsid w:val="00E30007"/>
    <w:rsid w:val="00E3077E"/>
    <w:rsid w:val="00E30EC7"/>
    <w:rsid w:val="00E36C6E"/>
    <w:rsid w:val="00E408FC"/>
    <w:rsid w:val="00E41775"/>
    <w:rsid w:val="00E47752"/>
    <w:rsid w:val="00E5091B"/>
    <w:rsid w:val="00E529D3"/>
    <w:rsid w:val="00E608C2"/>
    <w:rsid w:val="00E61354"/>
    <w:rsid w:val="00E6565D"/>
    <w:rsid w:val="00E657B7"/>
    <w:rsid w:val="00E72342"/>
    <w:rsid w:val="00E73E7C"/>
    <w:rsid w:val="00E7760A"/>
    <w:rsid w:val="00E82B6E"/>
    <w:rsid w:val="00E862ED"/>
    <w:rsid w:val="00E875DF"/>
    <w:rsid w:val="00E91AE9"/>
    <w:rsid w:val="00E9297C"/>
    <w:rsid w:val="00E92B0C"/>
    <w:rsid w:val="00E95F0F"/>
    <w:rsid w:val="00EA230D"/>
    <w:rsid w:val="00EA3A36"/>
    <w:rsid w:val="00EB3DBA"/>
    <w:rsid w:val="00EB531C"/>
    <w:rsid w:val="00EB5CC5"/>
    <w:rsid w:val="00EB6A12"/>
    <w:rsid w:val="00EC1ADC"/>
    <w:rsid w:val="00EC3409"/>
    <w:rsid w:val="00EC57B5"/>
    <w:rsid w:val="00EC58EC"/>
    <w:rsid w:val="00ED49BC"/>
    <w:rsid w:val="00ED5887"/>
    <w:rsid w:val="00ED61D5"/>
    <w:rsid w:val="00ED6991"/>
    <w:rsid w:val="00ED6A0D"/>
    <w:rsid w:val="00ED6ED0"/>
    <w:rsid w:val="00ED6F64"/>
    <w:rsid w:val="00EE0016"/>
    <w:rsid w:val="00EE04E4"/>
    <w:rsid w:val="00EE2B57"/>
    <w:rsid w:val="00EE6648"/>
    <w:rsid w:val="00EF0366"/>
    <w:rsid w:val="00EF7ABD"/>
    <w:rsid w:val="00F010DF"/>
    <w:rsid w:val="00F02BBD"/>
    <w:rsid w:val="00F02CCE"/>
    <w:rsid w:val="00F0438C"/>
    <w:rsid w:val="00F05940"/>
    <w:rsid w:val="00F07415"/>
    <w:rsid w:val="00F077D2"/>
    <w:rsid w:val="00F118C1"/>
    <w:rsid w:val="00F12B57"/>
    <w:rsid w:val="00F143B2"/>
    <w:rsid w:val="00F14916"/>
    <w:rsid w:val="00F1650F"/>
    <w:rsid w:val="00F23814"/>
    <w:rsid w:val="00F24520"/>
    <w:rsid w:val="00F257C8"/>
    <w:rsid w:val="00F25A93"/>
    <w:rsid w:val="00F3004E"/>
    <w:rsid w:val="00F3306C"/>
    <w:rsid w:val="00F34325"/>
    <w:rsid w:val="00F40B26"/>
    <w:rsid w:val="00F4236A"/>
    <w:rsid w:val="00F43628"/>
    <w:rsid w:val="00F43A6A"/>
    <w:rsid w:val="00F46682"/>
    <w:rsid w:val="00F473D8"/>
    <w:rsid w:val="00F476FE"/>
    <w:rsid w:val="00F5484E"/>
    <w:rsid w:val="00F571BB"/>
    <w:rsid w:val="00F57E4D"/>
    <w:rsid w:val="00F600B6"/>
    <w:rsid w:val="00F60E70"/>
    <w:rsid w:val="00F60F45"/>
    <w:rsid w:val="00F61C5B"/>
    <w:rsid w:val="00F67358"/>
    <w:rsid w:val="00F67555"/>
    <w:rsid w:val="00F704C4"/>
    <w:rsid w:val="00F71E3F"/>
    <w:rsid w:val="00F7272D"/>
    <w:rsid w:val="00F77256"/>
    <w:rsid w:val="00F80358"/>
    <w:rsid w:val="00F809A7"/>
    <w:rsid w:val="00F80BCB"/>
    <w:rsid w:val="00F81047"/>
    <w:rsid w:val="00F83F71"/>
    <w:rsid w:val="00F90BB6"/>
    <w:rsid w:val="00F911D8"/>
    <w:rsid w:val="00F94550"/>
    <w:rsid w:val="00FA0F3D"/>
    <w:rsid w:val="00FA1204"/>
    <w:rsid w:val="00FA152B"/>
    <w:rsid w:val="00FA4160"/>
    <w:rsid w:val="00FA6BC6"/>
    <w:rsid w:val="00FA7A2E"/>
    <w:rsid w:val="00FB7A2C"/>
    <w:rsid w:val="00FB7B6B"/>
    <w:rsid w:val="00FC22F4"/>
    <w:rsid w:val="00FC320B"/>
    <w:rsid w:val="00FC4BD2"/>
    <w:rsid w:val="00FC4D59"/>
    <w:rsid w:val="00FC4D67"/>
    <w:rsid w:val="00FC7BC6"/>
    <w:rsid w:val="00FD1521"/>
    <w:rsid w:val="00FD2B2C"/>
    <w:rsid w:val="00FD5D9F"/>
    <w:rsid w:val="00FD6693"/>
    <w:rsid w:val="00FD7828"/>
    <w:rsid w:val="00FE7788"/>
    <w:rsid w:val="00FF0D60"/>
    <w:rsid w:val="00FF2190"/>
    <w:rsid w:val="00FF2458"/>
    <w:rsid w:val="00FF7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45695"/>
  <w14:defaultImageDpi w14:val="0"/>
  <w15:docId w15:val="{FB9B6CA9-CC55-465E-AD6E-AFEC5976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02"/>
  </w:style>
  <w:style w:type="paragraph" w:styleId="1">
    <w:name w:val="heading 1"/>
    <w:basedOn w:val="a"/>
    <w:next w:val="a"/>
    <w:link w:val="10"/>
    <w:uiPriority w:val="9"/>
    <w:qFormat/>
    <w:rsid w:val="000D2E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0D2E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ED5"/>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rsid w:val="000D2ED5"/>
    <w:rPr>
      <w:rFonts w:asciiTheme="majorHAnsi" w:eastAsiaTheme="majorEastAsia" w:hAnsiTheme="majorHAnsi" w:cstheme="majorBidi"/>
      <w:color w:val="365F91" w:themeColor="accent1" w:themeShade="BF"/>
      <w:sz w:val="32"/>
      <w:szCs w:val="32"/>
    </w:rPr>
  </w:style>
  <w:style w:type="character" w:styleId="a3">
    <w:name w:val="annotation reference"/>
    <w:basedOn w:val="a0"/>
    <w:uiPriority w:val="99"/>
    <w:semiHidden/>
    <w:unhideWhenUsed/>
    <w:rsid w:val="00E862ED"/>
    <w:rPr>
      <w:sz w:val="16"/>
      <w:szCs w:val="16"/>
    </w:rPr>
  </w:style>
  <w:style w:type="paragraph" w:styleId="a4">
    <w:name w:val="annotation text"/>
    <w:basedOn w:val="a"/>
    <w:link w:val="a5"/>
    <w:uiPriority w:val="99"/>
    <w:unhideWhenUsed/>
    <w:rsid w:val="00E862ED"/>
    <w:pPr>
      <w:spacing w:line="240" w:lineRule="auto"/>
    </w:pPr>
    <w:rPr>
      <w:sz w:val="20"/>
      <w:szCs w:val="20"/>
    </w:rPr>
  </w:style>
  <w:style w:type="character" w:customStyle="1" w:styleId="a5">
    <w:name w:val="Текст примітки Знак"/>
    <w:basedOn w:val="a0"/>
    <w:link w:val="a4"/>
    <w:uiPriority w:val="99"/>
    <w:rsid w:val="00E862ED"/>
    <w:rPr>
      <w:sz w:val="20"/>
      <w:szCs w:val="20"/>
    </w:rPr>
  </w:style>
  <w:style w:type="paragraph" w:styleId="a6">
    <w:name w:val="annotation subject"/>
    <w:basedOn w:val="a4"/>
    <w:next w:val="a4"/>
    <w:link w:val="a7"/>
    <w:uiPriority w:val="99"/>
    <w:semiHidden/>
    <w:unhideWhenUsed/>
    <w:rsid w:val="00E862ED"/>
    <w:rPr>
      <w:b/>
      <w:bCs/>
    </w:rPr>
  </w:style>
  <w:style w:type="character" w:customStyle="1" w:styleId="a7">
    <w:name w:val="Тема примітки Знак"/>
    <w:basedOn w:val="a5"/>
    <w:link w:val="a6"/>
    <w:uiPriority w:val="99"/>
    <w:semiHidden/>
    <w:rsid w:val="00E862ED"/>
    <w:rPr>
      <w:b/>
      <w:bCs/>
      <w:sz w:val="20"/>
      <w:szCs w:val="20"/>
    </w:rPr>
  </w:style>
  <w:style w:type="character" w:styleId="a8">
    <w:name w:val="Hyperlink"/>
    <w:basedOn w:val="a0"/>
    <w:uiPriority w:val="99"/>
    <w:unhideWhenUsed/>
    <w:rsid w:val="00D656EF"/>
    <w:rPr>
      <w:color w:val="0000FF" w:themeColor="hyperlink"/>
      <w:u w:val="single"/>
    </w:rPr>
  </w:style>
  <w:style w:type="character" w:styleId="a9">
    <w:name w:val="Unresolved Mention"/>
    <w:basedOn w:val="a0"/>
    <w:uiPriority w:val="99"/>
    <w:semiHidden/>
    <w:unhideWhenUsed/>
    <w:rsid w:val="00D656EF"/>
    <w:rPr>
      <w:color w:val="605E5C"/>
      <w:shd w:val="clear" w:color="auto" w:fill="E1DFDD"/>
    </w:rPr>
  </w:style>
  <w:style w:type="table" w:styleId="aa">
    <w:name w:val="Table Grid"/>
    <w:basedOn w:val="a1"/>
    <w:uiPriority w:val="39"/>
    <w:rsid w:val="00DB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F3F"/>
    <w:pPr>
      <w:autoSpaceDE w:val="0"/>
      <w:autoSpaceDN w:val="0"/>
      <w:adjustRightInd w:val="0"/>
      <w:spacing w:after="0" w:line="240" w:lineRule="auto"/>
    </w:pPr>
    <w:rPr>
      <w:rFonts w:ascii="Calibri" w:hAnsi="Calibri" w:cs="Calibri"/>
      <w:color w:val="000000"/>
      <w:kern w:val="0"/>
    </w:rPr>
  </w:style>
  <w:style w:type="paragraph" w:styleId="ab">
    <w:name w:val="Title"/>
    <w:basedOn w:val="a"/>
    <w:next w:val="a"/>
    <w:link w:val="ac"/>
    <w:uiPriority w:val="10"/>
    <w:qFormat/>
    <w:rsid w:val="0058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 Знак"/>
    <w:basedOn w:val="a0"/>
    <w:link w:val="ab"/>
    <w:uiPriority w:val="10"/>
    <w:rsid w:val="00587296"/>
    <w:rPr>
      <w:rFonts w:asciiTheme="majorHAnsi" w:eastAsiaTheme="majorEastAsia" w:hAnsiTheme="majorHAnsi" w:cstheme="majorBidi"/>
      <w:spacing w:val="-10"/>
      <w:kern w:val="28"/>
      <w:sz w:val="56"/>
      <w:szCs w:val="56"/>
    </w:rPr>
  </w:style>
  <w:style w:type="paragraph" w:styleId="ad">
    <w:name w:val="Subtitle"/>
    <w:basedOn w:val="a"/>
    <w:next w:val="a"/>
    <w:link w:val="ae"/>
    <w:uiPriority w:val="11"/>
    <w:qFormat/>
    <w:rsid w:val="00587296"/>
    <w:pPr>
      <w:numPr>
        <w:ilvl w:val="1"/>
      </w:numPr>
    </w:pPr>
    <w:rPr>
      <w:rFonts w:eastAsiaTheme="majorEastAsia" w:cstheme="majorBidi"/>
      <w:color w:val="595959" w:themeColor="text1" w:themeTint="A6"/>
      <w:spacing w:val="15"/>
      <w:sz w:val="28"/>
      <w:szCs w:val="28"/>
    </w:rPr>
  </w:style>
  <w:style w:type="character" w:customStyle="1" w:styleId="ae">
    <w:name w:val="Підзаголовок Знак"/>
    <w:basedOn w:val="a0"/>
    <w:link w:val="ad"/>
    <w:uiPriority w:val="11"/>
    <w:rsid w:val="00587296"/>
    <w:rPr>
      <w:rFonts w:eastAsiaTheme="majorEastAsia" w:cstheme="majorBidi"/>
      <w:color w:val="595959" w:themeColor="text1" w:themeTint="A6"/>
      <w:spacing w:val="15"/>
      <w:sz w:val="28"/>
      <w:szCs w:val="28"/>
    </w:rPr>
  </w:style>
  <w:style w:type="character" w:styleId="af">
    <w:name w:val="Subtle Reference"/>
    <w:basedOn w:val="a0"/>
    <w:uiPriority w:val="31"/>
    <w:qFormat/>
    <w:rsid w:val="00587296"/>
    <w:rPr>
      <w:smallCaps/>
      <w:color w:val="5A5A5A" w:themeColor="text1" w:themeTint="A5"/>
    </w:rPr>
  </w:style>
  <w:style w:type="paragraph" w:styleId="af0">
    <w:name w:val="TOC Heading"/>
    <w:basedOn w:val="1"/>
    <w:next w:val="a"/>
    <w:uiPriority w:val="39"/>
    <w:semiHidden/>
    <w:unhideWhenUsed/>
    <w:qFormat/>
    <w:rsid w:val="00587296"/>
    <w:pPr>
      <w:spacing w:before="240" w:after="0"/>
      <w:outlineLvl w:val="9"/>
    </w:pPr>
    <w:rPr>
      <w:sz w:val="32"/>
      <w:szCs w:val="32"/>
    </w:rPr>
  </w:style>
  <w:style w:type="paragraph" w:styleId="11">
    <w:name w:val="toc 1"/>
    <w:basedOn w:val="a"/>
    <w:next w:val="a"/>
    <w:autoRedefine/>
    <w:uiPriority w:val="39"/>
    <w:unhideWhenUsed/>
    <w:rsid w:val="00FD1521"/>
    <w:pPr>
      <w:tabs>
        <w:tab w:val="right" w:leader="dot" w:pos="9736"/>
      </w:tabs>
      <w:spacing w:after="0" w:line="240" w:lineRule="auto"/>
    </w:pPr>
  </w:style>
  <w:style w:type="paragraph" w:styleId="21">
    <w:name w:val="toc 2"/>
    <w:basedOn w:val="a"/>
    <w:next w:val="a"/>
    <w:autoRedefine/>
    <w:uiPriority w:val="39"/>
    <w:unhideWhenUsed/>
    <w:rsid w:val="00587296"/>
    <w:pPr>
      <w:spacing w:after="100"/>
      <w:ind w:left="240"/>
    </w:pPr>
  </w:style>
  <w:style w:type="character" w:styleId="af1">
    <w:name w:val="Intense Reference"/>
    <w:basedOn w:val="a0"/>
    <w:uiPriority w:val="32"/>
    <w:qFormat/>
    <w:rsid w:val="00F5484E"/>
    <w:rPr>
      <w:b/>
      <w:bCs/>
      <w:smallCaps/>
      <w:color w:val="365F91" w:themeColor="accent1" w:themeShade="BF"/>
      <w:spacing w:val="5"/>
    </w:rPr>
  </w:style>
  <w:style w:type="character" w:styleId="af2">
    <w:name w:val="FollowedHyperlink"/>
    <w:basedOn w:val="a0"/>
    <w:uiPriority w:val="99"/>
    <w:semiHidden/>
    <w:unhideWhenUsed/>
    <w:rsid w:val="00776F02"/>
    <w:rPr>
      <w:color w:val="800080" w:themeColor="followedHyperlink"/>
      <w:u w:val="single"/>
    </w:rPr>
  </w:style>
  <w:style w:type="character" w:styleId="af3">
    <w:name w:val="Subtle Emphasis"/>
    <w:basedOn w:val="a0"/>
    <w:uiPriority w:val="19"/>
    <w:qFormat/>
    <w:rsid w:val="0071677B"/>
    <w:rPr>
      <w:i/>
      <w:iCs/>
      <w:color w:val="404040" w:themeColor="text1" w:themeTint="BF"/>
    </w:rPr>
  </w:style>
  <w:style w:type="table" w:styleId="-45">
    <w:name w:val="List Table 4 Accent 5"/>
    <w:basedOn w:val="a1"/>
    <w:uiPriority w:val="49"/>
    <w:rsid w:val="008C669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4">
    <w:name w:val="header"/>
    <w:basedOn w:val="a"/>
    <w:link w:val="af5"/>
    <w:uiPriority w:val="99"/>
    <w:unhideWhenUsed/>
    <w:rsid w:val="00011FFD"/>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011FFD"/>
  </w:style>
  <w:style w:type="paragraph" w:styleId="af6">
    <w:name w:val="footer"/>
    <w:basedOn w:val="a"/>
    <w:link w:val="af7"/>
    <w:uiPriority w:val="99"/>
    <w:unhideWhenUsed/>
    <w:rsid w:val="00011FFD"/>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011FFD"/>
  </w:style>
  <w:style w:type="table" w:styleId="-31">
    <w:name w:val="List Table 3 Accent 1"/>
    <w:basedOn w:val="a1"/>
    <w:uiPriority w:val="48"/>
    <w:rsid w:val="0021646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8">
    <w:name w:val="List Paragraph"/>
    <w:basedOn w:val="a"/>
    <w:uiPriority w:val="34"/>
    <w:qFormat/>
    <w:rsid w:val="003A27C9"/>
    <w:pPr>
      <w:ind w:left="720"/>
      <w:contextualSpacing/>
    </w:pPr>
  </w:style>
  <w:style w:type="paragraph" w:styleId="af9">
    <w:name w:val="No Spacing"/>
    <w:link w:val="afa"/>
    <w:uiPriority w:val="1"/>
    <w:qFormat/>
    <w:rsid w:val="005F1428"/>
    <w:pPr>
      <w:spacing w:after="0" w:line="240" w:lineRule="auto"/>
    </w:pPr>
    <w:rPr>
      <w:rFonts w:eastAsiaTheme="minorEastAsia"/>
      <w:kern w:val="0"/>
      <w14:ligatures w14:val="none"/>
    </w:rPr>
  </w:style>
  <w:style w:type="character" w:customStyle="1" w:styleId="afa">
    <w:name w:val="Без інтервалів Знак"/>
    <w:basedOn w:val="a0"/>
    <w:link w:val="af9"/>
    <w:uiPriority w:val="1"/>
    <w:rsid w:val="005F142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69367">
      <w:bodyDiv w:val="1"/>
      <w:marLeft w:val="0"/>
      <w:marRight w:val="0"/>
      <w:marTop w:val="0"/>
      <w:marBottom w:val="0"/>
      <w:divBdr>
        <w:top w:val="none" w:sz="0" w:space="0" w:color="auto"/>
        <w:left w:val="none" w:sz="0" w:space="0" w:color="auto"/>
        <w:bottom w:val="none" w:sz="0" w:space="0" w:color="auto"/>
        <w:right w:val="none" w:sz="0" w:space="0" w:color="auto"/>
      </w:divBdr>
    </w:div>
    <w:div w:id="548998729">
      <w:bodyDiv w:val="1"/>
      <w:marLeft w:val="0"/>
      <w:marRight w:val="0"/>
      <w:marTop w:val="0"/>
      <w:marBottom w:val="0"/>
      <w:divBdr>
        <w:top w:val="none" w:sz="0" w:space="0" w:color="auto"/>
        <w:left w:val="none" w:sz="0" w:space="0" w:color="auto"/>
        <w:bottom w:val="none" w:sz="0" w:space="0" w:color="auto"/>
        <w:right w:val="none" w:sz="0" w:space="0" w:color="auto"/>
      </w:divBdr>
    </w:div>
    <w:div w:id="856508176">
      <w:bodyDiv w:val="1"/>
      <w:marLeft w:val="0"/>
      <w:marRight w:val="0"/>
      <w:marTop w:val="0"/>
      <w:marBottom w:val="0"/>
      <w:divBdr>
        <w:top w:val="none" w:sz="0" w:space="0" w:color="auto"/>
        <w:left w:val="none" w:sz="0" w:space="0" w:color="auto"/>
        <w:bottom w:val="none" w:sz="0" w:space="0" w:color="auto"/>
        <w:right w:val="none" w:sz="0" w:space="0" w:color="auto"/>
      </w:divBdr>
    </w:div>
    <w:div w:id="121727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88"/>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013-24" TargetMode="External"/><Relationship Id="rId21" Type="http://schemas.openxmlformats.org/officeDocument/2006/relationships/hyperlink" Target="https://ihed.org.ua/wp-content/uploads/2024/10/Glosarij_VO_09.2024-114p.pdf" TargetMode="External"/><Relationship Id="rId42" Type="http://schemas.openxmlformats.org/officeDocument/2006/relationships/hyperlink" Target="https://global-minds.eu/wp-content/uploads/2017/10/GMConsortiumAgreement2017NoGrantAgreement.pdf" TargetMode="External"/><Relationship Id="rId47" Type="http://schemas.openxmlformats.org/officeDocument/2006/relationships/hyperlink" Target="https://www.eqar.eu/register/agencies/" TargetMode="External"/><Relationship Id="rId63" Type="http://schemas.openxmlformats.org/officeDocument/2006/relationships/hyperlink" Target="https://www.enic-naric.net/fileusers/7355_Revised_Recommendation_on_the_Recognition_of_Joint_Degrees_2016.pdf" TargetMode="External"/><Relationship Id="rId68" Type="http://schemas.openxmlformats.org/officeDocument/2006/relationships/hyperlink" Target="https://issuu.com/valemanzato/docs/how_to_manage_joint_study_programme" TargetMode="External"/><Relationship Id="rId2" Type="http://schemas.openxmlformats.org/officeDocument/2006/relationships/numbering" Target="numbering.xml"/><Relationship Id="rId16" Type="http://schemas.openxmlformats.org/officeDocument/2006/relationships/hyperlink" Target="https://www.eqar.eu/kb/joint-programmes/" TargetMode="External"/><Relationship Id="rId29" Type="http://schemas.openxmlformats.org/officeDocument/2006/relationships/hyperlink" Target="https://www.enic-naric.net/welcome-to-the-enic-naric-website.aspx" TargetMode="External"/><Relationship Id="rId11" Type="http://schemas.openxmlformats.org/officeDocument/2006/relationships/hyperlink" Target="https://www.eqar.eu/kb/joint-programmes/" TargetMode="External"/><Relationship Id="rId24" Type="http://schemas.openxmlformats.org/officeDocument/2006/relationships/hyperlink" Target="https://emle.org/" TargetMode="External"/><Relationship Id="rId32" Type="http://schemas.openxmlformats.org/officeDocument/2006/relationships/hyperlink" Target="https://moodle.org/?lang=en" TargetMode="External"/><Relationship Id="rId37" Type="http://schemas.openxmlformats.org/officeDocument/2006/relationships/hyperlink" Target="http://egracons.eu/" TargetMode="External"/><Relationship Id="rId40" Type="http://schemas.openxmlformats.org/officeDocument/2006/relationships/hyperlink" Target="https://www.google.nl/url?sa=t&amp;rct=j&amp;q=&amp;esrc=s&amp;source=web&amp;cd=1&amp;cad=rja&amp;uact=8&amp;ved=2ahUKEwicv_7y08foAhXC66QKHTEJCBIQFjAAegQIBRAB&amp;url=https%3A%2F%2Femle.org%2Fwp-content%2Fuploads%2F2018%2F02%2FEMLE-CA-2017_final-version.pdf&amp;usg=AOvVaw3S5cxo2rkBVBTl22_A6e-I" TargetMode="External"/><Relationship Id="rId45" Type="http://schemas.openxmlformats.org/officeDocument/2006/relationships/hyperlink" Target="https://www.eqar.eu/assets/uploads/2018/04/02_European_Approach_QA_of_Joint_Programmes_v1_0.pdf" TargetMode="External"/><Relationship Id="rId53" Type="http://schemas.openxmlformats.org/officeDocument/2006/relationships/hyperlink" Target="http://impea.online/" TargetMode="External"/><Relationship Id="rId58" Type="http://schemas.openxmlformats.org/officeDocument/2006/relationships/hyperlink" Target="http://conventions.coe.int/Treaty/Commun/ChercheSig.asp?NT=165&amp;CM=8&amp;CL=ENG" TargetMode="External"/><Relationship Id="rId66" Type="http://schemas.openxmlformats.org/officeDocument/2006/relationships/hyperlink" Target="https://ecahe.eu/publications/4/"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icic.ca/docs/lisboa/recommendation-foreign-qualifications.en.pdf" TargetMode="External"/><Relationship Id="rId19" Type="http://schemas.openxmlformats.org/officeDocument/2006/relationships/hyperlink" Target="https://zakon.rada.gov.ua/laws/show/1556-18?find=1&amp;text=%D1%83%D0%B7%D0%B3%D0%BE%D0%B4%D0%B6%D0%B5%D0%BD" TargetMode="External"/><Relationship Id="rId14" Type="http://schemas.openxmlformats.org/officeDocument/2006/relationships/hyperlink" Target="http://www.nordicmaster.org/" TargetMode="External"/><Relationship Id="rId22" Type="http://schemas.openxmlformats.org/officeDocument/2006/relationships/hyperlink" Target="https://www.eqar.eu/kb/joint-programmes/" TargetMode="External"/><Relationship Id="rId27" Type="http://schemas.openxmlformats.org/officeDocument/2006/relationships/hyperlink" Target="https://zakon.rada.gov.ua/laws/show/579-2015-%D0%BF" TargetMode="External"/><Relationship Id="rId30" Type="http://schemas.openxmlformats.org/officeDocument/2006/relationships/hyperlink" Target="https://www.enic-naric.net/welcome-to-the-enic-naric-website.aspx" TargetMode="External"/><Relationship Id="rId35" Type="http://schemas.openxmlformats.org/officeDocument/2006/relationships/hyperlink" Target="https://www.wur.nl/upload_mm/1/5/c/fbb30aa3-920a-473b-a327-7005c177ab36_EM-SANF%20Student%20Agreement%202015.pdf" TargetMode="External"/><Relationship Id="rId43" Type="http://schemas.openxmlformats.org/officeDocument/2006/relationships/hyperlink" Target="https://www.nohanet.org/uploads/organisation/52/en/downloads/NOHA%20Master%27s%20120%20ECTS_Consortium%20Agreement%20with%20signatures.pdf" TargetMode="External"/><Relationship Id="rId48" Type="http://schemas.openxmlformats.org/officeDocument/2006/relationships/hyperlink" Target="https://www.eqar.eu/assets/uploads/2018/04/02_European_Approach_QA_of_Joint_Programmes_v1_0.pdf" TargetMode="External"/><Relationship Id="rId56" Type="http://schemas.openxmlformats.org/officeDocument/2006/relationships/hyperlink" Target="http://www.em-a.eu/" TargetMode="External"/><Relationship Id="rId64" Type="http://schemas.openxmlformats.org/officeDocument/2006/relationships/hyperlink" Target="https://en.unesco.org/themes/higher-education/recognition-qualifications/global-convention" TargetMode="External"/><Relationship Id="rId69" Type="http://schemas.openxmlformats.org/officeDocument/2006/relationships/hyperlink" Target="http://nlfr.eu/wp-content/uploads/2017/01/A-guide-for-Joint-Doctorates-FRNL-juin-2013.pdf" TargetMode="External"/><Relationship Id="rId8" Type="http://schemas.openxmlformats.org/officeDocument/2006/relationships/hyperlink" Target="https://impea.eu/wp-content/uploads/2020/12/Joint-Programmes-from-A-to-Z-Report-2020.pdf" TargetMode="External"/><Relationship Id="rId51" Type="http://schemas.openxmlformats.org/officeDocument/2006/relationships/hyperlink" Target="https://zakon.rada.gov.ua/laws/show/z1013-24" TargetMode="External"/><Relationship Id="rId72" Type="http://schemas.openxmlformats.org/officeDocument/2006/relationships/hyperlink" Target="https://view.officeapps.live.com/op/view.aspx?src=https%3A%2F%2Fimages.template.net%2Fwp-content%2Fuploads%2F2016%2F03%2F25094446%2FMemorandum-of-Agreement-Jointly-Awarded-Phd-Degree.doc" TargetMode="External"/><Relationship Id="rId3" Type="http://schemas.openxmlformats.org/officeDocument/2006/relationships/styles" Target="styles.xml"/><Relationship Id="rId12" Type="http://schemas.openxmlformats.org/officeDocument/2006/relationships/hyperlink" Target="https://www.eqar.eu/kb/joint-programmes/" TargetMode="External"/><Relationship Id="rId17" Type="http://schemas.openxmlformats.org/officeDocument/2006/relationships/hyperlink" Target="https://www.eqar.eu/kb/joint-programmes/" TargetMode="External"/><Relationship Id="rId25" Type="http://schemas.openxmlformats.org/officeDocument/2006/relationships/hyperlink" Target="https://zakon.rada.gov.ua/laws/show/1556-18" TargetMode="External"/><Relationship Id="rId33" Type="http://schemas.openxmlformats.org/officeDocument/2006/relationships/hyperlink" Target="https://www.ntnu.edu/documents/7851848/0/Student+Agreement+Programme/d063dcdb-09b1-4bf5-8d30-ecb6f61ce957" TargetMode="External"/><Relationship Id="rId38" Type="http://schemas.openxmlformats.org/officeDocument/2006/relationships/hyperlink" Target="https://eur-lex.europa.eu/legal-content/EN/TXT/?qid=1529077370000&amp;uri=CELEX:32016L0801" TargetMode="External"/><Relationship Id="rId46" Type="http://schemas.openxmlformats.org/officeDocument/2006/relationships/hyperlink" Target="https://www.eqar.eu/register/agencies/" TargetMode="External"/><Relationship Id="rId59" Type="http://schemas.openxmlformats.org/officeDocument/2006/relationships/hyperlink" Target="http://conventions.coe.int/Treaty/Commun/ChercheSig.asp?NT=165&amp;CM=8&amp;CL=ENG" TargetMode="External"/><Relationship Id="rId67" Type="http://schemas.openxmlformats.org/officeDocument/2006/relationships/hyperlink" Target="https://euraxess.ec.europa.eu" TargetMode="External"/><Relationship Id="rId20" Type="http://schemas.openxmlformats.org/officeDocument/2006/relationships/hyperlink" Target="https://zakon.rada.gov.ua/laws/show/z1013-24?find=1&amp;text=%D1%83%D0%B7%D0%B3%D0%BE%D0%B4%D0%B6%D0%B5%D0%BD" TargetMode="External"/><Relationship Id="rId41" Type="http://schemas.openxmlformats.org/officeDocument/2006/relationships/hyperlink" Target="https://global-minds.eu/wp-content/uploads/2017/10/GMConsortiumAgreement2017NoGrantAgreement.pdf" TargetMode="External"/><Relationship Id="rId54" Type="http://schemas.openxmlformats.org/officeDocument/2006/relationships/hyperlink" Target="http://impea.online/wp-content/uploads/2018/07/IO2_report_formated.pdf" TargetMode="External"/><Relationship Id="rId62" Type="http://schemas.openxmlformats.org/officeDocument/2006/relationships/hyperlink" Target="https://www.enic-naric.net/fileusers/7355_Revised_Recommendation_on_the_Recognition_of_Joint_Degrees_2016.pdf" TargetMode="External"/><Relationship Id="rId70" Type="http://schemas.openxmlformats.org/officeDocument/2006/relationships/hyperlink" Target="https://view.officeapps.live.com/op/view.aspx?src=https%3A%2F%2Fwww.graduateacademy.uni-heidelberg.de%2Fmd%2Fgradakad%2Fpromotion%2Fcotutelletemplate.do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versite-franco-italienne.org/?lang=it&amp;p=7" TargetMode="External"/><Relationship Id="rId23" Type="http://schemas.openxmlformats.org/officeDocument/2006/relationships/hyperlink" Target="https://emle.org/" TargetMode="External"/><Relationship Id="rId28" Type="http://schemas.openxmlformats.org/officeDocument/2006/relationships/hyperlink" Target="https://mon.gov.ua/osvita-2/vishcha-osvita-ta-osvita-doroslikh/naukovo-metodichna-rada-ministerstva-osviti-i-nauki-ukraini/zatverdzheni-standarti-vishchoi-osviti" TargetMode="External"/><Relationship Id="rId36" Type="http://schemas.openxmlformats.org/officeDocument/2006/relationships/hyperlink" Target="https://www.enic-naric.net/fileusers/7355_Revised_Recommendation_on_the_Recognition_of_Joint_Degrees_2016.pdf" TargetMode="External"/><Relationship Id="rId49" Type="http://schemas.openxmlformats.org/officeDocument/2006/relationships/hyperlink" Target="http://www.ehea2018.paris/" TargetMode="External"/><Relationship Id="rId57" Type="http://schemas.openxmlformats.org/officeDocument/2006/relationships/hyperlink" Target="http://www.em-a.eu/en/erasmus-mundus/graduate-impact-survey.html" TargetMode="External"/><Relationship Id="rId10" Type="http://schemas.openxmlformats.org/officeDocument/2006/relationships/hyperlink" Target="https://www.eqar.eu/register/agencies/" TargetMode="External"/><Relationship Id="rId31" Type="http://schemas.openxmlformats.org/officeDocument/2006/relationships/hyperlink" Target="https://tuningacademy.org/" TargetMode="External"/><Relationship Id="rId44" Type="http://schemas.openxmlformats.org/officeDocument/2006/relationships/hyperlink" Target="https://www.eqar.eu/assets/uploads/2018/04/02_European_Approach_QA_of_Joint_Programmes_v1_0.pdf" TargetMode="External"/><Relationship Id="rId52" Type="http://schemas.openxmlformats.org/officeDocument/2006/relationships/hyperlink" Target="https://zakon.rada.gov.ua/laws/show/z1013-24?find=1&amp;text=%D1%83%D0%B7%D0%B3%D0%BE%D0%B4%D0%B6%D0%B5%D0%BD" TargetMode="External"/><Relationship Id="rId60" Type="http://schemas.openxmlformats.org/officeDocument/2006/relationships/hyperlink" Target="http://www.cicic.ca/docs/lisboa/recommendation-foreign-qualifications.en.pdf" TargetMode="External"/><Relationship Id="rId65" Type="http://schemas.openxmlformats.org/officeDocument/2006/relationships/hyperlink" Target="https://www.unesco.org/en/legal-affairs/global-convention-recognition-qualifications-concerning-higher-education?hub=70286"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ar.eu/register/agencies/" TargetMode="External"/><Relationship Id="rId13" Type="http://schemas.openxmlformats.org/officeDocument/2006/relationships/hyperlink" Target="https://ec.europa.eu/education/education-in-the-eu/european-education-area/european-universities-initiative_en" TargetMode="External"/><Relationship Id="rId18" Type="http://schemas.openxmlformats.org/officeDocument/2006/relationships/hyperlink" Target="https://zakon.rada.gov.ua/laws/show/z1013-24?find=1&amp;text=%D1%83%D0%B7%D0%B3%D0%BE%D0%B4%D0%B6%D0%B5%D0%BD%D1%96" TargetMode="External"/><Relationship Id="rId39" Type="http://schemas.openxmlformats.org/officeDocument/2006/relationships/hyperlink" Target="https://eacea.ec.europa.eu/national-policies/eurydice/national-description_en" TargetMode="External"/><Relationship Id="rId34" Type="http://schemas.openxmlformats.org/officeDocument/2006/relationships/hyperlink" Target="https://www.ntnu.edu/documents/7851848/0/Student+Agreement+Programme/d063dcdb-09b1-4bf5-8d30-ecb6f61ce957" TargetMode="External"/><Relationship Id="rId50" Type="http://schemas.openxmlformats.org/officeDocument/2006/relationships/hyperlink" Target="https://www.eqar.eu/kb/joint-programmes/national-implementation/" TargetMode="External"/><Relationship Id="rId55" Type="http://schemas.openxmlformats.org/officeDocument/2006/relationships/hyperlink" Target="https://www.erasmusplus.nl/faboto" TargetMode="External"/><Relationship Id="rId7" Type="http://schemas.openxmlformats.org/officeDocument/2006/relationships/endnotes" Target="endnotes.xml"/><Relationship Id="rId71" Type="http://schemas.openxmlformats.org/officeDocument/2006/relationships/hyperlink" Target="http://www.docs.sasg.ed.ac.uk/GaSP/Collaborative/Collaborative_provision_documents/Guidance_for_Jointly_Awarded_PhD_Programmes201109.pdf"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6946-2B8A-4628-886C-7AE6071B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28</Pages>
  <Words>53994</Words>
  <Characters>30777</Characters>
  <Application>Microsoft Office Word</Application>
  <DocSecurity>0</DocSecurity>
  <Lines>256</Lines>
  <Paragraphs>169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КИЇВ</Company>
  <LinksUpToDate>false</LinksUpToDate>
  <CharactersWithSpaces>84602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МІНІСТЕРСТВО ОСВІТИ І НАУКИ УКРАЇНИ</dc:subject>
  <dc:creator>Lyubov Margolina</dc:creator>
  <cp:keywords/>
  <dc:description/>
  <cp:lastModifiedBy>Жанна Таланова</cp:lastModifiedBy>
  <cp:revision>681</cp:revision>
  <dcterms:created xsi:type="dcterms:W3CDTF">2025-01-30T20:39:00Z</dcterms:created>
  <dcterms:modified xsi:type="dcterms:W3CDTF">2025-03-02T20:13:00Z</dcterms:modified>
</cp:coreProperties>
</file>