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9A" w:rsidRPr="00446E13" w:rsidRDefault="00D862E7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ПОЯСНЮВАЛЬНА ЗАПИСКА</w:t>
      </w:r>
    </w:p>
    <w:p w:rsidR="0092679A" w:rsidRPr="00D862E7" w:rsidRDefault="00D862E7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проєкту Закону України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Про внесення змін до деяких Законів України щодо стимул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ювання розвитку наукових парків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bookmarkStart w:id="0" w:name="_GoBack"/>
      <w:bookmarkEnd w:id="0"/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1. Мета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Мета законопроєкту – підвищення ефективності здійснення науковими парками статутної та проєктної інноваційної діяльності, сприяння трансферу технологій та створення умов для комерціалізації результатів наукових досліджень, науково-технічних (експерименталь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них розробок).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 акта відповідає:</w:t>
      </w:r>
    </w:p>
    <w:p w:rsidR="0092679A" w:rsidRPr="00446E13" w:rsidRDefault="00D862E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пріоритету 13.5 «Розвиток науки та інновацій» Програми діяльності Кабінету Міністрів України, затвердженої постановою Кабінету Міністрів Украї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ни від 12 червня 2020 р. № 471,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яким передбачається розбудова дослідницько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ї та інноваційної інфраструктури, стан якої забезпечує створення та впровадження (комерціалізацію) вченими та суб’єктами інноваційної діяльності результатів їх досліджень та розробок, </w:t>
      </w:r>
    </w:p>
    <w:p w:rsidR="0092679A" w:rsidRPr="00446E13" w:rsidRDefault="00D862E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завданню 221 Плану законопроєктної роботи Верховної Ради України на 202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4 рік, затвердженого Постановою Верховної Ради України від 6 лютого 2024 року № 3561-IX, </w:t>
      </w:r>
    </w:p>
    <w:p w:rsidR="0092679A" w:rsidRPr="00446E13" w:rsidRDefault="00D862E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кроку 360 Плану пріоритетних дій Уряду на 2024 рік, затвердженого розпорядженням Кабінету Міністрів України від 16 лютого 2024 р. № 137-р, </w:t>
      </w:r>
    </w:p>
    <w:p w:rsidR="0092679A" w:rsidRPr="00446E13" w:rsidRDefault="00D862E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пункту d) статті 376 Глави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9 Розділу V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пункту 20 Плану заходів на 2021-2023 роки з реалізації Стратегії розвитку с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фери інноваційної діяльності на період до 2030 року затвердженого постановою Кабінету Міністрів </w:t>
      </w:r>
      <w:proofErr w:type="gramStart"/>
      <w:r w:rsidRPr="00446E13">
        <w:rPr>
          <w:rFonts w:ascii="Times New Roman" w:eastAsia="Times New Roman" w:hAnsi="Times New Roman" w:cs="Times New Roman"/>
          <w:sz w:val="24"/>
          <w:szCs w:val="24"/>
        </w:rPr>
        <w:t>України  від</w:t>
      </w:r>
      <w:proofErr w:type="gramEnd"/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9 грудня 2021 року № 1687-р запровадження державної підтримки у сфері трансферу технологій, а також</w:t>
      </w:r>
    </w:p>
    <w:p w:rsidR="0092679A" w:rsidRPr="00446E13" w:rsidRDefault="00D862E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пріоритету 6.4.2.3. Стратегічного плану діяльно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сті Міністерства освіти і науки України до 2027 року, затвердженого наказом Міністерства освіти і науки України від 07 березня 2024 року № 276, яким передбачається створення правового режиму здійснення наукової та інноваційної діяльності.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Конкурентні позиц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ії України в боротьбі за інвестиції та спеціалістів погіршуються.  Зокрема, країни-сусіди України створюють привабливі умови для побудови інноваційного бізнесу, залучення інвестицій та релокації фахівців з інших держав. Дана тенденція відображається динамі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кою українських показників у міжнародних рейтингах. За оцінками, наданими в Глобальному інноваційному індексі 2023 року, Україна посідає 55 місце зі 132 досліджуваних держав світу, що на дві сходинки вище, ніж у 2022 році. У розрізі 7 структурних компонент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ів Україна має найвищу оцінку в «Креативному потенціалі» (37 місце), «Знання та технологічні результати» (45 місце), а також «Людський капітал і дослідження» (47 місце). Найбільшими викликами для України, на думку укладачів рейтингу, є критерії «Розвиток р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инку» (104 місце) та «Інституціональність» (100 місце). За даними Держстату України, наукоємність валового внутрішнього продукту (витрати на наукові дослідження та науково-технічні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lastRenderedPageBreak/>
        <w:t>(експериментальні) розробки за всіма джерелами у відсотках до валового внут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рішнього продукту) неухильно зменшується – з 0,70 % у 2013 р. до критичного значення – 0,29 % у 2021 р. з незначним підвищенням до 0,33 % у 2022 р. Враховуючи вищенаведене, вбачається за необхідне запровадити  більш гнучке правове регулювання для залучення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приватного капіталу та залучення талантів. Законопроєкт спрямовано на подолання описаних вище бар’єрів та стимулювання розвитку внутрішнього інноваційного наукоємного ринку та умов для виготовлення глобально конкурентноспроможних наукоємних продуктів. Зап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ровадження спеціального правового режиму здійснення наукової та інноваційної діяльності сприятиме активізації діяльності наукових парків, науково-технічної та інноваційної діяльності у закладах вищої освіти та наукових установах, залученню інвестицій в нау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ково-дослідницьку діяльність, ефективному та раціональному використанню наявного наукового потенціалу, доступу до дослідницької та інноваційної інфраструктури з метою створення та комерціалізації результатів наукових досліджень і їх впровадження на вітчизн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яному  та закордонному ринках, запровадженню спрощеної системи оподаткування, інструментів венчурного інвестування.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Основною ціллю цього законопроєкту є створення сприятливих умов для розвитку інноваційної діяльності в Україні через покращення функціонуван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ня інституту наукових парків. Законоп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роєкт спрямований на оновлення 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науково-дослідницької інфраструктури та матеріально-технічної бази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. Пропоновані зміни будуть стимулювати інвестиційну активність в інноваційні проєкти, сприяти розвитку високотехнологічни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х виробництв і залученню міжнародних партнерів.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Завдання законопроєкту: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сприятливих умов для інноваційної діяльності наукових парків;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середовища (екосистеми), що стимулюватиме розвиток інноваційної економіки, розробок в галузі передових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технологій з високою доданою вартістю та формування економіки знань;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прозорих та ефективних механізмів фінансування та управління науковими проєктами та парками;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спрощення процедури закупівлі для наукових парків;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передумов для покраще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ння матеріально-технічної бази для реалізації наукових проєктів вітчизняними науковцями;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передумов для запобігання відтоку інтелектуального капіталу та залучення молодих спеціалістів до проєктів наукових парків;</w:t>
      </w:r>
    </w:p>
    <w:p w:rsidR="0092679A" w:rsidRPr="00446E13" w:rsidRDefault="00D86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стимулювання державно-приватного п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артнерства та залучення інвестицій для комерціалізації вітчизняного інтелектуального капіталу.</w:t>
      </w:r>
    </w:p>
    <w:p w:rsidR="0092679A" w:rsidRPr="00446E13" w:rsidRDefault="00D862E7">
      <w:pPr>
        <w:ind w:left="14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 xml:space="preserve">2. Обґрунтування необхідності прийняття акта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Наукові парки не виступають ефективним інструментом впливу на розвиток інноваційних процесів, прийняті зміни законодавства щодо наукових парків у 2021 році не забезпечили необхідних передумов для стимулювання інноваційних процесів. З понад 36 зареєстровани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х наукових парків лише декілька наукових парків здійснюють активну діяльність, зокрема: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Товариств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о з обмеженою відповідальністю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Науковий п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арк Національного університету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Львівська політехніка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, Товариство з обмеженою 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відповідальністю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Науковий парк Держав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ного університету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Житомирська політехніка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. За результатами аналізу діяльності небагаточисленних успішних наукових парків було сформовано основні аспекти, що сприяють комерціалізації проєктів парку та формують надходження від діяльності парків. Результати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аналізу відображено у законопроєкті.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Згідно з даними Державної податкової служби на 2021-2023 роки, загальна сума сплачених науковими парками податків, зокрема податку на прибуток, податку на додану вартість, податку на доходи фізичних осіб та єдиного соціального внеску не перевищує 5 млн гри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вень на рік, що свідчить про низький рівень розвитку інституту наукових парків та неефективність чинної державної політики, спрямованої на комерціалізацію інноваційної продукції наукових парків. Причиною цьому є низка проблем у діяльності закладів вищої ос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віти, наукових установ та наукових парків, які потребують вирішення, а саме: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надмірне податкове навантаження;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обмеження у використанні власних надходжень закладів вищої освіти та відсутність механізмів диверсифікації ліній фінансування, що не дає можливост</w:t>
      </w:r>
      <w:r w:rsidR="000E7BA6">
        <w:rPr>
          <w:rFonts w:ascii="Times New Roman" w:eastAsia="Times New Roman" w:hAnsi="Times New Roman" w:cs="Times New Roman"/>
          <w:sz w:val="24"/>
          <w:szCs w:val="24"/>
        </w:rPr>
        <w:t xml:space="preserve">і гнучко розпоряджатись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коштами на прикладні наукові дослідження та створення інноваційної виробничої бази;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законодавче обмеження джерел формування статутного капіталу наукових парків та обмеженість джерел фінансування наукових парків;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відсутність власної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наукової, лабораторної та виробничої інфраструктури наукових парків та відсутність механізму реалізації пол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ожень статті 20 Закону України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Про наукові парки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щодо можливості пільгового користування нерухомим майном закладів вищої освіти та наукових устано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в; 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застаріла інфраструктура та матеріально-технічна база закладів вищої освіти та наукових установ;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складний та тривалий процес публічних закупівель;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відтік інтелектуального капіталу та не ринковий рівень оплати праці висококваліфікованих спеціалістів;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конодавчо не визначено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порядок участі центральним органом виконавчої влади, що забезпечує формування та реалізує державну політику </w:t>
      </w:r>
      <w:proofErr w:type="gramStart"/>
      <w:r w:rsidRPr="00446E13">
        <w:rPr>
          <w:rFonts w:ascii="Times New Roman" w:eastAsia="Times New Roman" w:hAnsi="Times New Roman" w:cs="Times New Roman"/>
          <w:sz w:val="24"/>
          <w:szCs w:val="24"/>
        </w:rPr>
        <w:t>у сферах</w:t>
      </w:r>
      <w:proofErr w:type="gramEnd"/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освіти і науки, наукової, науково-технічної діяльності рішення про створення наукового парку, у разі якщо засновник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ами наукового парку є суб’єкти господарювання державної або комунальної власності,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конкуренція між закладами вищої освіти, науковими установами та науковими парками за джерела фінансування через неврахування показників діяльності наукових парків при атеста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ції закладів вищої освіти та наукових установ в частині здійснення ними наукової діяльності;</w:t>
      </w:r>
    </w:p>
    <w:p w:rsidR="0092679A" w:rsidRPr="00446E13" w:rsidRDefault="00D862E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відсутність уніфікованого джерела інформації про діяльність наукових парків.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Згідно з дослідженням впливу фіскальних пільг, проведеним Організацією економічного сп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івробітництва та розвитку (OECD) реалізованого протягом 2020-2023 років (вибірка 22 країни члена OECD):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Ефективність податкових пільг на НДДКР для стимулюванні бізнес інвестицій НДДКР. Виявлено, що вплив податкових пільг на експериментальні розробки більш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ніж утричі більший, ніж на фундаментальні та прикладні дослідження.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Різниця впливу податкових стимулів на НДДКР для різних типів компаній. Ефект податкових стимулів є більшим для малих та середніх підприємств порівняно з великими.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Взаємодія між податкови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ми стимулами та прямою підтримкою для НДДКР. Аналіз показує подібний вплив прямого фінансування порівняно з податковою підтримкою та вказує на взаємодоповнюваність заходів прямої та непрямої підтримки.  Слід зазначити, що в більшості країн суми прямого фін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ансування НДДКР не враховуються при визначенні податкової бази.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Вплив податкових пільг на НДДКР на додаткову вартість виробництва. Новий аналіз структури податкової політики свідчить про те, що реакція фірм на податкову підтримку майже вдвічі вища, коли пе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редбачено відшкодування у випадку збитків, і втричі вища, коли податкові пільги зараховуються до податків на заробітну плату і, таким чином, не залежать від прибутків фірм.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Зазначені висновки обґрунтовують ефективність запровадження спеціального податково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го режиму та додаткових податкових стиму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лів для активізації діяльності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та розвитку наукових парків.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3. Основні положення проєкту акта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Проєктом Закону України пропонується в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нести зміни до Законів України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Про наукові парки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державну реєстрацію юридичних осіб, фізичних осіб - підпр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иємців та громадських формувань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оренду д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ержавного та комунального майна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наукову і науково-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технічну діяльність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стимулювання розвит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ку цифрової економіки в Україні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Про публічні закупівлі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управлінн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я об’єктами державної власності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Про вищу освіту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, які, зокрема, передбачають: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поширення 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правового режиму Дія Сіті на діяльність науко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вих парків для підвищення їх конкурентоспроможності з метою зменшення податкового навантаження;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доповнення вимог до резидентів Дія Сіті з урахуванням особливостей опосередкованої участі держави через заклади вищої освіти в створенні наукових парків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виключ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ення положень законодавства щодо погодження створення наукового парків з центральними органами виконавчої влади, співпраці в рамках реалізації окремих проєктів наукових парків, щорічного звітування про діяльність наукових парків та довільного поширення інф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ормації з метою створення централізованої інформаційної бази для стимуляції державно-приватного партнерства;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розширення джерел формування статутного капіталу наукових парків за рахунок власних надходжень закладів вищої освіти та наукових установ, що отрима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ні від надання інших, ніж освітніх, платних послуг, що можуть надаватися державними і комунальними закладами вищої освіти. 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запровадження додаткових податкових пільг для стимулювання розвитку інноваційних виробництв з метою комерціалізації наукових розробо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к, зокрема: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звільнення від оподаткування 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постачання послуг з фундаментальних досліджень, науково-дослідних і дослідницько-конструкторських робіт, звільнення від оподаткування податком на додану вартість передачі (постачання) об'єктів прав інтелектуальної в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ласності, що здійснюються закладами вищої освіти та науковими установами на користь наукових парків, учасниками (засновниками) яких виступають такі заклади та установи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запровадження механізму запобігання зловживань статусом наукового парку через встановле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ння мінімальної участі закладів вищої освіти та наукових установ в статутному капіталі наукового парку, щорічного звітування щодо діяльності наукового парку, розширення переліку обмежень діяльності наукових парків, створення Реєстру наукових парків, встано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влення обмеження користування пільгами визначеними законодавством лише науковими парками включеними до Реєстру наукових парків та формування порядку виключення з Реєстру наукових парків;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виключення закупівель наукових п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арків з-під дії Закону України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Про публічні закупівлі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, у разі їх здійснення за кошті приватних партнерів та замовників;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розширення суб’єктног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о складу учасників, засновників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наукових парків для забезпечення принципу рівнос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ті всіх учасників господарської діяльності та забезпечення для фізичних осіб та громадських об’єднань права приймати участь в заснуванні та наукових парків;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запровадження механізму реалізації пол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ожень статті 20 Закону України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Про наукові парки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, що здійсн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ення процедури передачі в оренду державного та комунальног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о майна для реалізації проєктів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наукових парків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на пільгових умовах, шляхом в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несення змін до Закону України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оренду де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ржавного та комунального майна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без проведення аукціону;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умов д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ля розвитку дослідницької інфраструктури на базі наукових парків, що забезпечуються через формування процедури створення спільних лабораторій та формування процедури створення центрів колективного користування науковим обладнанням, отримання у тимчасове бе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зоплатне користування наукового обладнання для надання послуг без права його відчуження;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врахування показників діяльності наукових парків при атестації закладів вищої освіти та наукових установ в частині провадження ними наукової (науково-технічної) діяльн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ості;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цифровізацію і дебюрократизацію процедури реєстрації проєктів наукових парків, реалізація яких передбачає надання державної підтримки;</w:t>
      </w:r>
    </w:p>
    <w:p w:rsidR="0092679A" w:rsidRPr="00446E13" w:rsidRDefault="00D862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створення багатофункціонального електронного кабінету наукового парку у Національній електронній науково-інформацій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ній системі з метою цифровізації та спрощення повного циклу співпраці з центральним органом виконавчої влади, зокрема, звітування в електронній формі, інформування про внесення змін щодо діяльності наукового парку, надання запитів про пошук партнерів для р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еалізації наукових проєктів, тощо.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Запровадження додаткових податкових та митних пільг передбачає внесення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змін до Податкового та Митного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кодексів України. Відповідні зміни викладені в окремих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lastRenderedPageBreak/>
        <w:t>проєктах законів про внесення змін до Податкового кодексу Укра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їни та Митного кодексу України.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4. Правові аспекти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 акта розроблено на виконання МОН завдання 221 Плану законопроєктної роботи Верховної Ради України на 2024 рік, затвердженого Постановою Верховної Ради України від 06.02.24 № 3561-ІХ «Про План зако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нопроєктної роботи Верховної Ради України на 2024 рік», кроку 360 Плану пріоритетних дій Уряду на 2024 рік, затвердженого розпорядженням Кабінету Міністрів України від 16 лютого 2024 р. № 137-р, та відповідно до пріоритету 13.5 «Розвиток науки та інновацій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» Програми діяльності Кабінету Міністрів України, затвердженої постановою Кабінету Міністрів України від 12 червня 2020 року № 471.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Правовідносини у сфері, які стосуються предмету пропонованого проєкту Закону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регулюються Законами України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наукові пар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державну реєстрацію юридичних осіб, фізичних осіб - підпр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иємців та громадських формувань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оренду д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ержавного та комунального майна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науков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у і науково-технічну діяльність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Про стимулювання розвит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ку цифрової економіки в Україні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79A" w:rsidRPr="00446E13" w:rsidRDefault="0092679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 xml:space="preserve"> Фінансово-економічне обґрунтування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Реалізація Закону не потребуватиме видатків з державного чи місцевого бюджетів та створює передумови для збільшення відповідних власних надходжень державних та приватних закладів вищої освіти та наукових установ через ст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ворення механізму для виходу у ринкове середовище під час здійснення наукової діяльності, зокрема від надання науково технічних послуг приватним замовникам, реалізації проєктів на умовах державно-приватного партнерства та/або з залученням стороннього фінан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сування, формування інструментів захисту приватних та державних інвестицій, а також розширення працюючих механізмів  податкових пільг і,  як наслідок, стимулювання  діяльності наукових парків та фасилітації залученню інвестицій. 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6. Позиція заінтересова</w:t>
      </w: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них сторін</w:t>
      </w:r>
    </w:p>
    <w:p w:rsidR="0092679A" w:rsidRPr="00446E13" w:rsidRDefault="0092679A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Проєкт акта потребує консультацій з громадськістю у формі публічного громадського обговорення та/або електронних консультацій відповідно до Порядку проведення консультацій з громадськістю з питань формування та реалізації державної політики, затвердженого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постановою Кабінету Міністрів від 3 листопада 2010 р. № 996 «Про забезпечення участі громадськості у формуванні та реалізації державної політики» (Офіційний вісник України, 2010 р., № 84, ст. 2945). Громадське обговорення проєкту акта відбувається з 2</w:t>
      </w:r>
      <w:r w:rsidR="00446E13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гру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року до 25 січня </w:t>
      </w:r>
      <w:r w:rsidR="00446E1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5 року.</w:t>
      </w:r>
    </w:p>
    <w:p w:rsidR="0092679A" w:rsidRPr="00446E13" w:rsidRDefault="0092679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я української мови як державної.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Проєкт акта стосується сфери наукової та науково-технічної діяльності і буде надісланий на розгляд 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Наукового комітету Національної ради з питань розвитку науки і технологій.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Проєкт акта потребує погодження з Міністерством </w:t>
      </w: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фінансів, Міністерством цифрової трансформації, Міністерством економіки, Державною регуляторною службою.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46E1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 акта підлягає правовій експертизі Міністерством юстиції.</w:t>
      </w:r>
    </w:p>
    <w:p w:rsidR="0092679A" w:rsidRPr="00446E13" w:rsidRDefault="0092679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7. Оцінка відповідності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 акта не містить норм,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можливостей жінок і чоловіків, містять ризики вчинення корупційних правопорушень та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правопорушень, пов’язаних з корупцією, створюють підстави для дискримінації.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 акта буде надіслано до Національного агентства з питань запобігання корупції України для визначення необхідності проведення антикорупційної експертизи.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Громадська анти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корупційна, громадська антидискримінаційна та громадська гендерно-правова експертизи не проводилися.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Проєкт акта буде надіслано до Урядового офісу координації європейської та євроатлантичної інтеграції Секретаріату Кабінетів Міністрів для проведення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експертизи на відповідність зобов’язанням України у сфері європейської інтеграції, у тому числі міжнародно-правовим, та праву Європейського Союзу (acquis ЄС).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b/>
          <w:sz w:val="24"/>
          <w:szCs w:val="24"/>
        </w:rPr>
        <w:t>8. Прогноз результатів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Реалі</w:t>
      </w:r>
      <w:r w:rsidR="000E7BA6">
        <w:rPr>
          <w:rFonts w:ascii="Times New Roman" w:eastAsia="Times New Roman" w:hAnsi="Times New Roman" w:cs="Times New Roman"/>
          <w:sz w:val="24"/>
          <w:szCs w:val="24"/>
        </w:rPr>
        <w:t xml:space="preserve">зація акта не матиме впливу на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громадське здоров’я, покращен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0E7BA6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Водночас, проєкт Закону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є регуляторним актом, який дозволить організувати системний підхід до державно-приватного партнерства через реалізацію прикладних наукових досліджень, науково-технічної діяльності, впливатиме на підвищення рівня інновацій, які продукуються закладами вищої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освіти та науковими установами, сприятиме створенню та підвищуватиме рівень комерціалізації наукоємної інтелектуальної власності, а саме результатів наукових досліджень, прикладних науково-технічних (експериментальних) розробок, забезпечить розвиток та ефе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>ктивну взаємодію елементів національної інноваційної екосистеми та сприятиме її синхронізації на міжнародному рівні, що зможе стати рушієм прискореного економічного зростання і матиме значний вплив на ринкове середовище, забезпечення прав та інтересів суб’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єктів господарювання та створення умов для розвитку ринкової економіки. 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Проєкт акта впливає на суспільні відносини у сфері наукової, науково-технічної та інноваційної діяльності. </w:t>
      </w:r>
    </w:p>
    <w:p w:rsidR="0092679A" w:rsidRPr="00446E13" w:rsidRDefault="00D862E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13">
        <w:rPr>
          <w:rFonts w:ascii="Times New Roman" w:eastAsia="Times New Roman" w:hAnsi="Times New Roman" w:cs="Times New Roman"/>
          <w:sz w:val="24"/>
          <w:szCs w:val="24"/>
        </w:rPr>
        <w:t>Вплив на інтер</w:t>
      </w:r>
      <w:r w:rsidRPr="00446E13">
        <w:rPr>
          <w:rFonts w:ascii="Times New Roman" w:eastAsia="Times New Roman" w:hAnsi="Times New Roman" w:cs="Times New Roman"/>
          <w:sz w:val="24"/>
          <w:szCs w:val="24"/>
        </w:rPr>
        <w:t xml:space="preserve">еси заінтересованих сторін: </w:t>
      </w:r>
    </w:p>
    <w:tbl>
      <w:tblPr>
        <w:tblStyle w:val="a9"/>
        <w:tblpPr w:leftFromText="180" w:rightFromText="180" w:topFromText="180" w:bottomFromText="180" w:vertAnchor="text" w:tblpX="-1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3000"/>
      </w:tblGrid>
      <w:tr w:rsidR="000E7BA6" w:rsidRPr="000E7BA6">
        <w:tc>
          <w:tcPr>
            <w:tcW w:w="3000" w:type="dxa"/>
          </w:tcPr>
          <w:p w:rsidR="0092679A" w:rsidRPr="000E7BA6" w:rsidRDefault="00D862E7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Заінтересована сторона</w:t>
            </w:r>
          </w:p>
        </w:tc>
        <w:tc>
          <w:tcPr>
            <w:tcW w:w="3000" w:type="dxa"/>
          </w:tcPr>
          <w:p w:rsidR="0092679A" w:rsidRPr="000E7BA6" w:rsidRDefault="00D862E7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3000" w:type="dxa"/>
          </w:tcPr>
          <w:p w:rsidR="0092679A" w:rsidRPr="000E7BA6" w:rsidRDefault="00D862E7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 очікуваного впливу</w:t>
            </w:r>
          </w:p>
        </w:tc>
      </w:tr>
      <w:tr w:rsidR="000E7BA6" w:rsidRPr="000E7BA6">
        <w:tc>
          <w:tcPr>
            <w:tcW w:w="3000" w:type="dxa"/>
          </w:tcPr>
          <w:p w:rsidR="0092679A" w:rsidRPr="000E7BA6" w:rsidRDefault="00D86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 господарювання (Наукові парки)</w:t>
            </w:r>
          </w:p>
        </w:tc>
        <w:tc>
          <w:tcPr>
            <w:tcW w:w="3000" w:type="dxa"/>
          </w:tcPr>
          <w:p w:rsidR="0092679A" w:rsidRPr="00D862E7" w:rsidRDefault="00D86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наукових паркі</w:t>
            </w:r>
            <w:r w:rsidR="000E7BA6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що будуть проводити активну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інноваційну діяль</w:t>
            </w:r>
            <w:r w:rsid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ність має збільшитись до 10-15 в перспективі до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3 років після прийняття змін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а базі наукових парків в перспективі до 3 років буде створено 5-6 інноваційних підприємств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наукових парків в перспективі до 3 років збільшиться до 500 млн. грн, а в перспективі 3-5 років - 1 -1,5 млрд.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перспективі 3-5 років на базі закладів вищої освіті та науковіх установ буде с</w:t>
            </w:r>
            <w:r w:rsid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творено 3-4 регіональні  центри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інноваційної діяль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ності, що перетворяться на точки тяжіння для розвитку інновацій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перспективі до 3 років середньомісячний дохід наукових співробітників, які здійснюють прикладні дослідження зросте до 800 євро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перспективі 3-5 років наукові парки, за участі партнерів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наукових п</w:t>
            </w:r>
            <w:r w:rsid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арків інвестують в інноваційне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наукове, лабораторне та вироб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ниче обладнання до 500 млн.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</w:tcPr>
          <w:p w:rsidR="0092679A" w:rsidRPr="000E7BA6" w:rsidRDefault="000E7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Наукові парки </w:t>
            </w:r>
            <w:r w:rsidR="00D862E7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будуть зацікавлені розвивати свою діяльність задля виконання умов для набуття статусу резидента Дія Сіті.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0E7BA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Наукові парки </w:t>
            </w:r>
            <w:proofErr w:type="gramStart"/>
            <w:r w:rsidR="00D862E7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отримают</w:t>
            </w:r>
            <w:r w:rsidR="00D862E7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ь  пільги</w:t>
            </w:r>
            <w:proofErr w:type="gramEnd"/>
            <w:r w:rsidR="00D862E7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закупівлі  обладнання.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0E7BA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Зменшується термін закупівлі </w:t>
            </w:r>
            <w:proofErr w:type="gramStart"/>
            <w:r w:rsidR="00D862E7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  товарів</w:t>
            </w:r>
            <w:proofErr w:type="gramEnd"/>
            <w:r w:rsidR="00D862E7"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послуг для виконання проєктів наукових парків, у разі якщо закупівлі здійснюються не за державні кошти.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Зростатиме обсяг приватних інвестицій в інноваційні проєк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ті та інноваційні виробництва наукових парків.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інноваційної матеріально технічної бази сприятиме створенню регіональних інноваційних хабів.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Запровадження правового режиму Дія Сіті для наукових парків сприятиме зростанню середньої заробітної п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лати наукових співробітників та молодих вчених, згортанню тіньових механізмів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оптимізації оподаткування в галузі. 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Заклади вищої освіти та наукові установи отримають ефективний інструмент для розвитку інноваційної діяльності, створення інноваційної матеріально-технічної бази.</w:t>
            </w:r>
          </w:p>
        </w:tc>
      </w:tr>
      <w:tr w:rsidR="000E7BA6" w:rsidRPr="000E7BA6">
        <w:tc>
          <w:tcPr>
            <w:tcW w:w="3000" w:type="dxa"/>
          </w:tcPr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Заклади вищої освіти та наукові установи</w:t>
            </w:r>
          </w:p>
        </w:tc>
        <w:tc>
          <w:tcPr>
            <w:tcW w:w="3000" w:type="dxa"/>
          </w:tcPr>
          <w:p w:rsidR="0092679A" w:rsidRPr="00D862E7" w:rsidRDefault="00D86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перспективі до 3 років збільшення власних надход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жень закладів вищої освіти та наукових установ від здійснення наукової діяльності, зокрема від надання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 технічних послуг приватним замовникам,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 500 млн. грн до 750 млн. грн на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перспективі 5-10 років збільшення надходжень від діяльності нау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кових парків, виплачених як дивіденди, зростуть до 100 млн.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озвиток наукової інфраструктури на базі наукових парків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ерерозподіл державного фінансування наукових досліджень на користь закладів вищої освіти та наукових установ, що здійснюють активн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у інноваційну 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D862E7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ідвищення конкурентних переваг та рейтингу закладів вищої освіти та наукових установ, що здійснюють активну інноваційну діяльність через наукові парки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 кандидатів на здобуття вищої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79A" w:rsidRPr="000E7BA6" w:rsidRDefault="0092679A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79A" w:rsidRPr="000E7BA6" w:rsidRDefault="00D862E7" w:rsidP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прощення доступу та розширення б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ази доступної безповоротної та поворотної фінансової допомоги через можливість залучення фінансування через афільовану юридичну особу.</w:t>
            </w:r>
          </w:p>
        </w:tc>
        <w:tc>
          <w:tcPr>
            <w:tcW w:w="3000" w:type="dxa"/>
          </w:tcPr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оказн</w:t>
            </w:r>
            <w:r w:rsid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 діяльності наукових парків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будуть враховані під час оцінювання ефективності діяльності закладів вищої освіти, що покращить їх показники наукової діяльності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процесі розподілу видатків державного бюджету між закладами вищої освіти.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Заклади ви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щої освіти можуть отримувати частку кваліфікованого доходу наукового парку та/або отримувати опосередковану вигоду, оскільки закуплене обладнання на кошти наукових парків також буде використовуватися ЗВО та науковими установами.</w:t>
            </w:r>
          </w:p>
          <w:p w:rsidR="0092679A" w:rsidRPr="000E7BA6" w:rsidRDefault="0092679A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Функціонування наукового п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арку підвищуватиме престиж ЗВО та наукової установи через створення умов для з</w:t>
            </w:r>
            <w:r w:rsid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дійснення наукової </w:t>
            </w:r>
            <w:r w:rsid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діяльності, 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валідації теоретичних наукових ідей через реалізацію прикладних наукових проєктів та досліджень на базі ЗВО та наукової установи. </w:t>
            </w:r>
          </w:p>
          <w:p w:rsidR="0092679A" w:rsidRPr="000E7BA6" w:rsidRDefault="0092679A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BA6" w:rsidRPr="000E7BA6">
        <w:tc>
          <w:tcPr>
            <w:tcW w:w="3000" w:type="dxa"/>
          </w:tcPr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3000" w:type="dxa"/>
          </w:tcPr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ьна сума сплачених науковими парками податків, має перевищувати 10 млн. грн на рік в перспективі до 3 років 3 роки та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грн перспективі 3-5 років.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більшення власних надходжень закладів вищої освіти та наукових установ від здійснення наукової діяль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ності, зокрема від надання науково технічних послуг приватним замовникам, а також створення нової податкової бази, як наслідок стимулювання діяльності наукових парків.</w:t>
            </w:r>
          </w:p>
        </w:tc>
        <w:tc>
          <w:tcPr>
            <w:tcW w:w="3000" w:type="dxa"/>
          </w:tcPr>
          <w:p w:rsidR="0092679A" w:rsidRPr="000E7BA6" w:rsidRDefault="00D862E7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Запровадження пільг призведе до зростання активності наукових парків, позитивно вплине н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а розвиток інноваційних проєктів, створення нової бази податкових надходжень, створення нових високооплачуваних робочих місць, сприятиме державно-приватному партнерству, залученню приватних інвестицій, виведенню на ринок інноваційної продукції зі значною д</w:t>
            </w:r>
            <w:r w:rsidRPr="000E7BA6">
              <w:rPr>
                <w:rFonts w:ascii="Times New Roman" w:eastAsia="Times New Roman" w:hAnsi="Times New Roman" w:cs="Times New Roman"/>
                <w:sz w:val="24"/>
                <w:szCs w:val="24"/>
              </w:rPr>
              <w:t>оданою вартістю.</w:t>
            </w:r>
          </w:p>
        </w:tc>
      </w:tr>
    </w:tbl>
    <w:p w:rsidR="00D862E7" w:rsidRDefault="00D862E7" w:rsidP="00D862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79A" w:rsidRPr="00D862E7" w:rsidRDefault="00D862E7" w:rsidP="00D862E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7BA6">
        <w:rPr>
          <w:rFonts w:ascii="Times New Roman" w:eastAsia="Times New Roman" w:hAnsi="Times New Roman" w:cs="Times New Roman"/>
          <w:sz w:val="24"/>
          <w:szCs w:val="24"/>
        </w:rPr>
        <w:t xml:space="preserve">Міністр освіти та науки України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E7BA6">
        <w:rPr>
          <w:rFonts w:ascii="Times New Roman" w:eastAsia="Times New Roman" w:hAnsi="Times New Roman" w:cs="Times New Roman"/>
          <w:sz w:val="24"/>
          <w:szCs w:val="24"/>
        </w:rPr>
        <w:t>Оксен 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ІСОВИЙ</w:t>
      </w:r>
    </w:p>
    <w:p w:rsidR="0092679A" w:rsidRPr="00D862E7" w:rsidRDefault="00D862E7" w:rsidP="00D862E7">
      <w:pPr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sectPr w:rsidR="0092679A" w:rsidRPr="00D862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B10"/>
    <w:multiLevelType w:val="multilevel"/>
    <w:tmpl w:val="0B4CCA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8C5007"/>
    <w:multiLevelType w:val="multilevel"/>
    <w:tmpl w:val="D9FE8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473D82"/>
    <w:multiLevelType w:val="multilevel"/>
    <w:tmpl w:val="C3EE0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7972D5"/>
    <w:multiLevelType w:val="multilevel"/>
    <w:tmpl w:val="56B257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A"/>
    <w:rsid w:val="000E7BA6"/>
    <w:rsid w:val="00446E13"/>
    <w:rsid w:val="0092679A"/>
    <w:rsid w:val="00D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E904"/>
  <w15:docId w15:val="{484B7E35-384C-4DE9-9D60-E9D27BA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ekRZy32IbH/bby8UOuffG82Sw==">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15521</Words>
  <Characters>8848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Красовська Ірина</cp:lastModifiedBy>
  <cp:revision>2</cp:revision>
  <dcterms:created xsi:type="dcterms:W3CDTF">2024-12-23T13:00:00Z</dcterms:created>
  <dcterms:modified xsi:type="dcterms:W3CDTF">2024-12-23T13:28:00Z</dcterms:modified>
</cp:coreProperties>
</file>