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8D" w:rsidRDefault="00BF2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ПОЯСНЮВАЛЬНА ЗАПИСКА </w:t>
      </w:r>
    </w:p>
    <w:p w:rsidR="00BB0C8D" w:rsidRDefault="00BF2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“Про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Митного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кодексу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стимулювання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наукових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парків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” </w:t>
      </w:r>
    </w:p>
    <w:p w:rsidR="00BB0C8D" w:rsidRDefault="00BB0C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C8D" w:rsidRDefault="00BF284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Мета</w:t>
      </w:r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комерціалізації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науково-технічних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експериментальних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пріоритету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13.5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 р. № 471,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розбудова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дослідницької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впрова</w:t>
      </w:r>
      <w:r>
        <w:rPr>
          <w:rFonts w:ascii="Times New Roman" w:eastAsia="Times New Roman" w:hAnsi="Times New Roman" w:cs="Times New Roman"/>
          <w:sz w:val="28"/>
          <w:szCs w:val="28"/>
        </w:rPr>
        <w:t>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комерціалізацію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вченими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суб’єктами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Конкурентні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боротьбі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інвестиції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спеціалістів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погіршуються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країни-сусіди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привабливі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обудови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бізнесу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інвестицій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релокації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фахівців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вищенаведене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вбачається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запровадити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гнучке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приватного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талантів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>ллю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-дослідницької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матеріально-технічної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стимулювати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інвестиційну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високотехнологічних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виробництв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партнерів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0C8D" w:rsidRDefault="00BF284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sz w:val="28"/>
          <w:szCs w:val="28"/>
        </w:rPr>
        <w:t>рків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0C8D" w:rsidRDefault="00BF2846" w:rsidP="00BF284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передумов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матеріально-технічної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BB0C8D" w:rsidRDefault="00BF2846" w:rsidP="00BF2846">
      <w:pPr>
        <w:shd w:val="clear" w:color="auto" w:fill="FFFFFF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стимулювати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інвестиційну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високотехнологічних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виробництв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партнерів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846" w:rsidRDefault="00BF2846" w:rsidP="00BF2846">
      <w:pPr>
        <w:shd w:val="clear" w:color="auto" w:fill="FFFFFF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C8D" w:rsidRDefault="00BF284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акта </w:t>
      </w:r>
    </w:p>
    <w:p w:rsidR="00BB0C8D" w:rsidRDefault="00BF2846" w:rsidP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парки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виступають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причиною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обмежене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застарілої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науково-дослідницької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інфраструкт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матеріально-технічної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потребують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парки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високотехнологічним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дороговартісним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зазвичай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виробляється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парків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вистачає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обіг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сплатити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BB0C8D" w:rsidRDefault="00BF2846" w:rsidP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митної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служби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2021-2023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парками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здійснювався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імпорт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товарів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митну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територію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виникало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зобов'язань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митних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платежів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свідчить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низький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рівень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інноваційної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парків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обмеженість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BB0C8D" w:rsidRDefault="00BF2846" w:rsidP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доступу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сприятиме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активізації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дослідницьких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комерціалізації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перетворенню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товари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ринку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в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сприятиме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залученню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інвесторів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інноваційних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позитивно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вплинути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економічний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цілому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BB0C8D" w:rsidRDefault="00BF2846" w:rsidP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підхід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парків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стимулом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зростання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високотехнологічного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сектору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економіки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робочих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місць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конкурентоспроможності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міжнародній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арені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BB0C8D" w:rsidRDefault="00BF2846" w:rsidP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запропонованих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законопроєктом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жодним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чином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впливатиме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доходи Дер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жавного бюджету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BB0C8D" w:rsidRDefault="00BF2846" w:rsidP="00BF284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фіскальних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співробітництва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(OECD)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2020-2023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вибірка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члена OECD):</w:t>
      </w:r>
    </w:p>
    <w:p w:rsidR="00BB0C8D" w:rsidRDefault="00BF2846" w:rsidP="00BF284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НДДКР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стимулюванні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бізнес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інвестицій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НДДКР.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експериментальні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утричі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фундаментальні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прикладні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0C8D" w:rsidRDefault="00BF284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стимулів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НДДКР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стимулів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порівняно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великими. </w:t>
      </w:r>
    </w:p>
    <w:p w:rsidR="00BB0C8D" w:rsidRDefault="00BF284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податковими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стимулами та прямою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НДДКР.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подібний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прямого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порівняно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податковою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вказує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взаємодоповнюваність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прямої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непрямої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прямого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НДДКР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враховуються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податкової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C8D" w:rsidRDefault="00BF284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НДДКР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податкової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податкову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вдвічі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відшкодування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збитків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втричі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податкові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пільги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зараховуються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заробітну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плату і, таким чином,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прибутків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0C8D" w:rsidRDefault="00BF284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обґрунтовують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додаткових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стимулів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846" w:rsidRDefault="00BF284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C8D" w:rsidRDefault="00BF284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Основні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акта</w:t>
      </w:r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звільнення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оподаткування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парків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власної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парків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ввезенні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ними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територію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запасних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частин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витратних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матеріалів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 них,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реактивів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зразків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літератури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передбачається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виробниче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ввозиться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митну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територію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парком та партнерами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парку в межах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парку,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звільняються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ввізного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BB0C8D" w:rsidRDefault="00BB0C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C8D" w:rsidRDefault="00BF284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Правові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аспекти</w:t>
      </w:r>
      <w:proofErr w:type="spellEnd"/>
    </w:p>
    <w:p w:rsidR="00BB0C8D" w:rsidRDefault="00BF2846">
      <w:pPr>
        <w:widowControl w:val="0"/>
        <w:shd w:val="clear" w:color="auto" w:fill="FFFFFF"/>
        <w:spacing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Правов</w:t>
      </w:r>
      <w:r>
        <w:rPr>
          <w:rFonts w:ascii="Times New Roman" w:eastAsia="Times New Roman" w:hAnsi="Times New Roman" w:cs="Times New Roman"/>
          <w:sz w:val="28"/>
          <w:szCs w:val="28"/>
        </w:rPr>
        <w:t>ідносини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стосуються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парки”,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Митним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C8D" w:rsidRDefault="00BB0C8D">
      <w:pPr>
        <w:widowControl w:val="0"/>
        <w:shd w:val="clear" w:color="auto" w:fill="FFFFFF"/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C8D" w:rsidRDefault="00BF284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proofErr w:type="spellEnd"/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потребуватиме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видатків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бюджету,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видатки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бюджету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науково-дослідницької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матеріально-технічної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дозволять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паркам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зменшити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витрат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закупівлю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запасних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частин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витратних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матеріалів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 них,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реактивів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зразків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літератури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передумови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надходжень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</w:t>
      </w:r>
      <w:r>
        <w:rPr>
          <w:rFonts w:ascii="Times New Roman" w:eastAsia="Times New Roman" w:hAnsi="Times New Roman" w:cs="Times New Roman"/>
          <w:sz w:val="28"/>
          <w:szCs w:val="28"/>
        </w:rPr>
        <w:t>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науково-технічних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приватним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замовникам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податкової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стимулювання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0C8D" w:rsidRDefault="00BB0C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C8D" w:rsidRDefault="00BF28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Позиція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заінтересованих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сторін</w:t>
      </w:r>
      <w:proofErr w:type="spellEnd"/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sz w:val="28"/>
          <w:szCs w:val="28"/>
        </w:rPr>
        <w:t>мадськістю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лис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топада 2010 р. № 996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Офіційний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вісник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2010 р., № 84, ст. 2945).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2024 року до 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січня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2025 року.</w:t>
      </w:r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стосується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прав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інвалідністю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стосується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сфери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науково-технічної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науки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погодження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Міністерством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фінансів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Міністерством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цифрової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трансформації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Міністерством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еконо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підлягає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правовій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експертизі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Міністерством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юстиції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BB0C8D" w:rsidRDefault="00BB0C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C8D" w:rsidRDefault="00BF28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Оцінка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відповідності</w:t>
      </w:r>
      <w:proofErr w:type="spellEnd"/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стосуються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та свобод,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Конвенцією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основоположних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можливостеи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жінок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чоловіків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агентства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корупціі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України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антикорупційноі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антикорупційна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антидискримінаційна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гендерно-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Урядового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офісу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координаціі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європейськоі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̈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євроатлантичноі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інтеграціі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Секретаріату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Кабінетів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Мін</w:t>
      </w:r>
      <w:r>
        <w:rPr>
          <w:rFonts w:ascii="Times New Roman" w:eastAsia="Times New Roman" w:hAnsi="Times New Roman" w:cs="Times New Roman"/>
          <w:sz w:val="28"/>
          <w:szCs w:val="28"/>
        </w:rPr>
        <w:t>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України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європейськоі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інтеграціі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̈, у 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міжнародно-правовим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 праву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Європейського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acquis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ЄС).</w:t>
      </w:r>
    </w:p>
    <w:p w:rsidR="00BB0C8D" w:rsidRDefault="00BB0C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C8D" w:rsidRDefault="00BF28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Прогноз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результатів</w:t>
      </w:r>
      <w:proofErr w:type="spellEnd"/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спроможності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погіршення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екологію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навколишнє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природне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обсяг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sz w:val="28"/>
          <w:szCs w:val="28"/>
        </w:rPr>
        <w:t>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забруднення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атмосферного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повітря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води, земель,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забруднення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утвореними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відходами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регуляторним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актом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ринкове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0C8D" w:rsidRDefault="00BF284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продукуються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закладами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комерціалізації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науково-технічних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експериментальних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</w:t>
      </w:r>
      <w:r>
        <w:rPr>
          <w:rFonts w:ascii="Times New Roman" w:eastAsia="Times New Roman" w:hAnsi="Times New Roman" w:cs="Times New Roman"/>
          <w:sz w:val="28"/>
          <w:szCs w:val="28"/>
        </w:rPr>
        <w:t>бок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C8D" w:rsidRDefault="00BB0C8D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B0C8D" w:rsidRDefault="00BB0C8D">
      <w:pPr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5"/>
        <w:tblpPr w:leftFromText="180" w:rightFromText="180" w:topFromText="180" w:bottomFromText="180" w:vertAnchor="text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3225"/>
        <w:gridCol w:w="3000"/>
      </w:tblGrid>
      <w:tr w:rsidR="00BB0C8D">
        <w:tc>
          <w:tcPr>
            <w:tcW w:w="2775" w:type="dxa"/>
          </w:tcPr>
          <w:p w:rsidR="00BB0C8D" w:rsidRDefault="00BF2846">
            <w:pPr>
              <w:ind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Заінтересована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сторона</w:t>
            </w:r>
          </w:p>
        </w:tc>
        <w:tc>
          <w:tcPr>
            <w:tcW w:w="3225" w:type="dxa"/>
          </w:tcPr>
          <w:p w:rsidR="00BB0C8D" w:rsidRDefault="00BF2846">
            <w:pPr>
              <w:ind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заінтересовану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сторону</w:t>
            </w:r>
          </w:p>
        </w:tc>
        <w:tc>
          <w:tcPr>
            <w:tcW w:w="3000" w:type="dxa"/>
          </w:tcPr>
          <w:p w:rsidR="00BB0C8D" w:rsidRDefault="00BF2846">
            <w:pPr>
              <w:ind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очікуваного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впливу</w:t>
            </w:r>
            <w:proofErr w:type="spellEnd"/>
          </w:p>
        </w:tc>
      </w:tr>
      <w:tr w:rsidR="00BB0C8D">
        <w:trPr>
          <w:trHeight w:val="2771"/>
        </w:trPr>
        <w:tc>
          <w:tcPr>
            <w:tcW w:w="2775" w:type="dxa"/>
          </w:tcPr>
          <w:p w:rsidR="00BB0C8D" w:rsidRDefault="00BF28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парки</w:t>
            </w:r>
          </w:p>
        </w:tc>
        <w:tc>
          <w:tcPr>
            <w:tcW w:w="3225" w:type="dxa"/>
          </w:tcPr>
          <w:p w:rsidR="00BB0C8D" w:rsidRDefault="00BF2846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Активізація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дослідницьких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комерціалізація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перетворення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товари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ринку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. </w:t>
            </w:r>
          </w:p>
        </w:tc>
        <w:tc>
          <w:tcPr>
            <w:tcW w:w="3000" w:type="dxa"/>
          </w:tcPr>
          <w:p w:rsidR="00BB0C8D" w:rsidRDefault="00BF2846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пільги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до 10%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вартості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B0C8D">
        <w:tc>
          <w:tcPr>
            <w:tcW w:w="2775" w:type="dxa"/>
          </w:tcPr>
          <w:p w:rsidR="00BB0C8D" w:rsidRDefault="00BF2846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установи</w:t>
            </w:r>
          </w:p>
        </w:tc>
        <w:tc>
          <w:tcPr>
            <w:tcW w:w="3225" w:type="dxa"/>
          </w:tcPr>
          <w:p w:rsidR="00BB0C8D" w:rsidRDefault="00BF2846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переваг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рейтингу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інноваційну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00" w:type="dxa"/>
          </w:tcPr>
          <w:p w:rsidR="00BB0C8D" w:rsidRDefault="00BF28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Закуплене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використовуватися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закладами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0C8D">
        <w:tc>
          <w:tcPr>
            <w:tcW w:w="2775" w:type="dxa"/>
          </w:tcPr>
          <w:p w:rsidR="00BB0C8D" w:rsidRDefault="00BF2846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Держава</w:t>
            </w:r>
          </w:p>
        </w:tc>
        <w:tc>
          <w:tcPr>
            <w:tcW w:w="3225" w:type="dxa"/>
          </w:tcPr>
          <w:p w:rsidR="00BB0C8D" w:rsidRDefault="00BF2846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сплачених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податків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перевищувати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млн.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роки та 15 млн.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B0C8D" w:rsidRDefault="00BB0C8D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0C8D" w:rsidRDefault="00BF2846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обсягів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рахунок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Державного бюджету.</w:t>
            </w:r>
          </w:p>
          <w:p w:rsidR="00BB0C8D" w:rsidRDefault="00BB0C8D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0C8D" w:rsidRDefault="00BF2846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науково-технічної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рахунок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Державного бюджету.</w:t>
            </w:r>
          </w:p>
        </w:tc>
        <w:tc>
          <w:tcPr>
            <w:tcW w:w="3000" w:type="dxa"/>
          </w:tcPr>
          <w:p w:rsidR="00BB0C8D" w:rsidRDefault="00BF2846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пільг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позитивно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вплине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інноваційної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високооплачуваних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інноваційної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вартістю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F2846" w:rsidRDefault="00BF28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0C8D" w:rsidRDefault="00BF2846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науки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Оксен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Лісовий</w:t>
      </w:r>
      <w:proofErr w:type="spellEnd"/>
    </w:p>
    <w:sectPr w:rsidR="00BB0C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49FC"/>
    <w:multiLevelType w:val="multilevel"/>
    <w:tmpl w:val="0C16E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8D"/>
    <w:rsid w:val="00BB0C8D"/>
    <w:rsid w:val="00B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6850"/>
  <w15:docId w15:val="{FB05E436-D640-4BD5-AF26-E2C57CA4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6906</Words>
  <Characters>3937</Characters>
  <Application>Microsoft Office Word</Application>
  <DocSecurity>0</DocSecurity>
  <Lines>32</Lines>
  <Paragraphs>21</Paragraphs>
  <ScaleCrop>false</ScaleCrop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Красовська Ірина</cp:lastModifiedBy>
  <cp:revision>3</cp:revision>
  <dcterms:created xsi:type="dcterms:W3CDTF">2024-12-23T14:16:00Z</dcterms:created>
  <dcterms:modified xsi:type="dcterms:W3CDTF">2024-12-23T14:22:00Z</dcterms:modified>
</cp:coreProperties>
</file>