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64A7" w14:textId="77777777" w:rsidR="00171EA4" w:rsidRPr="00BE1C30" w:rsidRDefault="00171EA4" w:rsidP="00171EA4">
      <w:pPr>
        <w:spacing w:before="240"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ПРОЄКТ</w:t>
      </w:r>
    </w:p>
    <w:p w14:paraId="37CF407A" w14:textId="77777777" w:rsidR="00171EA4" w:rsidRPr="00BE1C30" w:rsidRDefault="00171EA4" w:rsidP="0017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b/>
          <w:sz w:val="28"/>
          <w:szCs w:val="28"/>
        </w:rPr>
        <w:t>МЕТОДИЧНІ РЕКОМЕНДАЦІЇ</w:t>
      </w:r>
    </w:p>
    <w:p w14:paraId="24E9490F" w14:textId="77777777" w:rsidR="00171EA4" w:rsidRPr="00BE1C30" w:rsidRDefault="00171EA4" w:rsidP="0017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b/>
          <w:sz w:val="28"/>
          <w:szCs w:val="28"/>
        </w:rPr>
        <w:t>щодо формування мережі закладів професійної (професійно-технічної)</w:t>
      </w:r>
    </w:p>
    <w:p w14:paraId="24A49BE4" w14:textId="77777777" w:rsidR="00171EA4" w:rsidRPr="00BE1C30" w:rsidRDefault="00171EA4" w:rsidP="00171E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b/>
          <w:sz w:val="28"/>
          <w:szCs w:val="28"/>
        </w:rPr>
        <w:t>та фахової передвищої освіти</w:t>
      </w:r>
    </w:p>
    <w:p w14:paraId="59FD52B1" w14:textId="562D02B7" w:rsidR="00171EA4" w:rsidRPr="00BE1C30" w:rsidRDefault="00171EA4" w:rsidP="00171EA4">
      <w:pPr>
        <w:spacing w:before="240" w:after="0"/>
        <w:jc w:val="center"/>
      </w:pPr>
    </w:p>
    <w:p w14:paraId="665A3A79" w14:textId="131DEFB5" w:rsidR="00806F38" w:rsidRPr="00BE1C30" w:rsidRDefault="008B523C" w:rsidP="00806F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 </w:t>
      </w:r>
      <w:r w:rsidR="00806F3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 положення</w:t>
      </w:r>
    </w:p>
    <w:p w14:paraId="2E821C8F" w14:textId="43E30ED9" w:rsidR="00806F38" w:rsidRPr="00BE1C30" w:rsidRDefault="00806F38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 Методичні рекомендації </w:t>
      </w:r>
      <w:r w:rsidR="00FD4C4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формування мережі закладів професійної (професійно-технічної) та фахової передвищої освіти (далі – Методичні рекомендації)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призначені для підготовки проєктів управлінських рішень МОН, інших державних органів та органів місцевого самоврядування щодо трансформації мережі державних та комунальних закладів професійної (професійно-технічної) та фахової передвищої освіти.</w:t>
      </w:r>
    </w:p>
    <w:p w14:paraId="508E634E" w14:textId="78BD84C7" w:rsidR="00806F38" w:rsidRPr="00BE1C30" w:rsidRDefault="00806F38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 Методичні рекомендації </w:t>
      </w:r>
      <w:r w:rsidR="00A07BB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поширюються на державні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A07BB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комунальні заклади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професійної (професійно-технічної) та фахової передвищої освіти в статусі самостійних юридичних осіб або структурних підрозділів інших </w:t>
      </w:r>
      <w:r w:rsidR="00A07BB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 освіти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1847A83" w14:textId="1F432BBE" w:rsidR="009754E6" w:rsidRPr="00BE1C30" w:rsidRDefault="00806F38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Методичні рекомендації не </w:t>
      </w:r>
      <w:r w:rsidR="005F060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поширюються на</w:t>
      </w:r>
      <w:r w:rsidR="009754E6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525C9887" w14:textId="6EF1D191" w:rsidR="009754E6" w:rsidRPr="00BE1C30" w:rsidRDefault="009754E6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військові коледжі сержантського складу;</w:t>
      </w:r>
    </w:p>
    <w:p w14:paraId="3BA69069" w14:textId="79271049" w:rsidR="005F0603" w:rsidRPr="00BE1C30" w:rsidRDefault="005F0603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uk-UA"/>
        </w:rPr>
      </w:pPr>
      <w:r w:rsidRPr="00BE1C3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професійні коледжі з посиленою військовою та фізичною підготовкою;</w:t>
      </w:r>
    </w:p>
    <w:p w14:paraId="455461F0" w14:textId="4E0194B2" w:rsidR="009754E6" w:rsidRPr="00BE1C30" w:rsidRDefault="009754E6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фахові коледжі із специфічними умовами навчання; </w:t>
      </w:r>
    </w:p>
    <w:p w14:paraId="5BA59D33" w14:textId="13175B7E" w:rsidR="005F0603" w:rsidRPr="00BE1C30" w:rsidRDefault="005F0603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центри при</w:t>
      </w:r>
      <w:r w:rsidR="004856B7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установах виконання покарань;</w:t>
      </w:r>
    </w:p>
    <w:p w14:paraId="30B8098E" w14:textId="77777777" w:rsidR="004856B7" w:rsidRPr="00BE1C30" w:rsidRDefault="00806F38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заклади освіти </w:t>
      </w:r>
      <w:r w:rsidR="005F060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приватної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5F060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власності</w:t>
      </w:r>
      <w:r w:rsidR="004856B7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13E12E5" w14:textId="5B87DACE" w:rsidR="00806F38" w:rsidRPr="00BE1C30" w:rsidRDefault="004856B7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тимчасово окуповані території України та зони активних бойових дій</w:t>
      </w:r>
      <w:r w:rsidR="00806F3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3D302C2" w14:textId="1A355201" w:rsidR="00FD4C40" w:rsidRPr="00BE1C30" w:rsidRDefault="00FD4C40" w:rsidP="00DF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 Методичні рекомендації розроблені з метою забезпечення довгострокового планування розвитку </w:t>
      </w:r>
      <w:r w:rsidR="001F55B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та трудового потенціалу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територій, формування мережі багатопрофільних, багаторівневих закладів професійної (професійно-технічної) та фахової передвищої освіти, що дозволить надавати якісну освіту, </w:t>
      </w:r>
      <w:proofErr w:type="spellStart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гнучко</w:t>
      </w:r>
      <w:proofErr w:type="spellEnd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задовольняти потреби 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національного і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регіонального ринк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праці та бути доступною для всіх цільових груп.</w:t>
      </w:r>
    </w:p>
    <w:p w14:paraId="5567CBCF" w14:textId="4D7C5051" w:rsidR="00806F38" w:rsidRPr="00BE1C30" w:rsidRDefault="00806F38" w:rsidP="008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FD4C4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4 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Пріоритетами 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мережі закладів професійної (професійно-технічної) та фахової передвищої освіти є:</w:t>
      </w:r>
    </w:p>
    <w:p w14:paraId="3093BC30" w14:textId="77777777" w:rsidR="00D53F5F" w:rsidRPr="00BE1C30" w:rsidRDefault="00D53F5F" w:rsidP="00D53F5F">
      <w:pPr>
        <w:pStyle w:val="a3"/>
        <w:tabs>
          <w:tab w:val="left" w:pos="3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E1C30">
        <w:rPr>
          <w:rFonts w:ascii="Times New Roman" w:hAnsi="Times New Roman"/>
          <w:sz w:val="28"/>
          <w:szCs w:val="28"/>
        </w:rPr>
        <w:t>задоволення освітніх потреб громадян різних вікових груп у здобутті професійної (професійно-технічної) та фахової передвищої освіти;</w:t>
      </w:r>
    </w:p>
    <w:p w14:paraId="1413AB70" w14:textId="77777777" w:rsidR="00D53F5F" w:rsidRPr="00BE1C30" w:rsidRDefault="00D53F5F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</w:t>
      </w:r>
      <w:r w:rsidR="00806F3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потреб економіки та держави в підготовці кваліфікованих робітників та фахівців з фаховою </w:t>
      </w:r>
      <w:proofErr w:type="spellStart"/>
      <w:r w:rsidR="00806F3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передвищою</w:t>
      </w:r>
      <w:proofErr w:type="spellEnd"/>
      <w:r w:rsidR="00806F3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освітою</w:t>
      </w:r>
      <w:r w:rsidR="00FD4C4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урахуванням смарт-спеціалізації регіонів та актуальних потреб регіонального </w:t>
      </w:r>
      <w:r w:rsidR="001F55B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сегменту </w:t>
      </w:r>
      <w:r w:rsidR="00FD4C4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ринку праці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6D94267" w14:textId="5AF0B2FB" w:rsidR="00806F38" w:rsidRPr="00BE1C30" w:rsidRDefault="00DF685A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посилення інституційної спроможності закладів професійної (професійно-технічної) та фахової передвищої освіти</w:t>
      </w:r>
      <w:r w:rsidR="001F55B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їх мережі для 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внеску в досягнення пріоритетів</w:t>
      </w:r>
      <w:r w:rsidR="00D53F5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держави, економіки та освіти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5F0F3939" w14:textId="55F272BB" w:rsidR="00D53F5F" w:rsidRPr="00BE1C30" w:rsidRDefault="00D53F5F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якості професійної (професійно-технічної) та фахової передвищої освіти для забезпечення конкурентоспроможності випускників на ринку праці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економіки у світовому розподілі праці;</w:t>
      </w:r>
    </w:p>
    <w:p w14:paraId="57D51267" w14:textId="35083CA9" w:rsidR="004E4ABE" w:rsidRPr="00BE1C30" w:rsidRDefault="00DF685A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підвищення економічної ефективності публічних видатків на здобуття професійної (професійно-технічної) та фахової передвищої освіти 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шляхом укрупнення закладів освіти 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інструмента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посилення їх інституційної спроможності</w:t>
      </w:r>
      <w:r w:rsidR="004856B7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48591EA" w14:textId="71163604" w:rsidR="00F54828" w:rsidRPr="009C1794" w:rsidRDefault="00F54828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 Рекомендації щодо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формування мережі закладів професійної (професійно-технічної) та фахової передвищої освіти розробляються з використанням інформації на моніторингову 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дату – 01 </w:t>
      </w:r>
      <w:r w:rsidR="009C1794" w:rsidRPr="009C1794">
        <w:rPr>
          <w:rFonts w:ascii="Times New Roman" w:eastAsia="Times New Roman" w:hAnsi="Times New Roman" w:cs="Times New Roman"/>
          <w:sz w:val="28"/>
          <w:szCs w:val="28"/>
        </w:rPr>
        <w:t>січня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C1794" w:rsidRPr="009C17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року. </w:t>
      </w:r>
    </w:p>
    <w:p w14:paraId="242FE0F9" w14:textId="2126EB7A" w:rsidR="004E4ABE" w:rsidRPr="00BE1C30" w:rsidRDefault="00A55450" w:rsidP="0048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Рекомендації щодо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формування мережі закладів професійної (професійно-технічної) та фахової передвищої освіти розробляються на основі цих Методичних рекомендацій.</w:t>
      </w:r>
    </w:p>
    <w:p w14:paraId="48CD86A9" w14:textId="77777777" w:rsidR="00A55450" w:rsidRPr="00BE1C30" w:rsidRDefault="00A55450" w:rsidP="0048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D664FB" w14:textId="6E3C761F" w:rsidR="004E4ABE" w:rsidRPr="00BE1C30" w:rsidRDefault="008B523C" w:rsidP="0048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BE063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рекомендацій щодо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3DD8" w:rsidRPr="00BE1C30">
        <w:rPr>
          <w:rFonts w:ascii="Times New Roman" w:eastAsia="Times New Roman" w:hAnsi="Times New Roman" w:cs="Times New Roman"/>
          <w:sz w:val="28"/>
          <w:szCs w:val="28"/>
        </w:rPr>
        <w:t>формування мережі закладів професійної (професійно-технічної) та фахової передвищої освіти</w:t>
      </w:r>
    </w:p>
    <w:p w14:paraId="451DCDBC" w14:textId="6B43957B" w:rsidR="00483DD8" w:rsidRPr="00BE1C30" w:rsidRDefault="00483DD8" w:rsidP="0048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2.1 </w:t>
      </w:r>
      <w:r w:rsidR="00BE063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Рекомендації щодо ф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ормування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мережі закладів професійної (професійно-технічної) та фахової передвищої освіти </w:t>
      </w:r>
      <w:r w:rsidR="00BE063C" w:rsidRPr="00BE1C30">
        <w:rPr>
          <w:rFonts w:ascii="Times New Roman" w:eastAsia="Times New Roman" w:hAnsi="Times New Roman" w:cs="Times New Roman"/>
          <w:sz w:val="28"/>
          <w:szCs w:val="28"/>
        </w:rPr>
        <w:t>розробляються за рівнями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1B40FE" w14:textId="1AF1AB99" w:rsidR="004E4ABE" w:rsidRPr="00BE1C30" w:rsidRDefault="00D90F84" w:rsidP="00C4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обласний центр (м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Київ)</w:t>
      </w:r>
      <w:r w:rsidR="001B3FF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07290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07290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обласний центр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місто Київ</w:t>
      </w:r>
      <w:r w:rsidR="009D31B6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район, до складу якого входить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обласний центр</w:t>
      </w:r>
      <w:r w:rsidR="009D31B6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3DD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територіальн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час </w:t>
      </w:r>
      <w:proofErr w:type="spellStart"/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доїзду</w:t>
      </w:r>
      <w:proofErr w:type="spellEnd"/>
      <w:r w:rsidR="00CE602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них 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 центру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 Києва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громадським транспортом загального користування не перевищує 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хвилин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(без урахування часу переміщення </w:t>
      </w:r>
      <w:r w:rsidR="009D31B6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містом</w:t>
      </w:r>
      <w:r w:rsidR="002327A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6BCD523" w14:textId="21DABDC2" w:rsidR="004E4ABE" w:rsidRPr="00BE1C30" w:rsidRDefault="009D31B6" w:rsidP="001B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E121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C4324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3FF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адміністративно-територіальна одиниця другого рівня, яка не входить до складу </w:t>
      </w:r>
      <w:r w:rsidR="00D90F8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обласних центрів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(м. Києва)</w:t>
      </w:r>
      <w:r w:rsidR="001B3FF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винятком територіальних громад, які </w:t>
      </w:r>
      <w:r w:rsidR="0038790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входять до складу обласних центрів (м. Києва) 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6F337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4965B2" w14:textId="1F3C97B2" w:rsidR="009754E6" w:rsidRPr="00BE1C30" w:rsidRDefault="006F337D" w:rsidP="00CE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потреб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формування мережі закладів професійної (професійно-технічної) та фахової передвищої освіти перелік </w:t>
      </w:r>
      <w:r w:rsidR="001B3FF4" w:rsidRPr="00BE1C30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адміністративно-територіальних одиниць, які відносяться до складу </w:t>
      </w:r>
      <w:r w:rsidR="00D90F84" w:rsidRPr="00BE1C30">
        <w:rPr>
          <w:rFonts w:ascii="Times New Roman" w:eastAsia="Times New Roman" w:hAnsi="Times New Roman" w:cs="Times New Roman"/>
          <w:sz w:val="28"/>
          <w:szCs w:val="28"/>
        </w:rPr>
        <w:t>обласних центрів</w:t>
      </w:r>
      <w:r w:rsidR="0038790F" w:rsidRPr="00BE1C30">
        <w:rPr>
          <w:rFonts w:ascii="Times New Roman" w:eastAsia="Times New Roman" w:hAnsi="Times New Roman" w:cs="Times New Roman"/>
          <w:sz w:val="28"/>
          <w:szCs w:val="28"/>
        </w:rPr>
        <w:t xml:space="preserve"> (м. Києва)</w:t>
      </w:r>
      <w:r w:rsidR="00761EF1" w:rsidRPr="00BE1C30">
        <w:rPr>
          <w:rFonts w:ascii="Times New Roman" w:eastAsia="Times New Roman" w:hAnsi="Times New Roman" w:cs="Times New Roman"/>
          <w:sz w:val="28"/>
          <w:szCs w:val="28"/>
        </w:rPr>
        <w:t xml:space="preserve"> з передмістям</w:t>
      </w:r>
      <w:r w:rsidR="008D1C6D" w:rsidRPr="00BE1C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3FF4" w:rsidRPr="00BE1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затверджується наказом МОН з урахуванням пропозицій обласних, Київської міської державних адміністрацій.</w:t>
      </w:r>
    </w:p>
    <w:p w14:paraId="4BCF5087" w14:textId="16966BFA" w:rsidR="004E4ABE" w:rsidRPr="00BE1C30" w:rsidRDefault="000B2148" w:rsidP="00BE0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BE063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 Для підготовки рекомендацій щодо </w:t>
      </w:r>
      <w:r w:rsidR="00BE063C" w:rsidRPr="00BE1C30">
        <w:rPr>
          <w:rFonts w:ascii="Times New Roman" w:eastAsia="Times New Roman" w:hAnsi="Times New Roman" w:cs="Times New Roman"/>
          <w:sz w:val="28"/>
          <w:szCs w:val="28"/>
        </w:rPr>
        <w:t xml:space="preserve">формування мережі закладів професійної (професійно-технічної) та фахової передвищої освіти формуються робочі групи на рівні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обласних центрів</w:t>
      </w:r>
      <w:r w:rsidR="001B3FF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(м. Києва)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1B3FF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районів</w:t>
      </w:r>
      <w:r w:rsidR="00BE063C"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4CE6D8" w14:textId="748E46C0" w:rsidR="006D6CBE" w:rsidRPr="00BE1C30" w:rsidRDefault="00BE063C" w:rsidP="006D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складу робочої групи на рівні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обласного центру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(м.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Києва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1C33E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включаються: заступник Міністра освіти і науки, </w:t>
      </w:r>
      <w:r w:rsidR="00A428C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голови обласної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та/або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Київської міської) </w:t>
      </w:r>
      <w:r w:rsidR="00A428C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державної адміністрації, заступник міського голови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 центру</w:t>
      </w:r>
      <w:r w:rsidR="00A428C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A0B7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представники структурних підрозділів 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центральних і місцевих органів виконавчої влади,</w:t>
      </w:r>
      <w:r w:rsidR="000A0B7F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органів місцевого самоврядування, до сфери управління яких належать </w:t>
      </w:r>
      <w:r w:rsidR="000A0B7F" w:rsidRPr="00BE1C30">
        <w:rPr>
          <w:rFonts w:ascii="Times New Roman" w:eastAsia="Times New Roman" w:hAnsi="Times New Roman" w:cs="Times New Roman"/>
          <w:sz w:val="28"/>
          <w:szCs w:val="28"/>
        </w:rPr>
        <w:t xml:space="preserve">заклади професійної (професійно-технічної) та фахової передвищої освіти в межах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 центра (м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Києва)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0A0B7F" w:rsidRPr="00BE1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6CBE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 структурних підрозділів обласної державної адміністрації та органів місцевого самоврядування</w:t>
      </w:r>
      <w:r w:rsidR="006D6CBE" w:rsidRPr="00BE1C30">
        <w:rPr>
          <w:rFonts w:ascii="Times New Roman" w:eastAsia="Times New Roman" w:hAnsi="Times New Roman" w:cs="Times New Roman"/>
          <w:sz w:val="28"/>
          <w:szCs w:val="28"/>
        </w:rPr>
        <w:t xml:space="preserve"> з питань економічного та соціального розвитку, державної служби зайнятості, </w:t>
      </w:r>
      <w:r w:rsidR="006D6CBE" w:rsidRPr="00BE1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спільного представницького органу сторони роботодавців на національному рівні, спільного представницького органу сторони професійних спілок на національному рівні, </w:t>
      </w:r>
      <w:r w:rsidR="00170580" w:rsidRPr="00BE1C3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61EF1" w:rsidRPr="00BE1C3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170580" w:rsidRPr="00BE1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53C" w:rsidRPr="00BE1C30">
        <w:rPr>
          <w:rFonts w:ascii="Times New Roman" w:eastAsia="Times New Roman" w:hAnsi="Times New Roman" w:cs="Times New Roman"/>
          <w:sz w:val="28"/>
          <w:szCs w:val="28"/>
        </w:rPr>
        <w:t>делегат</w:t>
      </w:r>
      <w:r w:rsidR="00170580" w:rsidRPr="00BE1C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153C" w:rsidRPr="00BE1C30">
        <w:rPr>
          <w:rFonts w:ascii="Times New Roman" w:eastAsia="Times New Roman" w:hAnsi="Times New Roman" w:cs="Times New Roman"/>
          <w:sz w:val="28"/>
          <w:szCs w:val="28"/>
        </w:rPr>
        <w:t xml:space="preserve"> від зборів керівників закладів професійної (професійно-технічної) та фахової передвищої освіти, які функціонують на території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 центра (м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Києва)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4153C"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60A2D" w14:textId="4EFEE5A3" w:rsidR="0074153C" w:rsidRPr="00BE1C30" w:rsidRDefault="0074153C" w:rsidP="00741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складу робочої групи на рівні 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району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включаються: заступник голови обласної державної адміністрації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керівник департаменту/управління обласної державної адміністрації,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заступник міського (селищного) голови 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районного центру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представники структурних підрозділів центральних і місцевих органів виконавчої влади, органів місцевого самоврядування, до сфери управління яких належать </w:t>
      </w:r>
      <w:r w:rsidR="003176DC" w:rsidRPr="00BE1C30">
        <w:rPr>
          <w:rFonts w:ascii="Times New Roman" w:eastAsia="Times New Roman" w:hAnsi="Times New Roman" w:cs="Times New Roman"/>
          <w:sz w:val="28"/>
          <w:szCs w:val="28"/>
        </w:rPr>
        <w:t>заклади професійної (професійно-технічної) та фахової передвищої освіти в межах району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 структурних підрозділів обласної державної адміністрації та органів місцевого самоврядування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з питань економічного та соціального розвитку, регіонального центру зайнятості, спільного представницького органу сторони роботодавців на національному рівні, спільного представницького органу сторони професійних спілок на національному рівні, </w:t>
      </w:r>
      <w:r w:rsidR="00170580" w:rsidRPr="00BE1C30">
        <w:rPr>
          <w:rFonts w:ascii="Times New Roman" w:eastAsia="Times New Roman" w:hAnsi="Times New Roman" w:cs="Times New Roman"/>
          <w:sz w:val="28"/>
          <w:szCs w:val="28"/>
        </w:rPr>
        <w:t xml:space="preserve">по одному делегату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від зборів керівників закладів професійної (професійно-технічної) та фахової передвищої освіти, які функціонують на території </w:t>
      </w:r>
      <w:r w:rsidR="003176DC" w:rsidRPr="00BE1C30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7D677" w14:textId="63F2F35D" w:rsidR="00BE063C" w:rsidRPr="00BE1C30" w:rsidRDefault="00105BE1" w:rsidP="00BE0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Персональний склад робочих груп на рівні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</w:t>
      </w:r>
      <w:r w:rsidR="003176D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(м. Києва)</w:t>
      </w:r>
      <w:r w:rsidR="00F50AB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EF1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передмістям</w:t>
      </w:r>
      <w:r w:rsidR="008D1C6D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затверджується МОН, на рівні</w:t>
      </w:r>
      <w:r w:rsidR="0096131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районів</w:t>
      </w:r>
      <w:r w:rsidR="00434FD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обласними державними адміністраціями.</w:t>
      </w:r>
    </w:p>
    <w:p w14:paraId="138D5ABF" w14:textId="0908229F" w:rsidR="000B2148" w:rsidRPr="00BE1C30" w:rsidRDefault="000B2148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Робочі групи можуть залучати експертів для виконання певних завдань зі збору та аналізу інформації.</w:t>
      </w:r>
    </w:p>
    <w:p w14:paraId="30DF17AC" w14:textId="3BBAB351" w:rsidR="000B2148" w:rsidRPr="00BE1C30" w:rsidRDefault="000B2148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робочих груп можуть проводитись у змішаному режимі або дистанційно.</w:t>
      </w:r>
    </w:p>
    <w:p w14:paraId="047DFD00" w14:textId="64921CCE" w:rsidR="00190664" w:rsidRPr="009C1794" w:rsidRDefault="00190664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Робочі групи готують рекомендації щодо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формування мережі закладів професійної (професійно-технічної) та фахової передвищої освіти 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>до 3</w:t>
      </w:r>
      <w:r w:rsidR="008D1C6D" w:rsidRPr="009C17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C6D" w:rsidRPr="009C1794">
        <w:rPr>
          <w:rFonts w:ascii="Times New Roman" w:eastAsia="Times New Roman" w:hAnsi="Times New Roman" w:cs="Times New Roman"/>
          <w:sz w:val="28"/>
          <w:szCs w:val="28"/>
        </w:rPr>
        <w:t>черв</w:t>
      </w:r>
      <w:r w:rsidR="00170580" w:rsidRPr="009C1794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0580" w:rsidRPr="009C17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14:paraId="65449823" w14:textId="75DE746C" w:rsidR="000B2148" w:rsidRPr="00BE1C30" w:rsidRDefault="000B2148" w:rsidP="00BE0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 Для підготовки рішень робочих груп збирається така інформація</w:t>
      </w:r>
      <w:r w:rsidR="003D7ED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(за три попередні навчальні роки)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10B1112" w14:textId="4CE10642" w:rsidR="00F61832" w:rsidRPr="00BE1C30" w:rsidRDefault="00F61832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Блок 1: управління закладами освіти</w:t>
      </w:r>
    </w:p>
    <w:p w14:paraId="6FB9E4D8" w14:textId="03DDE4F9" w:rsidR="00F61832" w:rsidRPr="00BE1C30" w:rsidRDefault="00F61832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статус, керівники закладів освіти, сфера управління.</w:t>
      </w:r>
    </w:p>
    <w:p w14:paraId="253C4A07" w14:textId="3CA780F5" w:rsidR="00665439" w:rsidRPr="00BE1C30" w:rsidRDefault="00665439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Блок </w:t>
      </w:r>
      <w:r w:rsidR="00F6183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здобувачі освіти та випускники закладів освіти</w:t>
      </w:r>
    </w:p>
    <w:p w14:paraId="78BA738D" w14:textId="76D25B19" w:rsidR="000B2148" w:rsidRPr="00BE1C30" w:rsidRDefault="000B2148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кількість </w:t>
      </w:r>
      <w:r w:rsidR="0066543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зарахованих на навчання</w:t>
      </w:r>
      <w:r w:rsidR="002B4B4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 w:rsidR="002B4B4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випускників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кожною професією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/спеціальністю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розрізі </w:t>
      </w:r>
      <w:r w:rsidR="0066543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джерел фінансування та 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 здобуття освіти по кожному закладу професійної (професійно-технічної) та фахової передвищої освіти</w:t>
      </w:r>
      <w:r w:rsidR="00970C1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6543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кількість здобувачів освіти з особливими освітніми потребами, </w:t>
      </w:r>
      <w:r w:rsidR="00970C1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приведена </w:t>
      </w:r>
      <w:r w:rsidR="00F5482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здобувачів освіти (здобувачі освіти інших (крім денної та дуальної) форм здобуття освіти враховуються з коефіцієнтом 0,35</w:t>
      </w:r>
      <w:r w:rsidR="002B4B4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665439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B1D7FAB" w14:textId="77777777" w:rsidR="00665439" w:rsidRPr="00BE1C30" w:rsidRDefault="00665439" w:rsidP="006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моніторингу працевлаштування випускників по кожному закладу професійної (професійно-технічної) та фахової передвищої освіти;</w:t>
      </w:r>
    </w:p>
    <w:p w14:paraId="743E45D2" w14:textId="5430E6BB" w:rsidR="00665439" w:rsidRPr="00BE1C30" w:rsidRDefault="00665439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lastRenderedPageBreak/>
        <w:t>кількість дорослих, які пройшли програми перепідготовки або підвищення кваліфікації.</w:t>
      </w:r>
    </w:p>
    <w:p w14:paraId="73107410" w14:textId="49648E9B" w:rsidR="00665439" w:rsidRPr="00BE1C30" w:rsidRDefault="00665439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="00F61832" w:rsidRPr="00BE1C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: педагогічні працівники закладів освіти</w:t>
      </w:r>
    </w:p>
    <w:p w14:paraId="3D526647" w14:textId="56CF69A6" w:rsidR="00665439" w:rsidRPr="00BE1C30" w:rsidRDefault="00665439" w:rsidP="006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про укомплектованість педагогічними працівниками, рівень їх кваліфікації, статус (штатний/сумісник), обсяг трудових обов’язків (у ставках у поточному навчальному році)</w:t>
      </w:r>
      <w:r w:rsidR="0095293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загальний і педагогічний стаж роботи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0154DB4" w14:textId="2FD7B89B" w:rsidR="00665439" w:rsidRPr="00BE1C30" w:rsidRDefault="00665439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>інформація про викладачів предметів профільної старшої школи</w:t>
      </w:r>
      <w:r w:rsidR="00952933"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1DD77" w14:textId="47B547F3" w:rsidR="00952933" w:rsidRPr="00BE1C30" w:rsidRDefault="00952933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="00F61832" w:rsidRPr="00BE1C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: якість освіти</w:t>
      </w:r>
    </w:p>
    <w:p w14:paraId="1CAF11E0" w14:textId="2D202D3F" w:rsidR="00952933" w:rsidRPr="00BE1C30" w:rsidRDefault="00952933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>матеріали ліцензування, акредитації (атестації), інституційного аудиту, моніторингу якості освіти</w:t>
      </w:r>
      <w:r w:rsidR="00D6552C" w:rsidRPr="00BE1C30">
        <w:rPr>
          <w:rFonts w:ascii="Times New Roman" w:eastAsia="Times New Roman" w:hAnsi="Times New Roman" w:cs="Times New Roman"/>
          <w:sz w:val="28"/>
          <w:szCs w:val="28"/>
        </w:rPr>
        <w:t>, соціологічних опитувань у закладі освіти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A227C9" w14:textId="738B002C" w:rsidR="00952933" w:rsidRPr="00BE1C30" w:rsidRDefault="00952933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результати ЗНО (НМТ), </w:t>
      </w:r>
      <w:r w:rsidR="00D6552C" w:rsidRPr="00BE1C30">
        <w:rPr>
          <w:rFonts w:ascii="Times New Roman" w:eastAsia="Times New Roman" w:hAnsi="Times New Roman" w:cs="Times New Roman"/>
          <w:sz w:val="28"/>
          <w:szCs w:val="28"/>
        </w:rPr>
        <w:t>ЄДКІ здобувачів освіти і випускників.</w:t>
      </w:r>
    </w:p>
    <w:p w14:paraId="409F247A" w14:textId="44CA92BC" w:rsidR="00D6552C" w:rsidRPr="00BE1C30" w:rsidRDefault="00D6552C" w:rsidP="006654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="00F61832" w:rsidRPr="00BE1C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: матеріально-технічна база та фінансово-господарська діяльність</w:t>
      </w:r>
    </w:p>
    <w:p w14:paraId="7830F8BE" w14:textId="77777777" w:rsidR="00665439" w:rsidRPr="00BE1C30" w:rsidRDefault="00665439" w:rsidP="006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розташування закладів професійної (професійно-технічної), фахової передвищої освіти і відстані між ними;</w:t>
      </w:r>
    </w:p>
    <w:p w14:paraId="42A5E5DD" w14:textId="032A8506" w:rsidR="00D40222" w:rsidRPr="00BE1C30" w:rsidRDefault="00D40222" w:rsidP="006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корпуси, майстерні, земельні ділянки, інші споруди (крім гуртожитків), площа, технічний стан, використання в освітньому процесі та іншій діяльності закладу освіти, орендні відносини;</w:t>
      </w:r>
    </w:p>
    <w:p w14:paraId="27218F09" w14:textId="1D0BC2BA" w:rsidR="00665439" w:rsidRPr="00BE1C30" w:rsidRDefault="00665439" w:rsidP="006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кількість, площа, технічний стан гуртожитків по кожному закладу професійної (професійно-технічної) та фахової передвищої освіти, кількість місць у гуртожитках, кількість здобувачів освіти, які проживають у гуртожитках, використання незайнятих здобувачами освіти місць у гуртожитках</w:t>
      </w:r>
      <w:r w:rsidR="00D4022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орендні відносини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A60684" w14:textId="30E69942" w:rsidR="000B2148" w:rsidRPr="00BE1C30" w:rsidRDefault="000B2148" w:rsidP="000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фінансово-господарську діяльність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професійної (професійно-технічної) та фахової передвищої освіти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805E57A" w14:textId="1B99ADAD" w:rsidR="000B2148" w:rsidRPr="00BE1C30" w:rsidRDefault="000B2148" w:rsidP="00F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 </w:t>
      </w:r>
      <w:proofErr w:type="spellStart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інформаційноі</w:t>
      </w:r>
      <w:proofErr w:type="spellEnd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̈, </w:t>
      </w:r>
      <w:proofErr w:type="spellStart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архітектурноі</w:t>
      </w:r>
      <w:proofErr w:type="spellEnd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̈, </w:t>
      </w:r>
      <w:proofErr w:type="spellStart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цифровоі</w:t>
      </w:r>
      <w:proofErr w:type="spellEnd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̈ та </w:t>
      </w:r>
      <w:proofErr w:type="spellStart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транспортноі</w:t>
      </w:r>
      <w:proofErr w:type="spellEnd"/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̈ доступності</w:t>
      </w:r>
      <w:r w:rsidR="003D7ED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закладах професійної (професійно-технічної) та фахової передвищої освіти</w:t>
      </w:r>
      <w:r w:rsidR="00F5505A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195E947" w14:textId="1DC618C8" w:rsidR="00BE0B8C" w:rsidRPr="00BE1C30" w:rsidRDefault="00BE0B8C" w:rsidP="00F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Додатковий блок: для переміщених закладів освіти</w:t>
      </w:r>
    </w:p>
    <w:p w14:paraId="349B5C7D" w14:textId="564617E2" w:rsidR="00BE0B8C" w:rsidRPr="00BE1C30" w:rsidRDefault="00BE0B8C" w:rsidP="00F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 про приймаючу сторону (блок 1);</w:t>
      </w:r>
    </w:p>
    <w:p w14:paraId="0C8869E5" w14:textId="61F99131" w:rsidR="00BE0B8C" w:rsidRPr="00BE1C30" w:rsidRDefault="00BE0B8C" w:rsidP="00F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 працівників та здобувачів освіти за місцем переміщення закладу, на тимчасово окупованій території України, за кордоном (зокрема, на території держави-агресора).</w:t>
      </w:r>
    </w:p>
    <w:p w14:paraId="67884AA8" w14:textId="415A8795" w:rsidR="00F140C2" w:rsidRPr="00BE1C30" w:rsidRDefault="00BE0B8C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 При розробленні пропозицій щодо формування мережі закладів професійної (професійно-технічної) та фахової передвищої освіти робочі групи на рівні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обласних центрів (м. Києва)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передмістями керуються такими </w:t>
      </w:r>
      <w:r w:rsidR="00F140C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рекомендаціями:</w:t>
      </w:r>
    </w:p>
    <w:p w14:paraId="00308CDB" w14:textId="3007F258" w:rsidR="00F140C2" w:rsidRPr="00BE1C30" w:rsidRDefault="00F140C2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2.4.1 Формується ядро мережі закладів професійної (професійно-технічної) та фахової передвищої освіти. Такі заклади зберігають самостійний статус, до них можуть бути приєднані інші заклади освіти. Ключовими вимогами до закладів, які складають ядро мережі закладів професійної (професійно-технічної) та фахової передвищої освіти </w:t>
      </w:r>
      <w:r w:rsidR="004A1BC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обласного центра (м. Києва)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передмістями є:</w:t>
      </w:r>
    </w:p>
    <w:p w14:paraId="1ECA20ED" w14:textId="21726A51" w:rsidR="00F140C2" w:rsidRPr="00BE1C30" w:rsidRDefault="00D86662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F140C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риведений контингент здобувачів освіти – </w:t>
      </w:r>
      <w:r w:rsidR="0091378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менше </w:t>
      </w:r>
      <w:r w:rsidR="006D7A2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F140C2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осіб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2CCC6F9" w14:textId="46C2F3C3" w:rsidR="00F140C2" w:rsidRPr="00BE1C30" w:rsidRDefault="00D86662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виконання державного (регіонального) замовлення в 2024 році (без урахування його коригувань) – не менше 75%;</w:t>
      </w:r>
    </w:p>
    <w:p w14:paraId="400E606C" w14:textId="0B317772" w:rsidR="00BE1C30" w:rsidRPr="00BE1C30" w:rsidRDefault="00BE1C30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спеціальний фонд закладу освіти складає не менше 20% його бюджету;</w:t>
      </w:r>
    </w:p>
    <w:p w14:paraId="1108D26D" w14:textId="5161E834" w:rsidR="00913788" w:rsidRPr="00BE1C30" w:rsidRDefault="00913788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працевлаштування осіб, що здобули професійну (професійно-технічну) або фахову передвищу освіту через три роки після випуску (крім осіб, які продовжили навчання на наступних рівнях освіти) – не менше 60%</w:t>
      </w:r>
      <w:r w:rsidR="006D7A2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(за результатами моніторингу)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72FEF4C" w14:textId="759673EA" w:rsidR="00D86662" w:rsidRPr="00BE1C30" w:rsidRDefault="00D86662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педагогічних працівників за основним місцем роботи вищої кваліфікаційної категорії, з педагогічними або вченими званнями, науковим ступенем (ступенем доктора мистецтва) – на 5 відсоткових пунктів вище середнього по закладах відповідного типу даної території</w:t>
      </w:r>
      <w:r w:rsidR="00913788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E9D4D7" w14:textId="69CCCBF5" w:rsidR="00913788" w:rsidRPr="00BE1C30" w:rsidRDefault="00913788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2.4.2 Опрацьовуються пропозиції щодо приєднання інших закладів професійної (професійно-технічної) та фахової передвищої освіти до закладів, які віднесені до ядра, або об’єднання таких закладів (приєднання до одного з них) з метою досягнення </w:t>
      </w:r>
      <w:r w:rsidR="003B45B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приведеного контингенту здобувачів освіти</w:t>
      </w:r>
      <w:r w:rsidR="006D7A2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середньому,</w:t>
      </w:r>
      <w:r w:rsidR="003B45B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менше </w:t>
      </w:r>
      <w:r w:rsidR="006D7A2C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3B45B0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осіб. Пріоритети при виборі моделі формування мережі закладів освіти розглядаються в такій послідовності:</w:t>
      </w:r>
    </w:p>
    <w:p w14:paraId="48C5D3A0" w14:textId="4AEE469B" w:rsidR="003B45B0" w:rsidRPr="00BE1C30" w:rsidRDefault="003B45B0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покращення умов проведення освітнього процесу, </w:t>
      </w:r>
      <w:r w:rsidR="00DF71B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педагогічними працівниками та гуртожитками;</w:t>
      </w:r>
    </w:p>
    <w:p w14:paraId="287C3DD2" w14:textId="3563B1CF" w:rsidR="006D7A2C" w:rsidRPr="00BE1C30" w:rsidRDefault="006D7A2C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управлінська спроможність керівного складу закладів освіти;</w:t>
      </w:r>
    </w:p>
    <w:p w14:paraId="4CA931BB" w14:textId="444DBEF4" w:rsidR="00440B6E" w:rsidRPr="00BE1C30" w:rsidRDefault="00440B6E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матеріально-технічне та лабораторне забезпечення освітнього процесу;</w:t>
      </w:r>
    </w:p>
    <w:p w14:paraId="3CCAD5DA" w14:textId="61B99B00" w:rsidR="003B45B0" w:rsidRPr="00BE1C30" w:rsidRDefault="003B45B0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галузева спорідненість закладів освіти</w:t>
      </w:r>
      <w:r w:rsidR="00DF71B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12885DD" w14:textId="73EE9700" w:rsidR="00F140C2" w:rsidRPr="00BE1C30" w:rsidRDefault="00DF71B4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близькість закладів освіти.</w:t>
      </w:r>
    </w:p>
    <w:p w14:paraId="12CA801E" w14:textId="24F42165" w:rsidR="00BE1C30" w:rsidRPr="00BE1C30" w:rsidRDefault="00BE1C30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Припустима відстань між діючими підрозділами закладу освіти в складі нової мережі, як правило, не повинна перевищувати 4 км.</w:t>
      </w:r>
    </w:p>
    <w:p w14:paraId="23678522" w14:textId="0B889BB7" w:rsidR="00F140C2" w:rsidRPr="00BE1C30" w:rsidRDefault="006D7A2C" w:rsidP="00BE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F71B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аклади освіти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аграрного профілю, які мають земельні ділянки навчального призначення, </w:t>
      </w:r>
      <w:r w:rsidR="00DF71B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включаються в мережу зі збереженням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цих </w:t>
      </w:r>
      <w:r w:rsidR="00DF71B4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 ділянок.</w:t>
      </w:r>
    </w:p>
    <w:p w14:paraId="38627506" w14:textId="633C6DEE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2.5. При розробленні пропозицій щодо формування мережі закладів професійної (професійно-технічної) та фахової передвищої освіти робочі групи на рівні району керуються такими рекомендаціями:</w:t>
      </w:r>
    </w:p>
    <w:p w14:paraId="34303F5F" w14:textId="4D1616D5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2.5.1 Формується ядро мережі закладів професійної (професійно-технічної) та фахової передвищої освіти. Такі заклади зберігають самостійний статус, до них можуть бути приєднані інші заклади освіти. Ключовими вимогами до закладів, які складають ядро мережі закладів професійної (професійно-технічної) та фахової передвищої освіти району є:</w:t>
      </w:r>
    </w:p>
    <w:p w14:paraId="39FBF156" w14:textId="2B940766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приведений контингент здобувачів освіти – не менше 500 осіб;</w:t>
      </w:r>
    </w:p>
    <w:p w14:paraId="11663135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державного (регіонального) замовлення в 2024 році (без урахування його коригувань) – не менше 75%;</w:t>
      </w:r>
    </w:p>
    <w:p w14:paraId="26C09DB1" w14:textId="5203F61B" w:rsidR="00BE1C30" w:rsidRPr="00BE1C30" w:rsidRDefault="00BE1C30" w:rsidP="00BE1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спеціальний фонд закладу освіти складає не менше 15% його бюджету;</w:t>
      </w:r>
    </w:p>
    <w:p w14:paraId="2F2FE4AA" w14:textId="45026F9D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працевлаштування осіб, що здобули професійну (професійно-технічну) або фахову передвищу освіту через три роки після випуску (крім осіб, які продовжили навчання на наступних рівнях освіти) – не менше 60% (за результатами моніторингу).</w:t>
      </w:r>
    </w:p>
    <w:p w14:paraId="5B6412B1" w14:textId="60D83750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2.5.2 Опрацьовуються пропозиції щодо приєднання інших закладів професійної (професійно-технічної) та фахової передвищої освіти до закладів, які віднесені до ядра, або об’єднання таких закладів (приєднання до одного з них) з метою досягнення приведеного контингенту здобувачів освіти, у середньому, не менше 400 осіб. Пріоритети при виборі моделі формування мережі закладів освіти розглядаються в такій послідовності:</w:t>
      </w:r>
    </w:p>
    <w:p w14:paraId="292DEE56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покращення умов проведення освітнього процесу, забезпечення педагогічними працівниками та гуртожитками;</w:t>
      </w:r>
    </w:p>
    <w:p w14:paraId="621D3182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управлінська спроможність керівного складу закладів освіти;</w:t>
      </w:r>
    </w:p>
    <w:p w14:paraId="1AACBE78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матеріально-технічне та лабораторне забезпечення освітнього процесу;</w:t>
      </w:r>
    </w:p>
    <w:p w14:paraId="15012105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галузева спорідненість закладів освіти;</w:t>
      </w:r>
    </w:p>
    <w:p w14:paraId="675C79A8" w14:textId="77777777" w:rsidR="00440B6E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близькість закладів освіти.</w:t>
      </w:r>
    </w:p>
    <w:p w14:paraId="065AAECD" w14:textId="3202344A" w:rsidR="00BE1C30" w:rsidRPr="00BE1C30" w:rsidRDefault="00BE1C30" w:rsidP="00BE1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Припустима відстань між діючими підрозділами закладу освіти в складі нової мережі, як правило, не повинна перевищувати 10 км.</w:t>
      </w:r>
    </w:p>
    <w:p w14:paraId="7FC565F7" w14:textId="5FAB85DD" w:rsidR="00F140C2" w:rsidRPr="00BE1C30" w:rsidRDefault="00440B6E" w:rsidP="0044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Заклади освіти аграрного профілю, які мають земельні ділянки навчального призначення, включаються в мережу зі збереженням цих земельних ділянок.</w:t>
      </w:r>
    </w:p>
    <w:p w14:paraId="50FC1DF9" w14:textId="77777777" w:rsidR="004378B0" w:rsidRPr="00BE1C30" w:rsidRDefault="004378B0" w:rsidP="007D42F4">
      <w:pPr>
        <w:spacing w:after="0" w:line="240" w:lineRule="auto"/>
        <w:ind w:firstLine="709"/>
        <w:jc w:val="both"/>
      </w:pPr>
    </w:p>
    <w:p w14:paraId="34298E29" w14:textId="5BF84B8D" w:rsidR="00434FD3" w:rsidRPr="00BE1C30" w:rsidRDefault="002872B8" w:rsidP="0043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ІІІ</w:t>
      </w:r>
      <w:r w:rsidR="00434FD3"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Прийняття рішень та реалізація рекомендацій щодо </w:t>
      </w:r>
      <w:r w:rsidR="00434FD3" w:rsidRPr="00BE1C30">
        <w:rPr>
          <w:rFonts w:ascii="Times New Roman" w:eastAsia="Times New Roman" w:hAnsi="Times New Roman" w:cs="Times New Roman"/>
          <w:sz w:val="28"/>
          <w:szCs w:val="28"/>
        </w:rPr>
        <w:t>формування мережі закладів професійної (професійно-технічної) та фахової передвищої освіти</w:t>
      </w:r>
    </w:p>
    <w:p w14:paraId="2B93AB47" w14:textId="60F0C7AC" w:rsidR="004378B0" w:rsidRPr="00BE1C30" w:rsidRDefault="00EC3F31" w:rsidP="002872B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3.1 Регіональні плани формування мережі закладів професійної (професійно-технічної) та фахової передвищої освіти формуються на основі рекомендацій </w:t>
      </w:r>
      <w:r w:rsidRPr="00BE1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формування мережі закладів професійної (професійно-технічної) та фахової передвищої освіти </w:t>
      </w:r>
      <w:r w:rsidR="00440B6E" w:rsidRPr="00BE1C30">
        <w:rPr>
          <w:rFonts w:ascii="Times New Roman" w:eastAsia="Times New Roman" w:hAnsi="Times New Roman" w:cs="Times New Roman"/>
          <w:sz w:val="28"/>
          <w:szCs w:val="28"/>
        </w:rPr>
        <w:t>обласних центрів (м. Києва)</w:t>
      </w:r>
      <w:r w:rsidR="00D40222" w:rsidRPr="00BE1C30">
        <w:rPr>
          <w:rFonts w:ascii="Times New Roman" w:eastAsia="Times New Roman" w:hAnsi="Times New Roman" w:cs="Times New Roman"/>
          <w:sz w:val="28"/>
          <w:szCs w:val="28"/>
        </w:rPr>
        <w:t xml:space="preserve"> з передмістями і районів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48AAE9" w14:textId="5134AEE3" w:rsidR="00EC3F31" w:rsidRPr="00BE1C30" w:rsidRDefault="00EC3F31" w:rsidP="002872B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Регіональні плани формування мережі закладів професійної (професійно-технічної) та фахової передвищої освіти 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 xml:space="preserve">розробляються Радою Міністрів Автономної Республіки Крим, обласними (Київською та Севастопольською міськими) державними адміністраціями, узгоджуються з відповідними планами формування мережі закладів освіти державної та комунальної форм власності, що забезпечують здобуття профільної середньої освіти,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затверджуються 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>Кабінетом Міністрів України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>поданням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Міністерств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освіти і науки.</w:t>
      </w:r>
    </w:p>
    <w:p w14:paraId="589D3A2D" w14:textId="0121E255" w:rsidR="00EC3F31" w:rsidRPr="00BE1C30" w:rsidRDefault="00190664" w:rsidP="00F5453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3F31" w:rsidRPr="00BE1C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0222" w:rsidRPr="00BE1C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асновники закладів професійної (професійно-технічної) та фахової передвищої 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освіти до 31 </w:t>
      </w:r>
      <w:r w:rsidR="004378B0" w:rsidRPr="009C1794"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2025 року затверджують плани реорганізації закладів професійної (професійно-технічної) та 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фахової передвищої освіти на 202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378B0" w:rsidRPr="00BE1C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 роки на основі </w:t>
      </w:r>
      <w:r w:rsidR="00EC3F31" w:rsidRPr="00BE1C30">
        <w:rPr>
          <w:rFonts w:ascii="Times New Roman" w:eastAsia="Times New Roman" w:hAnsi="Times New Roman" w:cs="Times New Roman"/>
          <w:sz w:val="28"/>
          <w:szCs w:val="28"/>
        </w:rPr>
        <w:t>Регіональних планів формування мережі закладів професійної (професійно-технічної) та фахової передвищої освіти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C2DAD" w14:textId="5E463A9C" w:rsidR="00DA30DE" w:rsidRPr="00BE1C30" w:rsidRDefault="00EC3F31" w:rsidP="00F5453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30">
        <w:rPr>
          <w:rFonts w:ascii="Times New Roman" w:eastAsia="Times New Roman" w:hAnsi="Times New Roman" w:cs="Times New Roman"/>
          <w:sz w:val="28"/>
          <w:szCs w:val="28"/>
        </w:rPr>
        <w:t xml:space="preserve">3.3 Рішення про створення, реорганізацію, ліквідацію, зміну типу закладу професійної (професійно-технічної) або фахової передвищої освіти приймаються засновником або уповноваженим ним органом відповідно до плану реорганізації закладів професійної (професійно-технічної) та фахової передвищої 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>освіти на 202</w:t>
      </w:r>
      <w:r w:rsidR="004378B0" w:rsidRPr="009C179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378B0" w:rsidRPr="009C17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794"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 w:rsidRPr="00BE1C3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A30DE" w:rsidRPr="00BE1C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ED07" w14:textId="77777777" w:rsidR="00CB3F7B" w:rsidRDefault="00CB3F7B" w:rsidP="00434FD3">
      <w:pPr>
        <w:spacing w:after="0" w:line="240" w:lineRule="auto"/>
      </w:pPr>
      <w:r>
        <w:separator/>
      </w:r>
    </w:p>
  </w:endnote>
  <w:endnote w:type="continuationSeparator" w:id="0">
    <w:p w14:paraId="5CD9ABFA" w14:textId="77777777" w:rsidR="00CB3F7B" w:rsidRDefault="00CB3F7B" w:rsidP="0043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491848"/>
      <w:docPartObj>
        <w:docPartGallery w:val="Page Numbers (Bottom of Page)"/>
        <w:docPartUnique/>
      </w:docPartObj>
    </w:sdtPr>
    <w:sdtEndPr/>
    <w:sdtContent>
      <w:p w14:paraId="440124F8" w14:textId="324B1CD9" w:rsidR="00BE1C30" w:rsidRDefault="00BE1C30">
        <w:pPr>
          <w:pStyle w:val="ae"/>
          <w:jc w:val="right"/>
        </w:pPr>
        <w:r w:rsidRPr="00434FD3">
          <w:rPr>
            <w:rFonts w:ascii="Times New Roman" w:hAnsi="Times New Roman" w:cs="Times New Roman"/>
            <w:sz w:val="24"/>
          </w:rPr>
          <w:fldChar w:fldCharType="begin"/>
        </w:r>
        <w:r w:rsidRPr="00434FD3">
          <w:rPr>
            <w:rFonts w:ascii="Times New Roman" w:hAnsi="Times New Roman" w:cs="Times New Roman"/>
            <w:sz w:val="24"/>
          </w:rPr>
          <w:instrText>PAGE   \* MERGEFORMAT</w:instrText>
        </w:r>
        <w:r w:rsidRPr="00434FD3">
          <w:rPr>
            <w:rFonts w:ascii="Times New Roman" w:hAnsi="Times New Roman" w:cs="Times New Roman"/>
            <w:sz w:val="24"/>
          </w:rPr>
          <w:fldChar w:fldCharType="separate"/>
        </w:r>
        <w:r w:rsidR="00CB33A8" w:rsidRPr="00CB33A8">
          <w:rPr>
            <w:rFonts w:ascii="Times New Roman" w:hAnsi="Times New Roman" w:cs="Times New Roman"/>
            <w:noProof/>
            <w:sz w:val="24"/>
            <w:lang w:val="ru-RU"/>
          </w:rPr>
          <w:t>6</w:t>
        </w:r>
        <w:r w:rsidRPr="00434FD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8AC1E5F" w14:textId="77777777" w:rsidR="00BE1C30" w:rsidRDefault="00BE1C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17BC" w14:textId="77777777" w:rsidR="00CB3F7B" w:rsidRDefault="00CB3F7B" w:rsidP="00434FD3">
      <w:pPr>
        <w:spacing w:after="0" w:line="240" w:lineRule="auto"/>
      </w:pPr>
      <w:r>
        <w:separator/>
      </w:r>
    </w:p>
  </w:footnote>
  <w:footnote w:type="continuationSeparator" w:id="0">
    <w:p w14:paraId="5B34683B" w14:textId="77777777" w:rsidR="00CB3F7B" w:rsidRDefault="00CB3F7B" w:rsidP="00434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B9"/>
    <w:rsid w:val="00044165"/>
    <w:rsid w:val="00064B8C"/>
    <w:rsid w:val="00066429"/>
    <w:rsid w:val="0007290E"/>
    <w:rsid w:val="000A0B7F"/>
    <w:rsid w:val="000B2148"/>
    <w:rsid w:val="000E4DE4"/>
    <w:rsid w:val="001001F6"/>
    <w:rsid w:val="0010279C"/>
    <w:rsid w:val="00105BE1"/>
    <w:rsid w:val="00105BFC"/>
    <w:rsid w:val="00127DBA"/>
    <w:rsid w:val="00130D58"/>
    <w:rsid w:val="0014636D"/>
    <w:rsid w:val="00170580"/>
    <w:rsid w:val="00171EA4"/>
    <w:rsid w:val="00190664"/>
    <w:rsid w:val="001B0B81"/>
    <w:rsid w:val="001B18DC"/>
    <w:rsid w:val="001B3FF4"/>
    <w:rsid w:val="001C33EE"/>
    <w:rsid w:val="001F55BC"/>
    <w:rsid w:val="001F5C3D"/>
    <w:rsid w:val="002116CB"/>
    <w:rsid w:val="002327AE"/>
    <w:rsid w:val="002872B8"/>
    <w:rsid w:val="002B4B42"/>
    <w:rsid w:val="002C2058"/>
    <w:rsid w:val="003176DC"/>
    <w:rsid w:val="00334667"/>
    <w:rsid w:val="0038790F"/>
    <w:rsid w:val="003B45B0"/>
    <w:rsid w:val="003B5E23"/>
    <w:rsid w:val="003B74BA"/>
    <w:rsid w:val="003D7EDA"/>
    <w:rsid w:val="00430A81"/>
    <w:rsid w:val="00434FD3"/>
    <w:rsid w:val="004378B0"/>
    <w:rsid w:val="00440B6E"/>
    <w:rsid w:val="00483DD8"/>
    <w:rsid w:val="004856B7"/>
    <w:rsid w:val="004A1BC3"/>
    <w:rsid w:val="004E4A05"/>
    <w:rsid w:val="004E4ABE"/>
    <w:rsid w:val="004F0AA1"/>
    <w:rsid w:val="00514D16"/>
    <w:rsid w:val="00593FB7"/>
    <w:rsid w:val="005F0603"/>
    <w:rsid w:val="0061132E"/>
    <w:rsid w:val="00665439"/>
    <w:rsid w:val="00681F3A"/>
    <w:rsid w:val="00690651"/>
    <w:rsid w:val="006B7E1C"/>
    <w:rsid w:val="006C475A"/>
    <w:rsid w:val="006C66BD"/>
    <w:rsid w:val="006D6CBE"/>
    <w:rsid w:val="006D7A2C"/>
    <w:rsid w:val="006F337D"/>
    <w:rsid w:val="007216EA"/>
    <w:rsid w:val="0074153C"/>
    <w:rsid w:val="00761EF1"/>
    <w:rsid w:val="007D1F76"/>
    <w:rsid w:val="007D42F4"/>
    <w:rsid w:val="007F15B9"/>
    <w:rsid w:val="00806F38"/>
    <w:rsid w:val="00820C13"/>
    <w:rsid w:val="00842DAC"/>
    <w:rsid w:val="00850863"/>
    <w:rsid w:val="00851D87"/>
    <w:rsid w:val="00854CED"/>
    <w:rsid w:val="008B4BDC"/>
    <w:rsid w:val="008B523C"/>
    <w:rsid w:val="008D1C6D"/>
    <w:rsid w:val="008E55EC"/>
    <w:rsid w:val="00907713"/>
    <w:rsid w:val="00913788"/>
    <w:rsid w:val="00945DF1"/>
    <w:rsid w:val="00952933"/>
    <w:rsid w:val="00954084"/>
    <w:rsid w:val="00961312"/>
    <w:rsid w:val="00970C10"/>
    <w:rsid w:val="009754E6"/>
    <w:rsid w:val="009C1794"/>
    <w:rsid w:val="009D31B6"/>
    <w:rsid w:val="009D4AA7"/>
    <w:rsid w:val="00A07BBE"/>
    <w:rsid w:val="00A428C4"/>
    <w:rsid w:val="00A506E7"/>
    <w:rsid w:val="00A55450"/>
    <w:rsid w:val="00A628DF"/>
    <w:rsid w:val="00A70955"/>
    <w:rsid w:val="00A7266A"/>
    <w:rsid w:val="00A73A6D"/>
    <w:rsid w:val="00A93AFB"/>
    <w:rsid w:val="00AE0A8B"/>
    <w:rsid w:val="00B004A0"/>
    <w:rsid w:val="00B176C5"/>
    <w:rsid w:val="00B628D5"/>
    <w:rsid w:val="00BA08A8"/>
    <w:rsid w:val="00BC058F"/>
    <w:rsid w:val="00BC7293"/>
    <w:rsid w:val="00BE063C"/>
    <w:rsid w:val="00BE0B8C"/>
    <w:rsid w:val="00BE1C30"/>
    <w:rsid w:val="00C43249"/>
    <w:rsid w:val="00C604F5"/>
    <w:rsid w:val="00CA5B98"/>
    <w:rsid w:val="00CB33A8"/>
    <w:rsid w:val="00CB3F7B"/>
    <w:rsid w:val="00CD0828"/>
    <w:rsid w:val="00CE121A"/>
    <w:rsid w:val="00CE602E"/>
    <w:rsid w:val="00D01371"/>
    <w:rsid w:val="00D04C73"/>
    <w:rsid w:val="00D145FF"/>
    <w:rsid w:val="00D3779A"/>
    <w:rsid w:val="00D40222"/>
    <w:rsid w:val="00D53F5F"/>
    <w:rsid w:val="00D55952"/>
    <w:rsid w:val="00D6552C"/>
    <w:rsid w:val="00D86662"/>
    <w:rsid w:val="00D90F84"/>
    <w:rsid w:val="00D95A41"/>
    <w:rsid w:val="00DA30DE"/>
    <w:rsid w:val="00DF685A"/>
    <w:rsid w:val="00DF71B4"/>
    <w:rsid w:val="00E640AF"/>
    <w:rsid w:val="00E94860"/>
    <w:rsid w:val="00EC3F31"/>
    <w:rsid w:val="00ED4197"/>
    <w:rsid w:val="00EE17A9"/>
    <w:rsid w:val="00EF63DE"/>
    <w:rsid w:val="00F140C2"/>
    <w:rsid w:val="00F23A9D"/>
    <w:rsid w:val="00F50ABA"/>
    <w:rsid w:val="00F54530"/>
    <w:rsid w:val="00F54828"/>
    <w:rsid w:val="00F5505A"/>
    <w:rsid w:val="00F61832"/>
    <w:rsid w:val="00FC3700"/>
    <w:rsid w:val="00FD4C40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D5F2"/>
  <w15:chartTrackingRefBased/>
  <w15:docId w15:val="{49F708B0-06B3-4115-BBF4-CDA5DCF5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A4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4BDC"/>
    <w:rPr>
      <w:rFonts w:ascii="Segoe UI" w:eastAsia="Calibri" w:hAnsi="Segoe UI" w:cs="Segoe UI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D377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779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3779A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79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3779A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character" w:styleId="ab">
    <w:name w:val="Emphasis"/>
    <w:basedOn w:val="a0"/>
    <w:uiPriority w:val="20"/>
    <w:qFormat/>
    <w:rsid w:val="005F0603"/>
    <w:rPr>
      <w:i/>
      <w:iCs/>
    </w:rPr>
  </w:style>
  <w:style w:type="paragraph" w:styleId="ac">
    <w:name w:val="header"/>
    <w:basedOn w:val="a"/>
    <w:link w:val="ad"/>
    <w:uiPriority w:val="99"/>
    <w:unhideWhenUsed/>
    <w:rsid w:val="0043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34FD3"/>
    <w:rPr>
      <w:rFonts w:ascii="Calibri" w:eastAsia="Calibri" w:hAnsi="Calibri" w:cs="Calibri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43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34FD3"/>
    <w:rPr>
      <w:rFonts w:ascii="Calibri" w:eastAsia="Calibri" w:hAnsi="Calibri" w:cs="Calibri"/>
      <w:lang w:val="uk-UA" w:eastAsia="ru-RU"/>
    </w:rPr>
  </w:style>
  <w:style w:type="table" w:styleId="af0">
    <w:name w:val="Table Grid"/>
    <w:basedOn w:val="a1"/>
    <w:uiPriority w:val="39"/>
    <w:rsid w:val="00DA3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A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9879</Words>
  <Characters>5632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Шматова Валерія Сергіївна</cp:lastModifiedBy>
  <cp:revision>8</cp:revision>
  <cp:lastPrinted>2024-05-09T14:03:00Z</cp:lastPrinted>
  <dcterms:created xsi:type="dcterms:W3CDTF">2024-12-19T10:14:00Z</dcterms:created>
  <dcterms:modified xsi:type="dcterms:W3CDTF">2024-12-19T14:53:00Z</dcterms:modified>
</cp:coreProperties>
</file>