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EB79" w14:textId="13057927" w:rsidR="00F6220E" w:rsidRDefault="009210CD" w:rsidP="00F6220E">
      <w:pPr>
        <w:widowControl w:val="0"/>
        <w:contextualSpacing/>
        <w:jc w:val="center"/>
        <w:rPr>
          <w:b/>
          <w:lang w:val="uk-UA"/>
        </w:rPr>
      </w:pPr>
      <w:r w:rsidRPr="007C022B">
        <w:rPr>
          <w:b/>
          <w:lang w:val="uk-UA"/>
        </w:rPr>
        <w:t>ПОРІВНЯЛЬНА ТАБЛИЦЯ</w:t>
      </w:r>
      <w:r w:rsidR="000D72FB">
        <w:rPr>
          <w:b/>
          <w:lang w:val="uk-UA"/>
        </w:rPr>
        <w:t xml:space="preserve"> </w:t>
      </w:r>
      <w:r w:rsidR="00164AF9" w:rsidRPr="007C022B">
        <w:rPr>
          <w:b/>
          <w:lang w:val="uk-UA"/>
        </w:rPr>
        <w:t>до</w:t>
      </w:r>
      <w:bookmarkStart w:id="0" w:name="_Hlk177551556"/>
      <w:r w:rsidR="00F6220E">
        <w:rPr>
          <w:b/>
          <w:lang w:val="uk-UA"/>
        </w:rPr>
        <w:t xml:space="preserve"> </w:t>
      </w:r>
      <w:proofErr w:type="spellStart"/>
      <w:r w:rsidR="00F6220E">
        <w:rPr>
          <w:b/>
          <w:lang w:val="uk-UA"/>
        </w:rPr>
        <w:t>проєкту</w:t>
      </w:r>
      <w:proofErr w:type="spellEnd"/>
      <w:r w:rsidR="00F6220E">
        <w:rPr>
          <w:b/>
          <w:lang w:val="uk-UA"/>
        </w:rPr>
        <w:t xml:space="preserve"> постанови </w:t>
      </w:r>
      <w:r w:rsidR="00C95A61">
        <w:rPr>
          <w:b/>
          <w:lang w:val="uk-UA"/>
        </w:rPr>
        <w:t>Кабінету Міністрів України</w:t>
      </w:r>
      <w:r w:rsidR="00C95A61" w:rsidRPr="00F6220E">
        <w:rPr>
          <w:b/>
          <w:lang w:val="uk-UA"/>
        </w:rPr>
        <w:t xml:space="preserve"> </w:t>
      </w:r>
      <w:r w:rsidR="00C95A61">
        <w:rPr>
          <w:b/>
          <w:lang w:val="uk-UA"/>
        </w:rPr>
        <w:t>«</w:t>
      </w:r>
      <w:r w:rsidR="00C95A61" w:rsidRPr="00F6220E">
        <w:rPr>
          <w:b/>
          <w:lang w:val="uk-UA"/>
        </w:rPr>
        <w:t>Про</w:t>
      </w:r>
      <w:r w:rsidR="00F6220E" w:rsidRPr="00F6220E">
        <w:rPr>
          <w:b/>
          <w:lang w:val="uk-UA"/>
        </w:rPr>
        <w:t xml:space="preserve"> внесення змін у додаток до </w:t>
      </w:r>
    </w:p>
    <w:p w14:paraId="1F782DE9" w14:textId="2378811C" w:rsidR="00AD0346" w:rsidRDefault="00F6220E" w:rsidP="00F6220E">
      <w:pPr>
        <w:widowControl w:val="0"/>
        <w:contextualSpacing/>
        <w:jc w:val="center"/>
        <w:rPr>
          <w:b/>
          <w:lang w:val="uk-UA"/>
        </w:rPr>
      </w:pPr>
      <w:r w:rsidRPr="00F6220E">
        <w:rPr>
          <w:b/>
          <w:lang w:val="uk-UA"/>
        </w:rPr>
        <w:t>постанови Кабінету Міністрів України від 23 листопада 2011 р. № 1341</w:t>
      </w:r>
      <w:r w:rsidR="00C95A61">
        <w:rPr>
          <w:b/>
          <w:lang w:val="uk-UA"/>
        </w:rPr>
        <w:t>»</w:t>
      </w:r>
    </w:p>
    <w:p w14:paraId="61BE36E3" w14:textId="77777777" w:rsidR="00F6220E" w:rsidRPr="007C022B" w:rsidRDefault="00F6220E" w:rsidP="00F6220E">
      <w:pPr>
        <w:widowControl w:val="0"/>
        <w:contextualSpacing/>
        <w:jc w:val="center"/>
        <w:rPr>
          <w:b/>
          <w:lang w:val="uk-UA"/>
        </w:rPr>
      </w:pPr>
    </w:p>
    <w:tbl>
      <w:tblPr>
        <w:tblStyle w:val="a5"/>
        <w:tblpPr w:leftFromText="180" w:rightFromText="180" w:vertAnchor="text" w:horzAnchor="margin" w:tblpX="-435" w:tblpY="107"/>
        <w:tblOverlap w:val="never"/>
        <w:tblW w:w="13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6804"/>
      </w:tblGrid>
      <w:tr w:rsidR="00B6583A" w:rsidRPr="007C022B" w14:paraId="1DDC44C2" w14:textId="77777777" w:rsidTr="00B6583A">
        <w:trPr>
          <w:trHeight w:val="149"/>
        </w:trPr>
        <w:tc>
          <w:tcPr>
            <w:tcW w:w="6516" w:type="dxa"/>
          </w:tcPr>
          <w:bookmarkEnd w:id="0"/>
          <w:p w14:paraId="1AAD2998" w14:textId="77777777" w:rsidR="00AD0346" w:rsidRPr="007C022B" w:rsidRDefault="00AD0346" w:rsidP="00AD0346">
            <w:pPr>
              <w:contextualSpacing/>
              <w:jc w:val="both"/>
              <w:rPr>
                <w:b/>
                <w:lang w:val="uk-UA"/>
              </w:rPr>
            </w:pPr>
            <w:r w:rsidRPr="007C022B">
              <w:rPr>
                <w:b/>
                <w:lang w:val="uk-UA"/>
              </w:rPr>
              <w:t>Чинна редакція</w:t>
            </w:r>
            <w:r w:rsidRPr="007C022B">
              <w:rPr>
                <w:b/>
                <w:lang w:val="uk-UA"/>
              </w:rPr>
              <w:tab/>
            </w:r>
          </w:p>
        </w:tc>
        <w:tc>
          <w:tcPr>
            <w:tcW w:w="6804" w:type="dxa"/>
          </w:tcPr>
          <w:p w14:paraId="00217042" w14:textId="77777777" w:rsidR="00AD0346" w:rsidRPr="007C022B" w:rsidRDefault="00AD0346" w:rsidP="00AD0346">
            <w:pPr>
              <w:contextualSpacing/>
              <w:jc w:val="both"/>
              <w:rPr>
                <w:b/>
                <w:lang w:val="uk-UA"/>
              </w:rPr>
            </w:pPr>
            <w:r w:rsidRPr="007C022B">
              <w:rPr>
                <w:b/>
                <w:lang w:val="uk-UA"/>
              </w:rPr>
              <w:t>Редакція зі змінами, що пропонуються</w:t>
            </w:r>
          </w:p>
        </w:tc>
      </w:tr>
      <w:tr w:rsidR="00B6583A" w:rsidRPr="007C022B" w14:paraId="4D57A866" w14:textId="77777777" w:rsidTr="00B6583A">
        <w:trPr>
          <w:trHeight w:val="149"/>
        </w:trPr>
        <w:tc>
          <w:tcPr>
            <w:tcW w:w="6516" w:type="dxa"/>
          </w:tcPr>
          <w:p w14:paraId="26468379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lang w:val="uk-UA"/>
              </w:rPr>
            </w:pPr>
            <w:r w:rsidRPr="007C022B">
              <w:rPr>
                <w:lang w:val="uk-UA"/>
              </w:rPr>
              <w:t xml:space="preserve">Додаток </w:t>
            </w:r>
          </w:p>
          <w:p w14:paraId="7A2E7545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lang w:val="uk-UA"/>
              </w:rPr>
            </w:pPr>
            <w:r w:rsidRPr="007C022B">
              <w:rPr>
                <w:lang w:val="uk-UA"/>
              </w:rPr>
              <w:t xml:space="preserve">до постанови Кабінету Міністрів України </w:t>
            </w:r>
          </w:p>
          <w:p w14:paraId="6355E0BC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lang w:val="uk-UA"/>
              </w:rPr>
            </w:pPr>
            <w:r w:rsidRPr="007C022B">
              <w:rPr>
                <w:lang w:val="uk-UA"/>
              </w:rPr>
              <w:t>від 23 листопада 2011 р. № 1341</w:t>
            </w:r>
          </w:p>
          <w:p w14:paraId="709B721F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lang w:val="uk-UA"/>
              </w:rPr>
            </w:pPr>
            <w:bookmarkStart w:id="1" w:name="_Hlk177551622"/>
            <w:r w:rsidRPr="007C022B">
              <w:rPr>
                <w:color w:val="000000"/>
                <w:shd w:val="clear" w:color="auto" w:fill="FFFFFF"/>
                <w:lang w:val="uk-UA"/>
              </w:rPr>
              <w:t>(в редакції постанови Кабінету Міністрів України</w:t>
            </w:r>
            <w:r w:rsidRPr="007C022B">
              <w:rPr>
                <w:color w:val="000000"/>
                <w:lang w:val="uk-UA"/>
              </w:rPr>
              <w:br/>
            </w:r>
            <w:r w:rsidRPr="007C022B">
              <w:rPr>
                <w:shd w:val="clear" w:color="auto" w:fill="FFFFFF"/>
                <w:lang w:val="uk-UA"/>
              </w:rPr>
              <w:t>від 25 червня 2020 р. № 519</w:t>
            </w:r>
            <w:r w:rsidRPr="007C022B">
              <w:rPr>
                <w:color w:val="000000"/>
                <w:shd w:val="clear" w:color="auto" w:fill="FFFFFF"/>
                <w:lang w:val="uk-UA"/>
              </w:rPr>
              <w:t>)</w:t>
            </w:r>
          </w:p>
          <w:bookmarkEnd w:id="1"/>
          <w:p w14:paraId="167609B3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highlight w:val="white"/>
                <w:lang w:val="uk-UA"/>
              </w:rPr>
            </w:pPr>
          </w:p>
        </w:tc>
        <w:tc>
          <w:tcPr>
            <w:tcW w:w="6804" w:type="dxa"/>
          </w:tcPr>
          <w:p w14:paraId="495EC403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lang w:val="uk-UA"/>
              </w:rPr>
            </w:pPr>
            <w:r w:rsidRPr="007C022B">
              <w:rPr>
                <w:lang w:val="uk-UA"/>
              </w:rPr>
              <w:t xml:space="preserve">Додаток </w:t>
            </w:r>
          </w:p>
          <w:p w14:paraId="53927278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lang w:val="uk-UA"/>
              </w:rPr>
            </w:pPr>
            <w:r w:rsidRPr="007C022B">
              <w:rPr>
                <w:lang w:val="uk-UA"/>
              </w:rPr>
              <w:t xml:space="preserve">до постанови Кабінету Міністрів України </w:t>
            </w:r>
          </w:p>
          <w:p w14:paraId="343E3518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lang w:val="uk-UA"/>
              </w:rPr>
            </w:pPr>
            <w:r w:rsidRPr="007C022B">
              <w:rPr>
                <w:lang w:val="uk-UA"/>
              </w:rPr>
              <w:t>від 23 листопада 2011 р. № 1341</w:t>
            </w:r>
          </w:p>
          <w:p w14:paraId="5187A8D8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b/>
                <w:lang w:val="uk-UA"/>
              </w:rPr>
            </w:pPr>
            <w:r w:rsidRPr="007C022B">
              <w:rPr>
                <w:b/>
                <w:lang w:val="uk-UA"/>
              </w:rPr>
              <w:t xml:space="preserve">(в редакції постанови Кабінету Міністрів </w:t>
            </w:r>
          </w:p>
          <w:p w14:paraId="5C65391D" w14:textId="77777777" w:rsidR="00AD0346" w:rsidRPr="007C022B" w:rsidRDefault="00AD0346" w:rsidP="00AD0346">
            <w:pPr>
              <w:widowControl w:val="0"/>
              <w:contextualSpacing/>
              <w:jc w:val="right"/>
              <w:rPr>
                <w:b/>
                <w:lang w:val="uk-UA"/>
              </w:rPr>
            </w:pPr>
            <w:r w:rsidRPr="007C022B">
              <w:rPr>
                <w:b/>
                <w:lang w:val="uk-UA"/>
              </w:rPr>
              <w:t>України від _____________р. №______)</w:t>
            </w:r>
          </w:p>
          <w:p w14:paraId="324CF4CA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lang w:val="uk-UA"/>
              </w:rPr>
            </w:pPr>
          </w:p>
        </w:tc>
      </w:tr>
      <w:tr w:rsidR="00B6583A" w:rsidRPr="007C022B" w14:paraId="60AB6B1F" w14:textId="77777777" w:rsidTr="00B6583A">
        <w:trPr>
          <w:trHeight w:val="149"/>
        </w:trPr>
        <w:tc>
          <w:tcPr>
            <w:tcW w:w="6516" w:type="dxa"/>
          </w:tcPr>
          <w:p w14:paraId="36E421AE" w14:textId="77777777" w:rsidR="00AD0346" w:rsidRPr="007C022B" w:rsidRDefault="00AD0346" w:rsidP="00AD0346">
            <w:pPr>
              <w:widowControl w:val="0"/>
              <w:contextualSpacing/>
              <w:jc w:val="center"/>
              <w:rPr>
                <w:color w:val="000000"/>
                <w:highlight w:val="white"/>
                <w:lang w:val="uk-UA"/>
              </w:rPr>
            </w:pPr>
            <w:r w:rsidRPr="007C022B">
              <w:rPr>
                <w:lang w:val="uk-UA"/>
              </w:rPr>
              <w:t>НАЦІОНАЛЬНА РАМКА КВАЛІФІКАЦІЙ</w:t>
            </w:r>
          </w:p>
        </w:tc>
        <w:tc>
          <w:tcPr>
            <w:tcW w:w="6804" w:type="dxa"/>
          </w:tcPr>
          <w:p w14:paraId="68ECD4C5" w14:textId="77777777" w:rsidR="00AD0346" w:rsidRPr="007C022B" w:rsidRDefault="00AD0346" w:rsidP="00AD0346">
            <w:pPr>
              <w:widowControl w:val="0"/>
              <w:contextualSpacing/>
              <w:jc w:val="center"/>
              <w:rPr>
                <w:color w:val="000000"/>
                <w:highlight w:val="white"/>
                <w:lang w:val="uk-UA"/>
              </w:rPr>
            </w:pPr>
            <w:r w:rsidRPr="007C022B">
              <w:rPr>
                <w:lang w:val="uk-UA"/>
              </w:rPr>
              <w:t>НАЦІОНАЛЬНА РАМКА КВАЛІФІКАЦІЙ</w:t>
            </w:r>
          </w:p>
        </w:tc>
      </w:tr>
      <w:tr w:rsidR="00B6583A" w:rsidRPr="007C022B" w14:paraId="419BB184" w14:textId="77777777" w:rsidTr="00B6583A">
        <w:trPr>
          <w:trHeight w:val="149"/>
        </w:trPr>
        <w:tc>
          <w:tcPr>
            <w:tcW w:w="6516" w:type="dxa"/>
          </w:tcPr>
          <w:p w14:paraId="2B397122" w14:textId="77777777" w:rsidR="00AD0346" w:rsidRPr="007C022B" w:rsidRDefault="00AD0346" w:rsidP="00AD0346">
            <w:pPr>
              <w:widowControl w:val="0"/>
              <w:contextualSpacing/>
              <w:jc w:val="center"/>
              <w:rPr>
                <w:b/>
                <w:lang w:val="uk-UA"/>
              </w:rPr>
            </w:pPr>
            <w:r w:rsidRPr="007C022B">
              <w:rPr>
                <w:lang w:val="uk-UA"/>
              </w:rPr>
              <w:t>Загальна частина</w:t>
            </w:r>
          </w:p>
        </w:tc>
        <w:tc>
          <w:tcPr>
            <w:tcW w:w="6804" w:type="dxa"/>
          </w:tcPr>
          <w:p w14:paraId="55B5FC44" w14:textId="77777777" w:rsidR="00AD0346" w:rsidRPr="007C022B" w:rsidRDefault="00AD0346" w:rsidP="00AD0346">
            <w:pPr>
              <w:widowControl w:val="0"/>
              <w:contextualSpacing/>
              <w:jc w:val="center"/>
              <w:rPr>
                <w:b/>
                <w:lang w:val="uk-UA"/>
              </w:rPr>
            </w:pPr>
            <w:r w:rsidRPr="007C022B">
              <w:rPr>
                <w:lang w:val="uk-UA"/>
              </w:rPr>
              <w:t>Загальна частина</w:t>
            </w:r>
          </w:p>
        </w:tc>
      </w:tr>
      <w:tr w:rsidR="00B6583A" w:rsidRPr="007C022B" w14:paraId="67B58D4F" w14:textId="77777777" w:rsidTr="00B6583A">
        <w:trPr>
          <w:trHeight w:val="149"/>
        </w:trPr>
        <w:tc>
          <w:tcPr>
            <w:tcW w:w="6516" w:type="dxa"/>
          </w:tcPr>
          <w:p w14:paraId="0CF5F59D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1. Національна рамка кваліфікацій - системний і структурований за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компетентностями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 xml:space="preserve"> опис кваліфікаційних рівнів.</w:t>
            </w:r>
          </w:p>
        </w:tc>
        <w:tc>
          <w:tcPr>
            <w:tcW w:w="6804" w:type="dxa"/>
          </w:tcPr>
          <w:p w14:paraId="52DC47A6" w14:textId="66F1A4B6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1. Національна рамка кваліфікацій - системний і структурований за </w:t>
            </w:r>
            <w:r w:rsidR="00126F3F" w:rsidRPr="007C022B">
              <w:rPr>
                <w:b/>
                <w:bCs/>
                <w:color w:val="000000"/>
                <w:shd w:val="clear" w:color="auto" w:fill="FFFFFF"/>
                <w:lang w:val="uk-UA"/>
              </w:rPr>
              <w:t>результатами навчання</w:t>
            </w:r>
            <w:r w:rsidR="00126F3F" w:rsidRPr="007C022B">
              <w:rPr>
                <w:b/>
                <w:bCs/>
                <w:i/>
                <w:iCs/>
                <w:color w:val="000000"/>
                <w:shd w:val="clear" w:color="auto" w:fill="FFFFFF"/>
                <w:lang w:val="uk-UA"/>
              </w:rPr>
              <w:t xml:space="preserve"> </w:t>
            </w:r>
            <w:r w:rsidRPr="007C022B">
              <w:rPr>
                <w:color w:val="000000"/>
                <w:shd w:val="clear" w:color="auto" w:fill="FFFFFF"/>
                <w:lang w:val="uk-UA"/>
              </w:rPr>
              <w:t>опис кваліфікаційних рівнів.</w:t>
            </w:r>
          </w:p>
        </w:tc>
      </w:tr>
      <w:tr w:rsidR="004E0E5A" w:rsidRPr="007F2630" w14:paraId="0DBAE36D" w14:textId="77777777" w:rsidTr="00B6583A">
        <w:trPr>
          <w:trHeight w:val="149"/>
        </w:trPr>
        <w:tc>
          <w:tcPr>
            <w:tcW w:w="6516" w:type="dxa"/>
          </w:tcPr>
          <w:p w14:paraId="3AFB0004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Національна рамка кваліфікацій призначена для використання  органами державної влади та органами місцевого самоврядування, установами та організаціями, закладами освіти, роботодавцями, іншими юридичними та фізичними особами з метою розроблення, ідентифікації, співвіднесення, визнання, планування і розвитку кваліфікацій.</w:t>
            </w:r>
          </w:p>
        </w:tc>
        <w:tc>
          <w:tcPr>
            <w:tcW w:w="6804" w:type="dxa"/>
          </w:tcPr>
          <w:p w14:paraId="4A3C7E02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Національна рамка кваліфікацій призначена для використання  органами державної влади та органами місцевого самоврядування, установами та організаціями, закладами освіти, роботодавцями, іншими юридичними та фізичними особами з метою розроблення, ідентифікації, співвіднесення, визнання, планування і розвитку кваліфікацій.</w:t>
            </w:r>
          </w:p>
        </w:tc>
      </w:tr>
      <w:tr w:rsidR="004E0E5A" w:rsidRPr="007F2630" w14:paraId="58C9E9B2" w14:textId="77777777" w:rsidTr="00112FDC">
        <w:trPr>
          <w:trHeight w:val="990"/>
        </w:trPr>
        <w:tc>
          <w:tcPr>
            <w:tcW w:w="6516" w:type="dxa"/>
          </w:tcPr>
          <w:p w14:paraId="55B39820" w14:textId="77777777" w:rsidR="00AD0346" w:rsidRPr="007C022B" w:rsidRDefault="00AD0346" w:rsidP="00AD0346">
            <w:pPr>
              <w:ind w:left="24" w:firstLine="424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2. Національна рамка кваліфікацій ґрунтується на європейських і національних стандартах та принципах забезпечення якості освіти, враховує вимоги ринку праці до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 xml:space="preserve"> працівників та запроваджується з метою гармонізації норм законодавства у сферах освіти і соціально-трудових відносин, сприяння національному та міжнародному визнанню кваліфікацій, здобутих в Україні, налагодження ефективної взаємодії сфери освіти і ринку праці.</w:t>
            </w:r>
          </w:p>
        </w:tc>
        <w:tc>
          <w:tcPr>
            <w:tcW w:w="6804" w:type="dxa"/>
          </w:tcPr>
          <w:p w14:paraId="65DFE10F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2. Національна рамка кваліфікацій ґрунтується на європейських і національних стандартах та принципах забезпечення якості освіти, враховує вимоги ринку праці до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 xml:space="preserve"> працівників та запроваджується з метою гармонізації норм законодавства у сферах освіти і соціально-трудових відносин, сприяння національному та міжнародному визнанню кваліфікацій, здобутих в Україні, налагодження ефективної взаємодії сфери освіти і ринку праці.</w:t>
            </w:r>
          </w:p>
        </w:tc>
      </w:tr>
      <w:tr w:rsidR="00B6583A" w:rsidRPr="007C022B" w14:paraId="2EBB5F90" w14:textId="77777777" w:rsidTr="00B6583A">
        <w:trPr>
          <w:trHeight w:val="576"/>
        </w:trPr>
        <w:tc>
          <w:tcPr>
            <w:tcW w:w="6516" w:type="dxa"/>
          </w:tcPr>
          <w:p w14:paraId="5517250F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3. Для цілей застосування Національної рамки кваліфікацій терміни вживаються у такому значенні:</w:t>
            </w:r>
          </w:p>
        </w:tc>
        <w:tc>
          <w:tcPr>
            <w:tcW w:w="6804" w:type="dxa"/>
          </w:tcPr>
          <w:p w14:paraId="73F590A8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3. Для цілей застосування Національної рамки кваліфікацій терміни вживаються у такому значенні:</w:t>
            </w:r>
          </w:p>
        </w:tc>
      </w:tr>
      <w:tr w:rsidR="00B6583A" w:rsidRPr="007C022B" w14:paraId="165BE75F" w14:textId="77777777" w:rsidTr="00B6583A">
        <w:trPr>
          <w:trHeight w:val="592"/>
        </w:trPr>
        <w:tc>
          <w:tcPr>
            <w:tcW w:w="6516" w:type="dxa"/>
          </w:tcPr>
          <w:p w14:paraId="654DEBC1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відповідальність і автономія - здатність особи застосовувати знання та навички самостійно та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відповідально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>;</w:t>
            </w:r>
          </w:p>
        </w:tc>
        <w:tc>
          <w:tcPr>
            <w:tcW w:w="6804" w:type="dxa"/>
          </w:tcPr>
          <w:p w14:paraId="795A4026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відповідальність і автономія - здатність особи застосовувати знання та навички самостійно та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відповідально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>;</w:t>
            </w:r>
          </w:p>
        </w:tc>
      </w:tr>
      <w:tr w:rsidR="004E0E5A" w:rsidRPr="007F2630" w14:paraId="44A272BD" w14:textId="77777777" w:rsidTr="00B6583A">
        <w:trPr>
          <w:trHeight w:val="1184"/>
        </w:trPr>
        <w:tc>
          <w:tcPr>
            <w:tcW w:w="6516" w:type="dxa"/>
          </w:tcPr>
          <w:p w14:paraId="5EC7DAD6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знання - осмислена та засвоєна суб’єктом інформація, що є основою його усвідомленої, цілеспрямованої діяльності. Знання поділяються на емпіричні (знання фактів та уявлення) і теоретичні (концептуальні, методологічні);</w:t>
            </w:r>
          </w:p>
        </w:tc>
        <w:tc>
          <w:tcPr>
            <w:tcW w:w="6804" w:type="dxa"/>
          </w:tcPr>
          <w:p w14:paraId="34232DD7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знання - осмислена та засвоєна суб’єктом інформація, що є основою його усвідомленої, цілеспрямованої діяльності. Знання поділяються на емпіричні (знання фактів та уявлення) і теоретичні (концептуальні, методологічні);</w:t>
            </w:r>
          </w:p>
        </w:tc>
      </w:tr>
      <w:tr w:rsidR="004E0E5A" w:rsidRPr="007F2630" w14:paraId="655CF76A" w14:textId="77777777" w:rsidTr="00B6583A">
        <w:trPr>
          <w:trHeight w:val="872"/>
        </w:trPr>
        <w:tc>
          <w:tcPr>
            <w:tcW w:w="6516" w:type="dxa"/>
          </w:tcPr>
          <w:p w14:paraId="27188A23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рівень - структурна одиниця Національної рамки кваліфікацій, що визначається певною сукупністю результатів навчання, які є характерними для кваліфікацій відповідного рівня;</w:t>
            </w:r>
          </w:p>
        </w:tc>
        <w:tc>
          <w:tcPr>
            <w:tcW w:w="6804" w:type="dxa"/>
          </w:tcPr>
          <w:p w14:paraId="73783382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рівень - структурна одиниця Національної рамки кваліфікацій, що визначається певною сукупністю результатів навчання, які є характерними для кваліфікацій відповідного рівня;</w:t>
            </w:r>
          </w:p>
        </w:tc>
      </w:tr>
      <w:tr w:rsidR="007F2630" w:rsidRPr="007F2630" w14:paraId="2CCBC178" w14:textId="77777777" w:rsidTr="00B6583A">
        <w:trPr>
          <w:trHeight w:val="872"/>
        </w:trPr>
        <w:tc>
          <w:tcPr>
            <w:tcW w:w="6516" w:type="dxa"/>
          </w:tcPr>
          <w:p w14:paraId="07512066" w14:textId="77777777" w:rsidR="007634BC" w:rsidRDefault="007634BC" w:rsidP="007634BC">
            <w:pPr>
              <w:ind w:firstLine="448"/>
              <w:contextualSpacing/>
              <w:jc w:val="both"/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</w:pPr>
          </w:p>
          <w:p w14:paraId="53CF06CC" w14:textId="0E08EBF7" w:rsidR="007634BC" w:rsidRPr="001A15CE" w:rsidRDefault="007634BC" w:rsidP="007634BC">
            <w:pPr>
              <w:ind w:firstLine="448"/>
              <w:contextualSpacing/>
              <w:jc w:val="both"/>
              <w:rPr>
                <w:b/>
                <w:bCs/>
                <w:iCs/>
                <w:color w:val="000000"/>
                <w:highlight w:val="yellow"/>
                <w:shd w:val="clear" w:color="auto" w:fill="FFFFFF"/>
                <w:lang w:val="uk-UA"/>
              </w:rPr>
            </w:pPr>
            <w:r w:rsidRPr="001A15CE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Норм</w:t>
            </w:r>
            <w:r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а відсутня.</w:t>
            </w:r>
          </w:p>
          <w:p w14:paraId="581A19E9" w14:textId="77777777" w:rsidR="007F2630" w:rsidRPr="007C022B" w:rsidRDefault="007F2630" w:rsidP="00AD0346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14:paraId="7C60E8B1" w14:textId="4281ACBE" w:rsidR="007F2630" w:rsidRPr="007F2630" w:rsidRDefault="007F2630" w:rsidP="00AD0346">
            <w:pPr>
              <w:ind w:firstLine="448"/>
              <w:contextualSpacing/>
              <w:jc w:val="both"/>
              <w:rPr>
                <w:b/>
                <w:bCs/>
                <w:color w:val="000000"/>
                <w:shd w:val="clear" w:color="auto" w:fill="FFFFFF"/>
                <w:lang w:val="uk-UA"/>
              </w:rPr>
            </w:pPr>
            <w:r w:rsidRPr="007F2630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кваліфікація - визнана уповноваженим суб’єктом та засвідчена відповідним документом стандартизована сукупність здобутих особою </w:t>
            </w:r>
            <w:proofErr w:type="spellStart"/>
            <w:r w:rsidRPr="007F2630">
              <w:rPr>
                <w:b/>
                <w:bCs/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F2630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(результатів навчання);</w:t>
            </w:r>
          </w:p>
        </w:tc>
      </w:tr>
      <w:tr w:rsidR="004E0E5A" w:rsidRPr="007F2630" w14:paraId="3EBC29F1" w14:textId="77777777" w:rsidTr="00B6583A">
        <w:trPr>
          <w:trHeight w:val="1184"/>
        </w:trPr>
        <w:tc>
          <w:tcPr>
            <w:tcW w:w="6516" w:type="dxa"/>
          </w:tcPr>
          <w:p w14:paraId="3A8C7AA5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компетентність - динамічна комбінація знань, умінь, навичок, способів мислення, поглядів, цінностей, інших особистих якостей, що визначає здатність особи успішно соціалізуватися, провадити професійну та/або подальшу навчальну діяльність;</w:t>
            </w:r>
          </w:p>
        </w:tc>
        <w:tc>
          <w:tcPr>
            <w:tcW w:w="6804" w:type="dxa"/>
          </w:tcPr>
          <w:p w14:paraId="3A49DD50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компетентність - динамічна комбінація знань, умінь, навичок, способів мислення, поглядів, цінностей, інших особистих якостей, що визначає здатність особи успішно соціалізуватися, провадити професійну та/або подальшу навчальну діяльність;</w:t>
            </w:r>
          </w:p>
        </w:tc>
      </w:tr>
      <w:tr w:rsidR="00B6583A" w:rsidRPr="007F2630" w14:paraId="621D4E48" w14:textId="77777777" w:rsidTr="00B6583A">
        <w:trPr>
          <w:trHeight w:val="592"/>
        </w:trPr>
        <w:tc>
          <w:tcPr>
            <w:tcW w:w="6516" w:type="dxa"/>
          </w:tcPr>
          <w:p w14:paraId="53A1E142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комунікація - взаємодія осіб з метою передавання інформації, узгодження дій, спільної діяльності;</w:t>
            </w:r>
          </w:p>
        </w:tc>
        <w:tc>
          <w:tcPr>
            <w:tcW w:w="6804" w:type="dxa"/>
          </w:tcPr>
          <w:p w14:paraId="044B9199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комунікація - взаємодія осіб з метою передавання інформації, узгодження дій, спільної діяльності;</w:t>
            </w:r>
          </w:p>
        </w:tc>
      </w:tr>
      <w:tr w:rsidR="00B6583A" w:rsidRPr="007F2630" w14:paraId="39FD6A81" w14:textId="77777777" w:rsidTr="00B6583A">
        <w:trPr>
          <w:trHeight w:val="1464"/>
        </w:trPr>
        <w:tc>
          <w:tcPr>
            <w:tcW w:w="6516" w:type="dxa"/>
          </w:tcPr>
          <w:p w14:paraId="195106BC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освітня кваліфікація - визнана закладом освіти чи іншим уповноваженим суб’єктом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та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>;</w:t>
            </w:r>
          </w:p>
        </w:tc>
        <w:tc>
          <w:tcPr>
            <w:tcW w:w="6804" w:type="dxa"/>
          </w:tcPr>
          <w:p w14:paraId="547C2752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освітня кваліфікація - визнана закладом освіти чи іншим уповноваженим суб’єктом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та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>;</w:t>
            </w:r>
          </w:p>
        </w:tc>
      </w:tr>
      <w:tr w:rsidR="00B6583A" w:rsidRPr="00C42A72" w14:paraId="0325182E" w14:textId="77777777" w:rsidTr="00053F35">
        <w:trPr>
          <w:trHeight w:val="1266"/>
        </w:trPr>
        <w:tc>
          <w:tcPr>
            <w:tcW w:w="6516" w:type="dxa"/>
          </w:tcPr>
          <w:p w14:paraId="49EB980D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 xml:space="preserve">професійна кваліфікація - визнана кваліфікаційним центром, суб’єктом освітньої діяльності, іншим уповноваженим суб’єктом та засвідчена відповідним документом стандартизована сукупність здобутих особою результатів навчання та </w:t>
            </w:r>
            <w:proofErr w:type="spellStart"/>
            <w:r w:rsidRPr="007C022B">
              <w:rPr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C022B">
              <w:rPr>
                <w:color w:val="000000"/>
                <w:shd w:val="clear" w:color="auto" w:fill="FFFFFF"/>
                <w:lang w:val="uk-UA"/>
              </w:rPr>
              <w:t>, що дають змогу виконувати певний вид роботи або провадити професійну діяльність;</w:t>
            </w:r>
          </w:p>
        </w:tc>
        <w:tc>
          <w:tcPr>
            <w:tcW w:w="6804" w:type="dxa"/>
          </w:tcPr>
          <w:p w14:paraId="6C085BAB" w14:textId="607C72AC" w:rsidR="00EC6F5B" w:rsidRPr="00A05D1D" w:rsidRDefault="00EC6F5B" w:rsidP="006C7C67">
            <w:pPr>
              <w:ind w:firstLine="448"/>
              <w:contextualSpacing/>
              <w:jc w:val="both"/>
              <w:rPr>
                <w:b/>
                <w:bCs/>
                <w:color w:val="000000"/>
                <w:shd w:val="clear" w:color="auto" w:fill="FFFFFF"/>
                <w:lang w:val="uk-UA"/>
              </w:rPr>
            </w:pPr>
            <w:r w:rsidRPr="00A05D1D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професійна кваліфікація (повна професійна кваліфікація) - це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особою </w:t>
            </w:r>
            <w:proofErr w:type="spellStart"/>
            <w:r w:rsidRPr="00A05D1D">
              <w:rPr>
                <w:b/>
                <w:bCs/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A05D1D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та/або результатів навчання, що дає змогу здійснювати всі трудові функції, визначені відповідним професійним стандартом</w:t>
            </w:r>
            <w:r w:rsidR="00053F35">
              <w:rPr>
                <w:b/>
                <w:bCs/>
                <w:color w:val="000000"/>
                <w:shd w:val="clear" w:color="auto" w:fill="FFFFFF"/>
                <w:lang w:val="uk-UA"/>
              </w:rPr>
              <w:t>;</w:t>
            </w:r>
          </w:p>
          <w:p w14:paraId="6E35059C" w14:textId="25FC1C49" w:rsidR="00AD0346" w:rsidRPr="007C022B" w:rsidRDefault="00053F35" w:rsidP="00EC6F5B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val="uk-UA"/>
              </w:rPr>
              <w:lastRenderedPageBreak/>
              <w:t>ч</w:t>
            </w:r>
            <w:r w:rsidR="00EC6F5B" w:rsidRPr="00A05D1D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асткова професійна кваліфікація - це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особою </w:t>
            </w:r>
            <w:proofErr w:type="spellStart"/>
            <w:r w:rsidR="00EC6F5B" w:rsidRPr="00A05D1D">
              <w:rPr>
                <w:b/>
                <w:bCs/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="00EC6F5B" w:rsidRPr="00A05D1D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та/або результатів навчання, що дає змогу здійснювати частину трудових функцій, визначених відповідним професійним стандартом</w:t>
            </w:r>
            <w:r>
              <w:rPr>
                <w:b/>
                <w:bCs/>
                <w:color w:val="000000"/>
                <w:shd w:val="clear" w:color="auto" w:fill="FFFFFF"/>
                <w:lang w:val="uk-UA"/>
              </w:rPr>
              <w:t>;</w:t>
            </w:r>
          </w:p>
        </w:tc>
      </w:tr>
      <w:tr w:rsidR="00B6583A" w:rsidRPr="007F2630" w14:paraId="253ED66E" w14:textId="77777777" w:rsidTr="00B6583A">
        <w:trPr>
          <w:trHeight w:val="1184"/>
        </w:trPr>
        <w:tc>
          <w:tcPr>
            <w:tcW w:w="6516" w:type="dxa"/>
          </w:tcPr>
          <w:p w14:paraId="411D3C68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lastRenderedPageBreak/>
              <w:t>результати навчання - знання, уміння, навички, способи мислення, погляди, цінності, інші особисті якості, що набуваються у процесі навчання, виховання та розвитку, які можна ідентифікувати, спланувати, оцінити і виміряти;</w:t>
            </w:r>
          </w:p>
        </w:tc>
        <w:tc>
          <w:tcPr>
            <w:tcW w:w="6804" w:type="dxa"/>
          </w:tcPr>
          <w:p w14:paraId="19A33542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результати навчання - знання, уміння, навички, способи мислення, погляди, цінності, інші особисті якості, що набуваються у процесі навчання, виховання та розвитку, які можна ідентифікувати, спланувати, оцінити і виміряти;</w:t>
            </w:r>
          </w:p>
        </w:tc>
      </w:tr>
      <w:tr w:rsidR="00B6583A" w:rsidRPr="007F2630" w14:paraId="2811A08B" w14:textId="77777777" w:rsidTr="00B6583A">
        <w:trPr>
          <w:trHeight w:val="1761"/>
        </w:trPr>
        <w:tc>
          <w:tcPr>
            <w:tcW w:w="6516" w:type="dxa"/>
          </w:tcPr>
          <w:p w14:paraId="76B50F4D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уміння/навички - здатність застосовувати знання для виконання завдань та розв’язання проблем. Уміння/навички поділяються на когнітивні (що включають логічне, інтуїтивне та творче мислення) і практичні (що включають ручну вправність, застосування практичних способів (методів), матеріалів, знарядь та інструментів, комунікацію).</w:t>
            </w:r>
          </w:p>
        </w:tc>
        <w:tc>
          <w:tcPr>
            <w:tcW w:w="6804" w:type="dxa"/>
          </w:tcPr>
          <w:p w14:paraId="1B18F8E8" w14:textId="77777777" w:rsidR="00AD0346" w:rsidRPr="007C022B" w:rsidRDefault="00AD0346" w:rsidP="00AD0346">
            <w:pPr>
              <w:ind w:firstLine="448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7C022B">
              <w:rPr>
                <w:color w:val="000000"/>
                <w:shd w:val="clear" w:color="auto" w:fill="FFFFFF"/>
                <w:lang w:val="uk-UA"/>
              </w:rPr>
              <w:t>уміння/навички - здатність застосовувати знання для виконання завдань та розв’язання проблем. Уміння/навички поділяються на когнітивні (що включають логічне, інтуїтивне та творче мислення) і практичні (що включають ручну вправність, застосування практичних способів (методів), матеріалів, знарядь та інструментів, комунікацію).</w:t>
            </w:r>
          </w:p>
        </w:tc>
      </w:tr>
      <w:tr w:rsidR="00295D34" w:rsidRPr="007C022B" w14:paraId="4E80C7CF" w14:textId="77777777" w:rsidTr="00E55185">
        <w:trPr>
          <w:trHeight w:val="3576"/>
        </w:trPr>
        <w:tc>
          <w:tcPr>
            <w:tcW w:w="6516" w:type="dxa"/>
          </w:tcPr>
          <w:p w14:paraId="114B0412" w14:textId="77777777" w:rsidR="00295D34" w:rsidRDefault="00295D34" w:rsidP="00295D34">
            <w:pPr>
              <w:contextualSpacing/>
              <w:jc w:val="both"/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</w:pPr>
            <w:bookmarkStart w:id="2" w:name="_Hlk177552532"/>
          </w:p>
          <w:p w14:paraId="1AB1997E" w14:textId="03B6A7AB" w:rsidR="00295D34" w:rsidRPr="001A15CE" w:rsidRDefault="00295D34" w:rsidP="00AD0346">
            <w:pPr>
              <w:ind w:firstLine="448"/>
              <w:contextualSpacing/>
              <w:jc w:val="both"/>
              <w:rPr>
                <w:b/>
                <w:bCs/>
                <w:iCs/>
                <w:color w:val="000000"/>
                <w:highlight w:val="yellow"/>
                <w:shd w:val="clear" w:color="auto" w:fill="FFFFFF"/>
                <w:lang w:val="uk-UA"/>
              </w:rPr>
            </w:pPr>
            <w:r w:rsidRPr="001A15CE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Норм</w:t>
            </w:r>
            <w:r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а відсутня.</w:t>
            </w:r>
          </w:p>
          <w:p w14:paraId="4748BA2E" w14:textId="2C7B14CF" w:rsidR="00295D34" w:rsidRPr="001A15CE" w:rsidRDefault="00295D34" w:rsidP="0050237E">
            <w:pPr>
              <w:ind w:firstLine="448"/>
              <w:contextualSpacing/>
              <w:jc w:val="both"/>
              <w:rPr>
                <w:b/>
                <w:bCs/>
                <w:iCs/>
                <w:color w:val="000000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14:paraId="217BA897" w14:textId="77777777" w:rsidR="00295D34" w:rsidRPr="007C022B" w:rsidRDefault="00295D34" w:rsidP="00AD0346">
            <w:pPr>
              <w:ind w:firstLine="448"/>
              <w:contextualSpacing/>
              <w:jc w:val="both"/>
              <w:rPr>
                <w:b/>
                <w:color w:val="000000"/>
                <w:highlight w:val="yellow"/>
                <w:shd w:val="clear" w:color="auto" w:fill="FFFFFF"/>
                <w:lang w:val="uk-UA"/>
              </w:rPr>
            </w:pPr>
            <w:r w:rsidRPr="007C022B">
              <w:rPr>
                <w:b/>
                <w:color w:val="000000"/>
                <w:shd w:val="clear" w:color="auto" w:fill="FFFFFF"/>
                <w:lang w:val="uk-UA"/>
              </w:rPr>
              <w:t>4. Кваліфікації повної загальної середньої освіти відповідають:</w:t>
            </w:r>
          </w:p>
          <w:p w14:paraId="1FFF75A9" w14:textId="77777777" w:rsidR="00295D34" w:rsidRPr="007C022B" w:rsidRDefault="00295D34" w:rsidP="00AD0346">
            <w:pPr>
              <w:ind w:firstLine="448"/>
              <w:contextualSpacing/>
              <w:jc w:val="both"/>
              <w:rPr>
                <w:b/>
                <w:bCs/>
                <w:lang w:val="uk-UA"/>
              </w:rPr>
            </w:pPr>
            <w:r w:rsidRPr="007C022B">
              <w:rPr>
                <w:b/>
                <w:bCs/>
                <w:lang w:val="uk-UA"/>
              </w:rPr>
              <w:t>початкова освіта - 1 рівню Національної рамки кваліфікацій;</w:t>
            </w:r>
          </w:p>
          <w:p w14:paraId="26518ED7" w14:textId="77777777" w:rsidR="00295D34" w:rsidRPr="007C022B" w:rsidRDefault="00295D34" w:rsidP="00AD0346">
            <w:pPr>
              <w:ind w:firstLine="448"/>
              <w:contextualSpacing/>
              <w:jc w:val="both"/>
              <w:rPr>
                <w:b/>
                <w:bCs/>
                <w:highlight w:val="yellow"/>
                <w:lang w:val="uk-UA"/>
              </w:rPr>
            </w:pPr>
            <w:r w:rsidRPr="007C022B">
              <w:rPr>
                <w:b/>
                <w:bCs/>
                <w:lang w:val="uk-UA"/>
              </w:rPr>
              <w:t>базова середня освіта - 2 рівню Національної рамки кваліфікацій;</w:t>
            </w:r>
          </w:p>
          <w:p w14:paraId="21E19BA9" w14:textId="77777777" w:rsidR="00295D34" w:rsidRPr="00BC01FA" w:rsidRDefault="00295D34" w:rsidP="00AD0346">
            <w:pPr>
              <w:ind w:firstLine="448"/>
              <w:contextualSpacing/>
              <w:jc w:val="both"/>
              <w:rPr>
                <w:b/>
                <w:bCs/>
                <w:color w:val="000000"/>
                <w:highlight w:val="yellow"/>
                <w:shd w:val="clear" w:color="auto" w:fill="FFFFFF"/>
                <w:lang w:val="uk-UA"/>
              </w:rPr>
            </w:pPr>
            <w:r w:rsidRPr="00BC01FA">
              <w:rPr>
                <w:b/>
                <w:bCs/>
                <w:lang w:val="uk-UA"/>
              </w:rPr>
              <w:t>профільна освіта за програмами одинадцятирічної повної загальної середньої освіти - 3 рівню Національної рамки кваліфікацій;</w:t>
            </w:r>
          </w:p>
          <w:p w14:paraId="4C1B4DB4" w14:textId="671D55CB" w:rsidR="00295D34" w:rsidRPr="007C022B" w:rsidRDefault="00295D34" w:rsidP="00E55185">
            <w:pPr>
              <w:ind w:firstLine="448"/>
              <w:contextualSpacing/>
              <w:jc w:val="both"/>
              <w:rPr>
                <w:b/>
                <w:color w:val="000000"/>
                <w:highlight w:val="yellow"/>
                <w:shd w:val="clear" w:color="auto" w:fill="FFFFFF"/>
                <w:lang w:val="uk-UA"/>
              </w:rPr>
            </w:pPr>
            <w:r w:rsidRPr="00BC01FA">
              <w:rPr>
                <w:b/>
                <w:bCs/>
                <w:lang w:val="uk-UA"/>
              </w:rPr>
              <w:t>профільна середня освіта за програмами дванадцятирічної повної загальної середньої освіти - 4 рівню Національної рамки кваліфікацій.</w:t>
            </w:r>
          </w:p>
        </w:tc>
      </w:tr>
      <w:bookmarkEnd w:id="2"/>
      <w:tr w:rsidR="004E0E5A" w:rsidRPr="007C022B" w14:paraId="73920E48" w14:textId="77777777" w:rsidTr="00B6583A">
        <w:trPr>
          <w:trHeight w:val="592"/>
        </w:trPr>
        <w:tc>
          <w:tcPr>
            <w:tcW w:w="6516" w:type="dxa"/>
          </w:tcPr>
          <w:p w14:paraId="6ADA4215" w14:textId="71DDB8A5" w:rsidR="004E0E5A" w:rsidRPr="007C022B" w:rsidRDefault="00105985" w:rsidP="004E0E5A">
            <w:pPr>
              <w:ind w:firstLine="448"/>
              <w:contextualSpacing/>
              <w:jc w:val="both"/>
              <w:rPr>
                <w:lang w:val="uk-UA"/>
              </w:rPr>
            </w:pPr>
            <w:r w:rsidRPr="00367169">
              <w:rPr>
                <w:lang w:val="uk-UA"/>
              </w:rPr>
              <w:t>4</w:t>
            </w:r>
            <w:r w:rsidR="004E0E5A" w:rsidRPr="00367169">
              <w:rPr>
                <w:lang w:val="uk-UA"/>
              </w:rPr>
              <w:t>. Кваліфікації професійної (професійно-технічної) освіти</w:t>
            </w:r>
            <w:r w:rsidR="004E0E5A" w:rsidRPr="007C022B">
              <w:rPr>
                <w:lang w:val="uk-UA"/>
              </w:rPr>
              <w:t xml:space="preserve"> відповідають:</w:t>
            </w:r>
          </w:p>
          <w:p w14:paraId="0A086905" w14:textId="7FAB549F" w:rsidR="004E0E5A" w:rsidRPr="007C022B" w:rsidRDefault="004E0E5A" w:rsidP="004E0E5A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lang w:val="uk-UA"/>
              </w:rPr>
              <w:t>перший (початковий) рівень професійної (професійно-технічної) освіти - 2 рівню Національної рамки кваліфікацій;</w:t>
            </w:r>
          </w:p>
          <w:p w14:paraId="7FB19A29" w14:textId="77777777" w:rsidR="004E0E5A" w:rsidRPr="007C022B" w:rsidRDefault="004E0E5A" w:rsidP="004E0E5A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lang w:val="uk-UA"/>
              </w:rPr>
              <w:lastRenderedPageBreak/>
              <w:t>другий (базовий) рівень професійної (професійно-технічної) освіти - 3 рівню Національної рамки кваліфікацій;</w:t>
            </w:r>
          </w:p>
          <w:p w14:paraId="79985842" w14:textId="5B7423AF" w:rsidR="004E0E5A" w:rsidRPr="007C022B" w:rsidRDefault="004E0E5A" w:rsidP="004E0E5A">
            <w:pPr>
              <w:ind w:firstLine="448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lang w:val="uk-UA"/>
              </w:rPr>
              <w:t>третій (вищий) рівень професійної (професійно-технічної) освіти - 4 або 5 рівню Національної рамки кваліфікацій.</w:t>
            </w:r>
          </w:p>
        </w:tc>
        <w:tc>
          <w:tcPr>
            <w:tcW w:w="6804" w:type="dxa"/>
          </w:tcPr>
          <w:p w14:paraId="520202EC" w14:textId="77777777" w:rsidR="004E0E5A" w:rsidRPr="007C022B" w:rsidRDefault="004E0E5A" w:rsidP="004E0E5A">
            <w:pPr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lang w:val="uk-UA"/>
              </w:rPr>
              <w:lastRenderedPageBreak/>
              <w:t>5. Кваліфікації професійної (професійно-технічної) освіти відповідають:</w:t>
            </w:r>
          </w:p>
          <w:p w14:paraId="3236F5EC" w14:textId="77777777" w:rsidR="004E0E5A" w:rsidRPr="007C022B" w:rsidRDefault="004E0E5A" w:rsidP="004E0E5A">
            <w:pPr>
              <w:spacing w:line="276" w:lineRule="auto"/>
              <w:ind w:firstLine="448"/>
              <w:jc w:val="both"/>
              <w:rPr>
                <w:lang w:val="uk-UA"/>
              </w:rPr>
            </w:pPr>
            <w:r w:rsidRPr="007C022B">
              <w:rPr>
                <w:lang w:val="uk-UA"/>
              </w:rPr>
              <w:t>перший (початковий) рівень професійної (професійно-технічної) освіти - 2 рівню Національної рамки кваліфікацій;</w:t>
            </w:r>
          </w:p>
          <w:p w14:paraId="01851E94" w14:textId="77777777" w:rsidR="004E0E5A" w:rsidRPr="007C022B" w:rsidRDefault="004E0E5A" w:rsidP="004E0E5A">
            <w:pPr>
              <w:spacing w:line="276" w:lineRule="auto"/>
              <w:ind w:firstLine="448"/>
              <w:contextualSpacing/>
              <w:jc w:val="both"/>
              <w:rPr>
                <w:lang w:val="uk-UA"/>
              </w:rPr>
            </w:pPr>
            <w:r w:rsidRPr="007C022B">
              <w:rPr>
                <w:lang w:val="uk-UA"/>
              </w:rPr>
              <w:lastRenderedPageBreak/>
              <w:t>другий (базовий) рівень професійної (професійно-технічної) освіти - 3 рівню Національної рамки кваліфікацій;</w:t>
            </w:r>
          </w:p>
          <w:p w14:paraId="647EE7DE" w14:textId="6AF2BDF3" w:rsidR="00AD0346" w:rsidRPr="007C022B" w:rsidRDefault="004E0E5A" w:rsidP="004E0E5A">
            <w:pPr>
              <w:spacing w:line="276" w:lineRule="auto"/>
              <w:ind w:firstLine="448"/>
              <w:contextualSpacing/>
              <w:jc w:val="both"/>
              <w:rPr>
                <w:highlight w:val="yellow"/>
                <w:lang w:val="uk-UA"/>
              </w:rPr>
            </w:pPr>
            <w:r w:rsidRPr="007C022B">
              <w:rPr>
                <w:lang w:val="uk-UA"/>
              </w:rPr>
              <w:t>третій (вищий) рівень професійної (професійно-технічної) освіти - 4 або 5 рівню Національної рамки кваліфікацій.</w:t>
            </w:r>
          </w:p>
        </w:tc>
      </w:tr>
      <w:tr w:rsidR="00B6583A" w:rsidRPr="007C022B" w14:paraId="2832F5C2" w14:textId="77777777" w:rsidTr="00B6583A">
        <w:trPr>
          <w:trHeight w:val="592"/>
        </w:trPr>
        <w:tc>
          <w:tcPr>
            <w:tcW w:w="6516" w:type="dxa"/>
          </w:tcPr>
          <w:p w14:paraId="537C6267" w14:textId="6F50BE35" w:rsidR="00AD0346" w:rsidRPr="007C022B" w:rsidRDefault="00105985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367169">
              <w:rPr>
                <w:iCs/>
                <w:color w:val="000000"/>
                <w:shd w:val="clear" w:color="auto" w:fill="FFFFFF"/>
                <w:lang w:val="uk-UA"/>
              </w:rPr>
              <w:lastRenderedPageBreak/>
              <w:t>5</w:t>
            </w:r>
            <w:r w:rsidR="00AD0346" w:rsidRPr="00367169">
              <w:rPr>
                <w:iCs/>
                <w:color w:val="000000"/>
                <w:shd w:val="clear" w:color="auto" w:fill="FFFFFF"/>
                <w:lang w:val="uk-UA"/>
              </w:rPr>
              <w:t>.</w:t>
            </w:r>
            <w:r w:rsidR="00AD0346" w:rsidRPr="007C022B">
              <w:rPr>
                <w:iCs/>
                <w:color w:val="000000"/>
                <w:shd w:val="clear" w:color="auto" w:fill="FFFFFF"/>
                <w:lang w:val="uk-UA"/>
              </w:rPr>
              <w:t xml:space="preserve"> Кваліфікація фахової </w:t>
            </w:r>
            <w:proofErr w:type="spellStart"/>
            <w:r w:rsidR="00AD0346" w:rsidRPr="007C022B">
              <w:rPr>
                <w:iCs/>
                <w:color w:val="000000"/>
                <w:shd w:val="clear" w:color="auto" w:fill="FFFFFF"/>
                <w:lang w:val="uk-UA"/>
              </w:rPr>
              <w:t>передвищої</w:t>
            </w:r>
            <w:proofErr w:type="spellEnd"/>
            <w:r w:rsidR="00AD0346" w:rsidRPr="007C022B">
              <w:rPr>
                <w:iCs/>
                <w:color w:val="000000"/>
                <w:shd w:val="clear" w:color="auto" w:fill="FFFFFF"/>
                <w:lang w:val="uk-UA"/>
              </w:rPr>
              <w:t xml:space="preserve"> освіти - фаховий молодший бакалавр відповідає 5 рівню Національної рамки кваліфікацій.</w:t>
            </w:r>
          </w:p>
        </w:tc>
        <w:tc>
          <w:tcPr>
            <w:tcW w:w="6804" w:type="dxa"/>
          </w:tcPr>
          <w:p w14:paraId="65D7F084" w14:textId="77777777" w:rsidR="00AD0346" w:rsidRPr="007C022B" w:rsidRDefault="00AD0346" w:rsidP="00AD0346">
            <w:pPr>
              <w:ind w:firstLine="461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6.</w:t>
            </w: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 xml:space="preserve"> Кваліфікація фахової </w:t>
            </w:r>
            <w:proofErr w:type="spellStart"/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передвищої</w:t>
            </w:r>
            <w:proofErr w:type="spellEnd"/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 xml:space="preserve"> освіти - фаховий молодший бакалавр відповідає 5 рівню Національної рамки кваліфікацій.</w:t>
            </w:r>
          </w:p>
        </w:tc>
      </w:tr>
      <w:tr w:rsidR="00B6583A" w:rsidRPr="007C022B" w14:paraId="65F51DC6" w14:textId="77777777" w:rsidTr="00B6583A">
        <w:trPr>
          <w:trHeight w:val="296"/>
        </w:trPr>
        <w:tc>
          <w:tcPr>
            <w:tcW w:w="6516" w:type="dxa"/>
          </w:tcPr>
          <w:p w14:paraId="460AEC57" w14:textId="4E17A41F" w:rsidR="00AD0346" w:rsidRPr="007C022B" w:rsidRDefault="00105985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367169">
              <w:rPr>
                <w:iCs/>
                <w:color w:val="000000"/>
                <w:shd w:val="clear" w:color="auto" w:fill="FFFFFF"/>
                <w:lang w:val="uk-UA"/>
              </w:rPr>
              <w:t>6</w:t>
            </w:r>
            <w:r w:rsidR="00AD0346" w:rsidRPr="00367169">
              <w:rPr>
                <w:iCs/>
                <w:color w:val="000000"/>
                <w:shd w:val="clear" w:color="auto" w:fill="FFFFFF"/>
                <w:lang w:val="uk-UA"/>
              </w:rPr>
              <w:t>.</w:t>
            </w:r>
            <w:r w:rsidR="00AD0346" w:rsidRPr="007C022B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 xml:space="preserve"> </w:t>
            </w:r>
            <w:r w:rsidR="00AD0346" w:rsidRPr="007C022B">
              <w:rPr>
                <w:iCs/>
                <w:color w:val="000000"/>
                <w:shd w:val="clear" w:color="auto" w:fill="FFFFFF"/>
                <w:lang w:val="uk-UA"/>
              </w:rPr>
              <w:t>Кваліфікації вищої освіти відповідають:</w:t>
            </w:r>
          </w:p>
          <w:p w14:paraId="2C19AFC8" w14:textId="77777777" w:rsidR="00AD0346" w:rsidRPr="007C022B" w:rsidRDefault="00AD0346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молодший бакалавр - 5 рівню Національної рамки кваліфікацій та короткому циклу вищої освіти Рамки кваліфікацій Європейського простору вищої освіти</w:t>
            </w:r>
          </w:p>
          <w:p w14:paraId="70794DE4" w14:textId="77777777" w:rsidR="00AD0346" w:rsidRPr="007C022B" w:rsidRDefault="00AD0346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бакалавр - 6 рівню Національної рамки кваліфікацій та першому циклу вищої освіти Рамки кваліфікацій Європейського простору вищої освіти;</w:t>
            </w:r>
          </w:p>
          <w:p w14:paraId="78AE138B" w14:textId="77777777" w:rsidR="00AD0346" w:rsidRPr="007C022B" w:rsidRDefault="00AD0346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магістр - 7 рівню Національної рамки кваліфікацій та другому циклу вищої освіти Рамки кваліфікацій Європейського простору вищої освіти;</w:t>
            </w:r>
          </w:p>
          <w:p w14:paraId="4930B51B" w14:textId="77777777" w:rsidR="00AD0346" w:rsidRPr="007C022B" w:rsidRDefault="00AD0346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доктор філософії, доктор мистецтва - 8 рівню Національної рамки кваліфікацій та третьому циклу вищої освіти Рамки кваліфікацій Європейського простору вищої освіти;</w:t>
            </w:r>
          </w:p>
          <w:p w14:paraId="6CA09F27" w14:textId="77777777" w:rsidR="00AD0346" w:rsidRPr="007C022B" w:rsidRDefault="00AD0346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доктор наук - 8 рівню Національної рамки кваліфікацій.</w:t>
            </w:r>
          </w:p>
          <w:p w14:paraId="69068CE8" w14:textId="77777777" w:rsidR="00AD0346" w:rsidRPr="007C022B" w:rsidRDefault="00AD0346" w:rsidP="00AD0346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</w:p>
          <w:p w14:paraId="3B58964B" w14:textId="77777777" w:rsidR="00AD0346" w:rsidRPr="007C022B" w:rsidRDefault="00AD0346" w:rsidP="00AD0346">
            <w:pPr>
              <w:ind w:left="22" w:firstLine="425"/>
              <w:contextualSpacing/>
              <w:jc w:val="both"/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14:paraId="508A984E" w14:textId="77777777" w:rsidR="00AD0346" w:rsidRPr="007C022B" w:rsidRDefault="00AD0346" w:rsidP="004E0E5A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 xml:space="preserve">7. </w:t>
            </w: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Кваліфікації вищої освіти відповідають:</w:t>
            </w:r>
          </w:p>
          <w:p w14:paraId="7001D91A" w14:textId="77777777" w:rsidR="00AD0346" w:rsidRPr="007C022B" w:rsidRDefault="00AD0346" w:rsidP="004E0E5A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молодший бакалавр - 5 рівню Національної рамки кваліфікацій та короткому циклу вищої освіти Рамки кваліфікацій Європейського простору вищої освіти</w:t>
            </w:r>
          </w:p>
          <w:p w14:paraId="11F2A273" w14:textId="77777777" w:rsidR="00AD0346" w:rsidRPr="007C022B" w:rsidRDefault="00AD0346" w:rsidP="004E0E5A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бакалавр - 6 рівню Національної рамки кваліфікацій та першому циклу вищої освіти Рамки кваліфікацій Європейського простору вищої освіти;</w:t>
            </w:r>
          </w:p>
          <w:p w14:paraId="244ECDC0" w14:textId="77777777" w:rsidR="00AD0346" w:rsidRPr="007C022B" w:rsidRDefault="00AD0346" w:rsidP="004E0E5A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магістр - 7 рівню Національної рамки кваліфікацій та другому циклу вищої освіти Рамки кваліфікацій Європейського простору вищої освіти;</w:t>
            </w:r>
          </w:p>
          <w:p w14:paraId="7E380C86" w14:textId="77777777" w:rsidR="00AD0346" w:rsidRPr="007C022B" w:rsidRDefault="00AD0346" w:rsidP="004E0E5A">
            <w:pPr>
              <w:ind w:left="22" w:firstLine="425"/>
              <w:contextualSpacing/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 w:rsidRPr="007C022B">
              <w:rPr>
                <w:iCs/>
                <w:color w:val="000000"/>
                <w:shd w:val="clear" w:color="auto" w:fill="FFFFFF"/>
                <w:lang w:val="uk-UA"/>
              </w:rPr>
              <w:t>доктор філософії, доктор мистецтва - 8 рівню Національної рамки кваліфікацій та третьому циклу вищої освіти Рамки кваліфікацій Європейського простору вищої освіти;</w:t>
            </w:r>
          </w:p>
          <w:p w14:paraId="5EC7DD33" w14:textId="77777777" w:rsidR="004E0E5A" w:rsidRPr="007C022B" w:rsidRDefault="004E0E5A" w:rsidP="004E0E5A">
            <w:pPr>
              <w:ind w:left="22" w:firstLine="425"/>
              <w:contextualSpacing/>
              <w:jc w:val="both"/>
              <w:rPr>
                <w:b/>
                <w:bCs/>
                <w:i/>
                <w:color w:val="000000"/>
                <w:shd w:val="clear" w:color="auto" w:fill="FFFFFF"/>
                <w:lang w:val="uk-UA"/>
              </w:rPr>
            </w:pPr>
          </w:p>
          <w:p w14:paraId="47455F59" w14:textId="78BF07BA" w:rsidR="00AD0346" w:rsidRPr="00367169" w:rsidRDefault="00AD0346" w:rsidP="004E0E5A">
            <w:pPr>
              <w:ind w:left="22" w:firstLine="425"/>
              <w:contextualSpacing/>
              <w:jc w:val="both"/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</w:pPr>
            <w:r w:rsidRPr="00367169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ви</w:t>
            </w:r>
            <w:r w:rsidR="00067642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к</w:t>
            </w:r>
            <w:r w:rsidRPr="00367169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л</w:t>
            </w:r>
            <w:r w:rsidR="00067642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ю</w:t>
            </w:r>
            <w:bookmarkStart w:id="3" w:name="_GoBack"/>
            <w:bookmarkEnd w:id="3"/>
            <w:r w:rsidRPr="00367169"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  <w:t>чити.</w:t>
            </w:r>
          </w:p>
          <w:p w14:paraId="4B67BE1C" w14:textId="77777777" w:rsidR="00AD0346" w:rsidRPr="007C022B" w:rsidRDefault="00AD0346" w:rsidP="00AD0346">
            <w:pPr>
              <w:ind w:firstLine="461"/>
              <w:contextualSpacing/>
              <w:jc w:val="both"/>
              <w:rPr>
                <w:b/>
                <w:bCs/>
                <w:iCs/>
                <w:color w:val="000000"/>
                <w:shd w:val="clear" w:color="auto" w:fill="FFFFFF"/>
                <w:lang w:val="uk-UA"/>
              </w:rPr>
            </w:pPr>
          </w:p>
        </w:tc>
      </w:tr>
    </w:tbl>
    <w:p w14:paraId="492EE22E" w14:textId="7A9FAEF9" w:rsidR="00C023B0" w:rsidRPr="007C022B" w:rsidRDefault="00C023B0" w:rsidP="00C023B0">
      <w:pPr>
        <w:jc w:val="center"/>
        <w:rPr>
          <w:color w:val="000000"/>
          <w:lang w:val="uk-UA"/>
        </w:rPr>
      </w:pPr>
    </w:p>
    <w:p w14:paraId="40FA2E4F" w14:textId="77777777" w:rsidR="004E0E5A" w:rsidRPr="007C022B" w:rsidRDefault="004E0E5A" w:rsidP="00C023B0">
      <w:pPr>
        <w:jc w:val="center"/>
        <w:rPr>
          <w:color w:val="000000"/>
          <w:lang w:val="uk-UA"/>
        </w:rPr>
      </w:pPr>
    </w:p>
    <w:p w14:paraId="273052B9" w14:textId="77777777" w:rsidR="004E0E5A" w:rsidRPr="007C022B" w:rsidRDefault="004E0E5A" w:rsidP="00C023B0">
      <w:pPr>
        <w:jc w:val="center"/>
        <w:rPr>
          <w:color w:val="000000"/>
          <w:lang w:val="uk-UA"/>
        </w:rPr>
      </w:pPr>
    </w:p>
    <w:p w14:paraId="61FCC003" w14:textId="5E0FE04F" w:rsidR="000C4818" w:rsidRPr="007C022B" w:rsidRDefault="000C4818" w:rsidP="008D7D83">
      <w:pPr>
        <w:contextualSpacing/>
        <w:rPr>
          <w:lang w:val="uk-UA"/>
        </w:rPr>
      </w:pPr>
      <w:bookmarkStart w:id="4" w:name="3dy6vkm" w:colFirst="0" w:colLast="0"/>
      <w:bookmarkStart w:id="5" w:name="2et92p0" w:colFirst="0" w:colLast="0"/>
      <w:bookmarkStart w:id="6" w:name="3znysh7" w:colFirst="0" w:colLast="0"/>
      <w:bookmarkStart w:id="7" w:name="tyjcwt" w:colFirst="0" w:colLast="0"/>
      <w:bookmarkStart w:id="8" w:name="1t3h5sf" w:colFirst="0" w:colLast="0"/>
      <w:bookmarkStart w:id="9" w:name="4d34og8" w:colFirst="0" w:colLast="0"/>
      <w:bookmarkStart w:id="10" w:name="2s8eyo1" w:colFirst="0" w:colLast="0"/>
      <w:bookmarkStart w:id="11" w:name="17dp8vu" w:colFirst="0" w:colLast="0"/>
      <w:bookmarkStart w:id="12" w:name="3rdcrjn" w:colFirst="0" w:colLast="0"/>
      <w:bookmarkStart w:id="13" w:name="26in1rg" w:colFirst="0" w:colLast="0"/>
      <w:bookmarkStart w:id="14" w:name="35nkun2" w:colFirst="0" w:colLast="0"/>
      <w:bookmarkStart w:id="15" w:name="lnxbz9" w:colFirst="0" w:colLast="0"/>
      <w:bookmarkStart w:id="16" w:name="2jxsxqh" w:colFirst="0" w:colLast="0"/>
      <w:bookmarkStart w:id="17" w:name="1ksv4uv" w:colFirst="0" w:colLast="0"/>
      <w:bookmarkStart w:id="18" w:name="44sinio" w:colFirst="0" w:colLast="0"/>
      <w:bookmarkStart w:id="19" w:name="1y810tw" w:colFirst="0" w:colLast="0"/>
      <w:bookmarkStart w:id="20" w:name="2xcytpi" w:colFirst="0" w:colLast="0"/>
      <w:bookmarkStart w:id="21" w:name="2bn6wsx" w:colFirst="0" w:colLast="0"/>
      <w:bookmarkStart w:id="22" w:name="1ci93xb" w:colFirst="0" w:colLast="0"/>
      <w:bookmarkStart w:id="23" w:name="4i7ojhp" w:colFirst="0" w:colLast="0"/>
      <w:bookmarkStart w:id="24" w:name="3whwml4" w:colFirst="0" w:colLast="0"/>
      <w:bookmarkStart w:id="25" w:name="qsh70q" w:colFirst="0" w:colLast="0"/>
      <w:bookmarkStart w:id="26" w:name="3as4poj" w:colFirst="0" w:colLast="0"/>
      <w:bookmarkStart w:id="27" w:name="1pxezwc" w:colFirst="0" w:colLast="0"/>
      <w:bookmarkStart w:id="28" w:name="49x2ik5" w:colFirst="0" w:colLast="0"/>
      <w:bookmarkStart w:id="29" w:name="2p2csry" w:colFirst="0" w:colLast="0"/>
      <w:bookmarkStart w:id="30" w:name="147n2zr" w:colFirst="0" w:colLast="0"/>
      <w:bookmarkStart w:id="31" w:name="23ckvvd" w:colFirst="0" w:colLast="0"/>
      <w:bookmarkStart w:id="32" w:name="3o7alnk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25A4E4E" w14:textId="29B285C6" w:rsidR="00FB4C49" w:rsidRPr="007C022B" w:rsidRDefault="00FB4C49" w:rsidP="00AD0346">
      <w:pPr>
        <w:ind w:left="426"/>
        <w:contextualSpacing/>
        <w:rPr>
          <w:lang w:val="uk-UA"/>
        </w:rPr>
      </w:pPr>
    </w:p>
    <w:sectPr w:rsidR="00FB4C49" w:rsidRPr="007C022B" w:rsidSect="0071696C">
      <w:headerReference w:type="default" r:id="rId8"/>
      <w:pgSz w:w="15840" w:h="12240" w:orient="landscape"/>
      <w:pgMar w:top="709" w:right="567" w:bottom="1134" w:left="1985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1D85" w14:textId="77777777" w:rsidR="00E60BC5" w:rsidRDefault="00E60BC5">
      <w:r>
        <w:separator/>
      </w:r>
    </w:p>
  </w:endnote>
  <w:endnote w:type="continuationSeparator" w:id="0">
    <w:p w14:paraId="3DC10539" w14:textId="77777777" w:rsidR="00E60BC5" w:rsidRDefault="00E6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83947" w14:textId="77777777" w:rsidR="00E60BC5" w:rsidRDefault="00E60BC5">
      <w:r>
        <w:separator/>
      </w:r>
    </w:p>
  </w:footnote>
  <w:footnote w:type="continuationSeparator" w:id="0">
    <w:p w14:paraId="4FA3DDF1" w14:textId="77777777" w:rsidR="00E60BC5" w:rsidRDefault="00E6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554886"/>
      <w:docPartObj>
        <w:docPartGallery w:val="Page Numbers (Top of Page)"/>
        <w:docPartUnique/>
      </w:docPartObj>
    </w:sdtPr>
    <w:sdtEndPr/>
    <w:sdtContent>
      <w:p w14:paraId="20B66005" w14:textId="6AD15DBA" w:rsidR="008D7D83" w:rsidRDefault="008D7D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42" w:rsidRPr="00067642">
          <w:rPr>
            <w:noProof/>
            <w:lang w:val="uk-UA"/>
          </w:rPr>
          <w:t>2</w:t>
        </w:r>
        <w:r>
          <w:fldChar w:fldCharType="end"/>
        </w:r>
      </w:p>
    </w:sdtContent>
  </w:sdt>
  <w:p w14:paraId="0F8E56BE" w14:textId="77777777" w:rsidR="008D7D83" w:rsidRDefault="008D7D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6544C"/>
    <w:multiLevelType w:val="multilevel"/>
    <w:tmpl w:val="78C24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56"/>
    <w:rsid w:val="00026872"/>
    <w:rsid w:val="00027AA5"/>
    <w:rsid w:val="00034CDB"/>
    <w:rsid w:val="00037952"/>
    <w:rsid w:val="00053F35"/>
    <w:rsid w:val="00067642"/>
    <w:rsid w:val="00072947"/>
    <w:rsid w:val="00081D30"/>
    <w:rsid w:val="0009231F"/>
    <w:rsid w:val="0009403C"/>
    <w:rsid w:val="000B35D8"/>
    <w:rsid w:val="000B558B"/>
    <w:rsid w:val="000C3A2C"/>
    <w:rsid w:val="000C4818"/>
    <w:rsid w:val="000C64D8"/>
    <w:rsid w:val="000D72FB"/>
    <w:rsid w:val="000E253C"/>
    <w:rsid w:val="000E3CFF"/>
    <w:rsid w:val="000F38E9"/>
    <w:rsid w:val="00105985"/>
    <w:rsid w:val="00107F59"/>
    <w:rsid w:val="00112FDC"/>
    <w:rsid w:val="001161D7"/>
    <w:rsid w:val="00120518"/>
    <w:rsid w:val="00126F3F"/>
    <w:rsid w:val="001272F7"/>
    <w:rsid w:val="00132770"/>
    <w:rsid w:val="001439EF"/>
    <w:rsid w:val="00146F98"/>
    <w:rsid w:val="00147127"/>
    <w:rsid w:val="00152A02"/>
    <w:rsid w:val="00152A97"/>
    <w:rsid w:val="00164AF9"/>
    <w:rsid w:val="00171089"/>
    <w:rsid w:val="001844BA"/>
    <w:rsid w:val="001A15CE"/>
    <w:rsid w:val="001A77DF"/>
    <w:rsid w:val="001B3A5F"/>
    <w:rsid w:val="001B7AE4"/>
    <w:rsid w:val="001C1CE0"/>
    <w:rsid w:val="001D5239"/>
    <w:rsid w:val="001E09F5"/>
    <w:rsid w:val="001F158B"/>
    <w:rsid w:val="001F4089"/>
    <w:rsid w:val="001F4169"/>
    <w:rsid w:val="0021278C"/>
    <w:rsid w:val="00223104"/>
    <w:rsid w:val="00225960"/>
    <w:rsid w:val="00235B8C"/>
    <w:rsid w:val="00272E21"/>
    <w:rsid w:val="002739C6"/>
    <w:rsid w:val="002866EF"/>
    <w:rsid w:val="00295D34"/>
    <w:rsid w:val="002A26EF"/>
    <w:rsid w:val="002B4A0A"/>
    <w:rsid w:val="002C6CE7"/>
    <w:rsid w:val="002D0A62"/>
    <w:rsid w:val="002D4448"/>
    <w:rsid w:val="002E7AC6"/>
    <w:rsid w:val="002F013C"/>
    <w:rsid w:val="00302F42"/>
    <w:rsid w:val="003043C7"/>
    <w:rsid w:val="00310B0D"/>
    <w:rsid w:val="003229EF"/>
    <w:rsid w:val="00325CDD"/>
    <w:rsid w:val="00325EB5"/>
    <w:rsid w:val="0033320B"/>
    <w:rsid w:val="00336703"/>
    <w:rsid w:val="00344F70"/>
    <w:rsid w:val="003452C6"/>
    <w:rsid w:val="003466E0"/>
    <w:rsid w:val="00354F8B"/>
    <w:rsid w:val="00365CA7"/>
    <w:rsid w:val="00367169"/>
    <w:rsid w:val="0037274F"/>
    <w:rsid w:val="0037474C"/>
    <w:rsid w:val="0037678E"/>
    <w:rsid w:val="00376D16"/>
    <w:rsid w:val="00394195"/>
    <w:rsid w:val="003A6E0A"/>
    <w:rsid w:val="003A7F23"/>
    <w:rsid w:val="003C1C67"/>
    <w:rsid w:val="003C6028"/>
    <w:rsid w:val="003D4539"/>
    <w:rsid w:val="003F19CA"/>
    <w:rsid w:val="003F2752"/>
    <w:rsid w:val="004007DC"/>
    <w:rsid w:val="004066A9"/>
    <w:rsid w:val="0042127A"/>
    <w:rsid w:val="00436FB5"/>
    <w:rsid w:val="00444A0F"/>
    <w:rsid w:val="00450104"/>
    <w:rsid w:val="00453DC6"/>
    <w:rsid w:val="004556FB"/>
    <w:rsid w:val="004566F8"/>
    <w:rsid w:val="00460D02"/>
    <w:rsid w:val="00481E9D"/>
    <w:rsid w:val="00492BFA"/>
    <w:rsid w:val="004A01D8"/>
    <w:rsid w:val="004A1D61"/>
    <w:rsid w:val="004A5623"/>
    <w:rsid w:val="004A7D9B"/>
    <w:rsid w:val="004D14D7"/>
    <w:rsid w:val="004E0E5A"/>
    <w:rsid w:val="004F5F58"/>
    <w:rsid w:val="00520E6F"/>
    <w:rsid w:val="00543117"/>
    <w:rsid w:val="0055650E"/>
    <w:rsid w:val="00560B62"/>
    <w:rsid w:val="0056218F"/>
    <w:rsid w:val="00562CF6"/>
    <w:rsid w:val="005658D5"/>
    <w:rsid w:val="005666B2"/>
    <w:rsid w:val="00567DD9"/>
    <w:rsid w:val="0057470A"/>
    <w:rsid w:val="00581CE4"/>
    <w:rsid w:val="00583FDE"/>
    <w:rsid w:val="005B220B"/>
    <w:rsid w:val="005B5CAC"/>
    <w:rsid w:val="005B5DB8"/>
    <w:rsid w:val="005D0EE7"/>
    <w:rsid w:val="005E5661"/>
    <w:rsid w:val="005F1FC8"/>
    <w:rsid w:val="00620045"/>
    <w:rsid w:val="00620E21"/>
    <w:rsid w:val="00631B5D"/>
    <w:rsid w:val="0063497C"/>
    <w:rsid w:val="00636AFA"/>
    <w:rsid w:val="006402BB"/>
    <w:rsid w:val="00640BC5"/>
    <w:rsid w:val="00642A0A"/>
    <w:rsid w:val="00643A40"/>
    <w:rsid w:val="00644771"/>
    <w:rsid w:val="00645DD0"/>
    <w:rsid w:val="0064648D"/>
    <w:rsid w:val="006521CE"/>
    <w:rsid w:val="006559FC"/>
    <w:rsid w:val="006609EC"/>
    <w:rsid w:val="00662C2B"/>
    <w:rsid w:val="006664B1"/>
    <w:rsid w:val="006818D5"/>
    <w:rsid w:val="00695A2B"/>
    <w:rsid w:val="006B217A"/>
    <w:rsid w:val="006C7C67"/>
    <w:rsid w:val="006E13D1"/>
    <w:rsid w:val="006F278D"/>
    <w:rsid w:val="006F63B5"/>
    <w:rsid w:val="00703825"/>
    <w:rsid w:val="00705F2E"/>
    <w:rsid w:val="0071696C"/>
    <w:rsid w:val="0071732F"/>
    <w:rsid w:val="007240FB"/>
    <w:rsid w:val="00726622"/>
    <w:rsid w:val="00730A7B"/>
    <w:rsid w:val="007368AE"/>
    <w:rsid w:val="00746479"/>
    <w:rsid w:val="00750BD2"/>
    <w:rsid w:val="00753512"/>
    <w:rsid w:val="00761E8F"/>
    <w:rsid w:val="00761EB7"/>
    <w:rsid w:val="007634BC"/>
    <w:rsid w:val="007705FD"/>
    <w:rsid w:val="00780264"/>
    <w:rsid w:val="0078426C"/>
    <w:rsid w:val="0079607F"/>
    <w:rsid w:val="007A2F99"/>
    <w:rsid w:val="007A7185"/>
    <w:rsid w:val="007B00EB"/>
    <w:rsid w:val="007C022B"/>
    <w:rsid w:val="007C0611"/>
    <w:rsid w:val="007D6EE6"/>
    <w:rsid w:val="007D71B9"/>
    <w:rsid w:val="007F2630"/>
    <w:rsid w:val="00814382"/>
    <w:rsid w:val="00826E0C"/>
    <w:rsid w:val="008332DB"/>
    <w:rsid w:val="00837EB0"/>
    <w:rsid w:val="008406E0"/>
    <w:rsid w:val="00843179"/>
    <w:rsid w:val="0085503B"/>
    <w:rsid w:val="008623F5"/>
    <w:rsid w:val="00865ADE"/>
    <w:rsid w:val="00866061"/>
    <w:rsid w:val="008672CE"/>
    <w:rsid w:val="008763D0"/>
    <w:rsid w:val="00880F80"/>
    <w:rsid w:val="00884B84"/>
    <w:rsid w:val="00897C0D"/>
    <w:rsid w:val="008A154F"/>
    <w:rsid w:val="008A7C97"/>
    <w:rsid w:val="008B2B0A"/>
    <w:rsid w:val="008C30C0"/>
    <w:rsid w:val="008D587F"/>
    <w:rsid w:val="008D7D83"/>
    <w:rsid w:val="008F5767"/>
    <w:rsid w:val="00902F56"/>
    <w:rsid w:val="0090300C"/>
    <w:rsid w:val="00904484"/>
    <w:rsid w:val="00913541"/>
    <w:rsid w:val="0091789B"/>
    <w:rsid w:val="009210CD"/>
    <w:rsid w:val="00924B98"/>
    <w:rsid w:val="00941C67"/>
    <w:rsid w:val="00956D7D"/>
    <w:rsid w:val="009739B5"/>
    <w:rsid w:val="009934B1"/>
    <w:rsid w:val="00995117"/>
    <w:rsid w:val="00995B6A"/>
    <w:rsid w:val="009A38D0"/>
    <w:rsid w:val="009A4F3C"/>
    <w:rsid w:val="009A5D1C"/>
    <w:rsid w:val="009A7DDA"/>
    <w:rsid w:val="009B04E3"/>
    <w:rsid w:val="009B0CD1"/>
    <w:rsid w:val="009E71FC"/>
    <w:rsid w:val="009F01C4"/>
    <w:rsid w:val="00A127CA"/>
    <w:rsid w:val="00A329AA"/>
    <w:rsid w:val="00A36B75"/>
    <w:rsid w:val="00A40265"/>
    <w:rsid w:val="00A50985"/>
    <w:rsid w:val="00A5337E"/>
    <w:rsid w:val="00A56527"/>
    <w:rsid w:val="00A56DE0"/>
    <w:rsid w:val="00A77332"/>
    <w:rsid w:val="00A8625D"/>
    <w:rsid w:val="00A879C2"/>
    <w:rsid w:val="00AA176D"/>
    <w:rsid w:val="00AA1C6A"/>
    <w:rsid w:val="00AA3685"/>
    <w:rsid w:val="00AA4F7A"/>
    <w:rsid w:val="00AB23F5"/>
    <w:rsid w:val="00AB6A27"/>
    <w:rsid w:val="00AC01AA"/>
    <w:rsid w:val="00AC2526"/>
    <w:rsid w:val="00AD0346"/>
    <w:rsid w:val="00AD1572"/>
    <w:rsid w:val="00AD2FA2"/>
    <w:rsid w:val="00AE73DD"/>
    <w:rsid w:val="00AF69FA"/>
    <w:rsid w:val="00B007AC"/>
    <w:rsid w:val="00B00A6C"/>
    <w:rsid w:val="00B1106A"/>
    <w:rsid w:val="00B16F27"/>
    <w:rsid w:val="00B17DF9"/>
    <w:rsid w:val="00B226E7"/>
    <w:rsid w:val="00B2309E"/>
    <w:rsid w:val="00B431AF"/>
    <w:rsid w:val="00B47AC5"/>
    <w:rsid w:val="00B523A9"/>
    <w:rsid w:val="00B533B2"/>
    <w:rsid w:val="00B6264A"/>
    <w:rsid w:val="00B64222"/>
    <w:rsid w:val="00B64F0F"/>
    <w:rsid w:val="00B6583A"/>
    <w:rsid w:val="00B727D3"/>
    <w:rsid w:val="00B75077"/>
    <w:rsid w:val="00B84308"/>
    <w:rsid w:val="00B90373"/>
    <w:rsid w:val="00BC01FA"/>
    <w:rsid w:val="00BC173A"/>
    <w:rsid w:val="00BD6F6D"/>
    <w:rsid w:val="00BF096E"/>
    <w:rsid w:val="00BF1972"/>
    <w:rsid w:val="00C01226"/>
    <w:rsid w:val="00C023B0"/>
    <w:rsid w:val="00C045A3"/>
    <w:rsid w:val="00C05F93"/>
    <w:rsid w:val="00C119A2"/>
    <w:rsid w:val="00C16F45"/>
    <w:rsid w:val="00C42A72"/>
    <w:rsid w:val="00C548F5"/>
    <w:rsid w:val="00C605ED"/>
    <w:rsid w:val="00C61F5F"/>
    <w:rsid w:val="00C81AB1"/>
    <w:rsid w:val="00C81C02"/>
    <w:rsid w:val="00C84D0C"/>
    <w:rsid w:val="00C95A61"/>
    <w:rsid w:val="00CA0710"/>
    <w:rsid w:val="00CB20FD"/>
    <w:rsid w:val="00CB2BB3"/>
    <w:rsid w:val="00CC1D96"/>
    <w:rsid w:val="00CC2151"/>
    <w:rsid w:val="00CC60B7"/>
    <w:rsid w:val="00CC6606"/>
    <w:rsid w:val="00CD32DD"/>
    <w:rsid w:val="00CD74FC"/>
    <w:rsid w:val="00CE759B"/>
    <w:rsid w:val="00D13B5A"/>
    <w:rsid w:val="00D33D64"/>
    <w:rsid w:val="00D37FFC"/>
    <w:rsid w:val="00D46FF1"/>
    <w:rsid w:val="00D500BD"/>
    <w:rsid w:val="00D55C1C"/>
    <w:rsid w:val="00D601F7"/>
    <w:rsid w:val="00D6099B"/>
    <w:rsid w:val="00D60F22"/>
    <w:rsid w:val="00D6601F"/>
    <w:rsid w:val="00D72C56"/>
    <w:rsid w:val="00D81588"/>
    <w:rsid w:val="00D8307A"/>
    <w:rsid w:val="00D847ED"/>
    <w:rsid w:val="00D90DF9"/>
    <w:rsid w:val="00D95F55"/>
    <w:rsid w:val="00DA66C3"/>
    <w:rsid w:val="00DC034F"/>
    <w:rsid w:val="00DC2E69"/>
    <w:rsid w:val="00DD1154"/>
    <w:rsid w:val="00DE6B84"/>
    <w:rsid w:val="00DF13AF"/>
    <w:rsid w:val="00E06C53"/>
    <w:rsid w:val="00E11D67"/>
    <w:rsid w:val="00E23533"/>
    <w:rsid w:val="00E30B67"/>
    <w:rsid w:val="00E34C86"/>
    <w:rsid w:val="00E44930"/>
    <w:rsid w:val="00E60BC5"/>
    <w:rsid w:val="00E62C0D"/>
    <w:rsid w:val="00E75740"/>
    <w:rsid w:val="00E83933"/>
    <w:rsid w:val="00E912B7"/>
    <w:rsid w:val="00EA3BF3"/>
    <w:rsid w:val="00EB7F18"/>
    <w:rsid w:val="00EC576C"/>
    <w:rsid w:val="00EC6F5B"/>
    <w:rsid w:val="00EF2917"/>
    <w:rsid w:val="00EF5E27"/>
    <w:rsid w:val="00EF62DA"/>
    <w:rsid w:val="00F13571"/>
    <w:rsid w:val="00F4000A"/>
    <w:rsid w:val="00F41BFA"/>
    <w:rsid w:val="00F4232A"/>
    <w:rsid w:val="00F430E5"/>
    <w:rsid w:val="00F43865"/>
    <w:rsid w:val="00F5021D"/>
    <w:rsid w:val="00F6220E"/>
    <w:rsid w:val="00F750B9"/>
    <w:rsid w:val="00F7513A"/>
    <w:rsid w:val="00F810B7"/>
    <w:rsid w:val="00F8112D"/>
    <w:rsid w:val="00F851B9"/>
    <w:rsid w:val="00FA5EBC"/>
    <w:rsid w:val="00FB4C49"/>
    <w:rsid w:val="00FD112E"/>
    <w:rsid w:val="00FD592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EE7"/>
  <w15:docId w15:val="{3B4F0BE0-D186-4E97-A088-B98DA266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8112D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5B5CA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B23F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B23F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7D8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D7D83"/>
  </w:style>
  <w:style w:type="paragraph" w:styleId="ad">
    <w:name w:val="footer"/>
    <w:basedOn w:val="a"/>
    <w:link w:val="ae"/>
    <w:uiPriority w:val="99"/>
    <w:unhideWhenUsed/>
    <w:rsid w:val="008D7D8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D7D83"/>
  </w:style>
  <w:style w:type="paragraph" w:customStyle="1" w:styleId="rvps14">
    <w:name w:val="rvps14"/>
    <w:basedOn w:val="a"/>
    <w:rsid w:val="00995117"/>
    <w:pPr>
      <w:spacing w:before="100" w:beforeAutospacing="1" w:after="100" w:afterAutospacing="1"/>
    </w:pPr>
    <w:rPr>
      <w:lang w:val="uk-UA"/>
    </w:rPr>
  </w:style>
  <w:style w:type="table" w:styleId="af">
    <w:name w:val="Table Grid"/>
    <w:basedOn w:val="a1"/>
    <w:uiPriority w:val="39"/>
    <w:rsid w:val="007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71696C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BE0C-61AD-4666-88FE-7F3D3528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6331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Панич Олена Іванівна</dc:creator>
  <cp:lastModifiedBy>Baluba I.</cp:lastModifiedBy>
  <cp:revision>3</cp:revision>
  <cp:lastPrinted>2019-02-06T15:08:00Z</cp:lastPrinted>
  <dcterms:created xsi:type="dcterms:W3CDTF">2024-11-28T09:55:00Z</dcterms:created>
  <dcterms:modified xsi:type="dcterms:W3CDTF">2024-12-04T13:40:00Z</dcterms:modified>
</cp:coreProperties>
</file>