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02DD4" w14:textId="77777777" w:rsidR="00D7434F" w:rsidRDefault="00D7434F">
      <w:pPr>
        <w:spacing w:line="240" w:lineRule="auto"/>
        <w:ind w:right="1357"/>
        <w:rPr>
          <w:rFonts w:ascii="Times New Roman" w:hAnsi="Times New Roman"/>
          <w:sz w:val="2"/>
          <w:szCs w:val="2"/>
        </w:rPr>
      </w:pPr>
    </w:p>
    <w:p w14:paraId="56EAF442" w14:textId="77777777" w:rsidR="00D7434F" w:rsidRDefault="005B04EC">
      <w:pPr>
        <w:spacing w:line="240" w:lineRule="auto"/>
        <w:ind w:right="-9"/>
        <w:jc w:val="both"/>
        <w:rPr>
          <w:rFonts w:ascii="Times New Roman" w:hAnsi="Times New Roman"/>
          <w:b/>
          <w:sz w:val="28"/>
        </w:rPr>
      </w:pPr>
      <w:r>
        <w:rPr>
          <w:noProof/>
          <w:lang w:eastAsia="uk-UA"/>
        </w:rPr>
        <w:drawing>
          <wp:inline distT="0" distB="0" distL="0" distR="0" wp14:anchorId="07A3E0A4" wp14:editId="34EDA70E">
            <wp:extent cx="5943600" cy="1943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A96471" w14:textId="77777777" w:rsidR="00D7434F" w:rsidRDefault="005B04EC">
      <w:pPr>
        <w:spacing w:line="240" w:lineRule="auto"/>
        <w:ind w:right="-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/>
      </w:r>
    </w:p>
    <w:p w14:paraId="09992126" w14:textId="724AB0C6" w:rsidR="00D7434F" w:rsidRDefault="001A08A0">
      <w:pPr>
        <w:spacing w:line="240" w:lineRule="auto"/>
        <w:ind w:right="-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Про </w:t>
      </w:r>
      <w:r w:rsidR="00CF6465" w:rsidRPr="00CF6465">
        <w:rPr>
          <w:rFonts w:ascii="Times New Roman" w:hAnsi="Times New Roman"/>
          <w:b/>
          <w:sz w:val="28"/>
        </w:rPr>
        <w:t xml:space="preserve">затвердження Змін до </w:t>
      </w:r>
      <w:r w:rsidR="00B47568" w:rsidRPr="00B47568">
        <w:rPr>
          <w:rFonts w:ascii="Times New Roman" w:hAnsi="Times New Roman"/>
          <w:b/>
          <w:sz w:val="28"/>
        </w:rPr>
        <w:t>Типового переліку засобів навчання та обладнання для навчальних кабінетів і STEM-лабораторій</w:t>
      </w:r>
    </w:p>
    <w:p w14:paraId="2A045514" w14:textId="77777777" w:rsidR="00CF6465" w:rsidRDefault="00CF6465" w:rsidP="00CF6465">
      <w:pPr>
        <w:ind w:firstLine="709"/>
        <w:jc w:val="both"/>
        <w:rPr>
          <w:rFonts w:ascii="Times New Roman" w:hAnsi="Times New Roman"/>
          <w:sz w:val="28"/>
        </w:rPr>
      </w:pPr>
      <w:r w:rsidRPr="00CF6465">
        <w:rPr>
          <w:rFonts w:ascii="Times New Roman" w:hAnsi="Times New Roman"/>
          <w:sz w:val="28"/>
        </w:rPr>
        <w:t>Відповідно до абзацу сьомого частини другої статті 54 Закону України «Про повну загальну середню освіту», пункту 8 Положення про Міністерство освіти і науки України, затвердженого постановою Кабінету Міністрів України від 16 жовтня 2014 року № 630,</w:t>
      </w:r>
    </w:p>
    <w:p w14:paraId="6195B33D" w14:textId="57887BDB" w:rsidR="00D7434F" w:rsidRDefault="005B04EC" w:rsidP="00CF6465">
      <w:p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НАКАЗУЮ:</w:t>
      </w:r>
    </w:p>
    <w:p w14:paraId="470A2538" w14:textId="72E2685F" w:rsidR="00D7434F" w:rsidRDefault="001A08A0">
      <w:pPr>
        <w:spacing w:before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CF6465" w:rsidRPr="00CF6465">
        <w:rPr>
          <w:rFonts w:ascii="Times New Roman" w:hAnsi="Times New Roman"/>
          <w:sz w:val="28"/>
        </w:rPr>
        <w:t xml:space="preserve">Затвердити Зміни до </w:t>
      </w:r>
      <w:r w:rsidR="00B47568" w:rsidRPr="00B47568">
        <w:rPr>
          <w:rFonts w:ascii="Times New Roman" w:hAnsi="Times New Roman"/>
          <w:sz w:val="28"/>
        </w:rPr>
        <w:t>Типового переліку засобів навчання та обладнання для навчальних кабінетів і STEM-лабораторій, затвердженого наказом Міністерства освіти і науки України від 29 квітня 2020 р. № 574, зареєстрованим у Міністерстві юстиції України 07 травня 2020 р. за № 410/34693</w:t>
      </w:r>
      <w:r w:rsidR="00CF6465" w:rsidRPr="00CF6465">
        <w:rPr>
          <w:rFonts w:ascii="Times New Roman" w:hAnsi="Times New Roman"/>
          <w:sz w:val="28"/>
        </w:rPr>
        <w:t>, що додаються.</w:t>
      </w:r>
    </w:p>
    <w:p w14:paraId="6B42AB0F" w14:textId="77777777" w:rsidR="00D7434F" w:rsidRDefault="005B04EC">
      <w:pPr>
        <w:spacing w:before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Директорату цифрової трансформації (</w:t>
      </w:r>
      <w:proofErr w:type="spellStart"/>
      <w:r>
        <w:rPr>
          <w:rFonts w:ascii="Times New Roman" w:hAnsi="Times New Roman"/>
          <w:sz w:val="28"/>
        </w:rPr>
        <w:t>Далєвська</w:t>
      </w:r>
      <w:proofErr w:type="spellEnd"/>
      <w:r>
        <w:rPr>
          <w:rFonts w:ascii="Times New Roman" w:hAnsi="Times New Roman"/>
          <w:sz w:val="28"/>
        </w:rPr>
        <w:t xml:space="preserve"> Т.) забезпечити подання цього наказу на державну реєстрацію до Міністерства юстиції України в установленому законодавством порядку.</w:t>
      </w:r>
    </w:p>
    <w:p w14:paraId="77A956DB" w14:textId="77777777" w:rsidR="00D7434F" w:rsidRDefault="005B04EC">
      <w:pPr>
        <w:spacing w:before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Департаменту забезпечення документообігу, контролю та інформаційних технологій (</w:t>
      </w:r>
      <w:proofErr w:type="spellStart"/>
      <w:r>
        <w:rPr>
          <w:rFonts w:ascii="Times New Roman" w:hAnsi="Times New Roman"/>
          <w:sz w:val="28"/>
        </w:rPr>
        <w:t>Єрко</w:t>
      </w:r>
      <w:proofErr w:type="spellEnd"/>
      <w:r>
        <w:rPr>
          <w:rFonts w:ascii="Times New Roman" w:hAnsi="Times New Roman"/>
          <w:sz w:val="28"/>
        </w:rPr>
        <w:t xml:space="preserve"> І.) зробити відмітки в справах архіву.</w:t>
      </w:r>
    </w:p>
    <w:p w14:paraId="69B2044F" w14:textId="14798726" w:rsidR="00D7434F" w:rsidRDefault="005B04EC" w:rsidP="00CF6465">
      <w:pPr>
        <w:spacing w:before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CF6465" w:rsidRPr="00CF6465">
        <w:rPr>
          <w:rFonts w:ascii="Times New Roman" w:hAnsi="Times New Roman"/>
          <w:sz w:val="28"/>
        </w:rPr>
        <w:t>Цей наказ набирає чинності з дня його офіційного опублікування.</w:t>
      </w:r>
    </w:p>
    <w:p w14:paraId="074B01C2" w14:textId="7CEF3CFD" w:rsidR="00D7434F" w:rsidRDefault="005B04EC" w:rsidP="006068E0">
      <w:pPr>
        <w:spacing w:before="120"/>
        <w:ind w:firstLine="709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5. Контроль за виконанням цього наказу покласти на заступника Міністра з питань цифрового розвитку, цифрових трансформацій і цифровізації Завгороднього Д.</w:t>
      </w:r>
    </w:p>
    <w:p w14:paraId="01039EAA" w14:textId="77777777" w:rsidR="006068E0" w:rsidRDefault="006068E0" w:rsidP="006068E0">
      <w:pPr>
        <w:spacing w:before="120"/>
        <w:ind w:firstLine="709"/>
        <w:jc w:val="both"/>
        <w:rPr>
          <w:rFonts w:ascii="Times" w:hAnsi="Times"/>
          <w:sz w:val="28"/>
        </w:rPr>
      </w:pPr>
    </w:p>
    <w:p w14:paraId="638F32FC" w14:textId="28187F3E" w:rsidR="00D7434F" w:rsidRDefault="00FE429B" w:rsidP="00057A94">
      <w:pPr>
        <w:spacing w:before="1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Т. в. о. </w:t>
      </w:r>
      <w:r w:rsidR="00057A94" w:rsidRPr="00057A94">
        <w:rPr>
          <w:rFonts w:ascii="Times New Roman" w:hAnsi="Times New Roman"/>
          <w:b/>
          <w:sz w:val="28"/>
        </w:rPr>
        <w:t>Міністр</w:t>
      </w:r>
      <w:r>
        <w:rPr>
          <w:rFonts w:ascii="Times New Roman" w:hAnsi="Times New Roman"/>
          <w:b/>
          <w:sz w:val="28"/>
        </w:rPr>
        <w:t>а</w:t>
      </w:r>
      <w:r w:rsidR="00057A94" w:rsidRPr="00057A94">
        <w:rPr>
          <w:rFonts w:ascii="Times New Roman" w:hAnsi="Times New Roman"/>
          <w:b/>
          <w:sz w:val="28"/>
        </w:rPr>
        <w:t xml:space="preserve">                                                                    </w:t>
      </w:r>
      <w:r w:rsidR="00380777">
        <w:rPr>
          <w:rFonts w:ascii="Times New Roman" w:hAnsi="Times New Roman"/>
          <w:b/>
          <w:sz w:val="28"/>
        </w:rPr>
        <w:t xml:space="preserve">        </w:t>
      </w:r>
      <w:r>
        <w:rPr>
          <w:rFonts w:ascii="Times New Roman" w:hAnsi="Times New Roman"/>
          <w:b/>
          <w:sz w:val="28"/>
        </w:rPr>
        <w:t>Євген КУДРЯВЕЦЬ</w:t>
      </w:r>
    </w:p>
    <w:p w14:paraId="4CDC6A4F" w14:textId="77777777" w:rsidR="00A24E91" w:rsidRDefault="00A24E91" w:rsidP="00057A94">
      <w:pPr>
        <w:spacing w:before="120"/>
        <w:jc w:val="both"/>
        <w:rPr>
          <w:rFonts w:ascii="Times New Roman" w:hAnsi="Times New Roman"/>
          <w:b/>
          <w:sz w:val="28"/>
        </w:rPr>
      </w:pPr>
    </w:p>
    <w:p w14:paraId="72F859CB" w14:textId="77777777" w:rsidR="00A24E91" w:rsidRPr="00A24E91" w:rsidRDefault="00A24E91" w:rsidP="00A2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4E91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ЗАТВЕРДЖЕНО</w:t>
      </w:r>
    </w:p>
    <w:p w14:paraId="3C99B1AA" w14:textId="77777777" w:rsidR="00A24E91" w:rsidRPr="00A24E91" w:rsidRDefault="00A24E91" w:rsidP="00A24E91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after="0" w:line="240" w:lineRule="auto"/>
        <w:ind w:left="6379" w:right="-1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24E9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Наказ Міністерства освіти </w:t>
      </w:r>
      <w:r w:rsidRPr="00A24E91">
        <w:rPr>
          <w:rFonts w:ascii="Times New Roman" w:hAnsi="Times New Roman"/>
          <w:color w:val="000000"/>
          <w:sz w:val="28"/>
          <w:szCs w:val="28"/>
          <w:lang w:eastAsia="uk-UA"/>
        </w:rPr>
        <w:br/>
        <w:t>і науки України</w:t>
      </w:r>
    </w:p>
    <w:p w14:paraId="6F419667" w14:textId="77777777" w:rsidR="00A24E91" w:rsidRPr="00A24E91" w:rsidRDefault="00A24E91" w:rsidP="00A24E91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after="0" w:line="240" w:lineRule="auto"/>
        <w:ind w:left="6379" w:right="-1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4E91">
        <w:rPr>
          <w:rFonts w:ascii="Times New Roman" w:hAnsi="Times New Roman"/>
          <w:sz w:val="28"/>
          <w:szCs w:val="28"/>
          <w:lang w:eastAsia="uk-UA"/>
        </w:rPr>
        <w:t>________ 2024 року №__</w:t>
      </w:r>
    </w:p>
    <w:p w14:paraId="5DAB5905" w14:textId="77777777" w:rsidR="00A24E91" w:rsidRPr="00A24E91" w:rsidRDefault="00A24E91" w:rsidP="00A2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1830AC2" w14:textId="77777777" w:rsidR="00A24E91" w:rsidRPr="00A24E91" w:rsidRDefault="00A24E91" w:rsidP="00A2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A24E91">
        <w:rPr>
          <w:rFonts w:ascii="Times New Roman" w:hAnsi="Times New Roman"/>
          <w:b/>
          <w:color w:val="000000"/>
          <w:sz w:val="28"/>
          <w:szCs w:val="28"/>
          <w:lang w:eastAsia="uk-UA"/>
        </w:rPr>
        <w:t>Зміни</w:t>
      </w:r>
    </w:p>
    <w:p w14:paraId="6B406434" w14:textId="77777777" w:rsidR="00A24E91" w:rsidRPr="00A24E91" w:rsidRDefault="00A24E91" w:rsidP="00A24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A24E91">
        <w:rPr>
          <w:rFonts w:ascii="Times New Roman" w:hAnsi="Times New Roman"/>
          <w:b/>
          <w:color w:val="000000"/>
          <w:sz w:val="28"/>
          <w:szCs w:val="28"/>
          <w:lang w:eastAsia="uk-UA"/>
        </w:rPr>
        <w:t>до Типового переліку засобів навчання та обладнання для навчальних кабінетів і STEM-лабораторій</w:t>
      </w:r>
    </w:p>
    <w:p w14:paraId="205113C8" w14:textId="77777777" w:rsidR="00A24E91" w:rsidRPr="00A24E91" w:rsidRDefault="00A24E91" w:rsidP="00A24E9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</w:p>
    <w:p w14:paraId="6170A0EB" w14:textId="77777777" w:rsidR="00A24E91" w:rsidRPr="00A24E91" w:rsidRDefault="00A24E91" w:rsidP="00A24E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/>
          <w:sz w:val="28"/>
          <w:lang w:eastAsia="en-US"/>
        </w:rPr>
      </w:pPr>
      <w:r w:rsidRPr="00A24E91">
        <w:rPr>
          <w:rFonts w:ascii="Times New Roman" w:eastAsia="Calibri" w:hAnsi="Times New Roman"/>
          <w:color w:val="000000"/>
          <w:sz w:val="28"/>
          <w:lang w:eastAsia="en-US"/>
        </w:rPr>
        <w:t>Номери 13 та 15 Таблиці 1 пункту 5 викласти у такій редакції:</w:t>
      </w:r>
    </w:p>
    <w:p w14:paraId="38DA393A" w14:textId="77777777" w:rsidR="00A24E91" w:rsidRPr="00A24E91" w:rsidRDefault="00A24E91" w:rsidP="00A24E91">
      <w:pPr>
        <w:shd w:val="clear" w:color="auto" w:fill="FFFFFF"/>
        <w:spacing w:before="150" w:after="150" w:line="240" w:lineRule="auto"/>
        <w:rPr>
          <w:rFonts w:ascii="Times New Roman" w:eastAsia="Calibri" w:hAnsi="Times New Roman"/>
          <w:color w:val="333333"/>
          <w:sz w:val="24"/>
          <w:szCs w:val="24"/>
          <w:lang w:eastAsia="en-US"/>
        </w:rPr>
      </w:pPr>
      <w:r w:rsidRPr="00A24E91">
        <w:rPr>
          <w:rFonts w:ascii="Times New Roman" w:eastAsia="Calibri" w:hAnsi="Times New Roman"/>
          <w:color w:val="000000"/>
          <w:sz w:val="28"/>
          <w:lang w:eastAsia="en-US"/>
        </w:rPr>
        <w:t>«</w:t>
      </w:r>
    </w:p>
    <w:tbl>
      <w:tblPr>
        <w:tblW w:w="5144" w:type="pct"/>
        <w:tblCellMar>
          <w:top w:w="9" w:type="dxa"/>
          <w:left w:w="9" w:type="dxa"/>
          <w:bottom w:w="9" w:type="dxa"/>
          <w:right w:w="9" w:type="dxa"/>
        </w:tblCellMar>
        <w:tblLook w:val="04A0" w:firstRow="1" w:lastRow="0" w:firstColumn="1" w:lastColumn="0" w:noHBand="0" w:noVBand="1"/>
      </w:tblPr>
      <w:tblGrid>
        <w:gridCol w:w="371"/>
        <w:gridCol w:w="1737"/>
        <w:gridCol w:w="2878"/>
        <w:gridCol w:w="2453"/>
        <w:gridCol w:w="2071"/>
        <w:gridCol w:w="236"/>
      </w:tblGrid>
      <w:tr w:rsidR="00A24E91" w:rsidRPr="00A24E91" w14:paraId="7A1E7115" w14:textId="77777777" w:rsidTr="006262A8">
        <w:trPr>
          <w:gridAfter w:val="1"/>
          <w:wAfter w:w="314" w:type="dxa"/>
          <w:trHeight w:val="104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4874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C325092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Найменування</w:t>
            </w:r>
          </w:p>
        </w:tc>
        <w:tc>
          <w:tcPr>
            <w:tcW w:w="345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149E759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Вимоги до складу обладнання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3D3A57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Кількість* комплектів, од.</w:t>
            </w:r>
          </w:p>
        </w:tc>
        <w:tc>
          <w:tcPr>
            <w:tcW w:w="24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6F402DC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A24E91" w:rsidRPr="00A24E91" w14:paraId="05C8FF3C" w14:textId="77777777" w:rsidTr="006262A8">
        <w:trPr>
          <w:trHeight w:val="3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378C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0090FF0F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Програмне забезпечення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95860A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напрямами роботи, що реалізується в STEM-лабораторії.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441230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 до кількості ПК, на яких використовуватиметься програмне забезпечення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7A979A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14" w:type="dxa"/>
            <w:vAlign w:val="center"/>
            <w:hideMark/>
          </w:tcPr>
          <w:p w14:paraId="5416B274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  <w:tr w:rsidR="00A24E91" w:rsidRPr="00A24E91" w14:paraId="52862315" w14:textId="77777777" w:rsidTr="006262A8">
        <w:trPr>
          <w:trHeight w:val="3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5447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A51D31A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Окуляри/ шолом віртуальної реальності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1C65D7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7B90F8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До 15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7545D9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sz w:val="24"/>
                <w:szCs w:val="24"/>
                <w:lang w:eastAsia="uk-UA"/>
              </w:rPr>
              <w:t>За потребою</w:t>
            </w:r>
          </w:p>
        </w:tc>
        <w:tc>
          <w:tcPr>
            <w:tcW w:w="314" w:type="dxa"/>
            <w:vAlign w:val="center"/>
            <w:hideMark/>
          </w:tcPr>
          <w:p w14:paraId="7D0561CE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</w:tr>
    </w:tbl>
    <w:p w14:paraId="7EFCB138" w14:textId="77777777" w:rsidR="00A24E91" w:rsidRPr="00A24E91" w:rsidRDefault="00A24E91" w:rsidP="00A24E91">
      <w:pPr>
        <w:shd w:val="clear" w:color="auto" w:fill="FFFFFF"/>
        <w:spacing w:before="150" w:after="150" w:line="240" w:lineRule="auto"/>
        <w:rPr>
          <w:rFonts w:ascii="Times New Roman" w:hAnsi="Times New Roman"/>
          <w:color w:val="333333"/>
          <w:sz w:val="24"/>
          <w:szCs w:val="24"/>
          <w:lang w:eastAsia="uk-UA"/>
        </w:rPr>
      </w:pPr>
      <w:bookmarkStart w:id="0" w:name="n50"/>
      <w:bookmarkEnd w:id="0"/>
      <w:r w:rsidRPr="00A24E91">
        <w:rPr>
          <w:rFonts w:ascii="Times New Roman" w:hAnsi="Times New Roman"/>
          <w:color w:val="333333"/>
          <w:sz w:val="24"/>
          <w:szCs w:val="24"/>
          <w:lang w:eastAsia="uk-UA"/>
        </w:rPr>
        <w:t>»</w:t>
      </w:r>
    </w:p>
    <w:p w14:paraId="3F27B452" w14:textId="77777777" w:rsidR="00A24E91" w:rsidRPr="00A24E91" w:rsidRDefault="00A24E91" w:rsidP="00A24E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333333"/>
          <w:sz w:val="28"/>
          <w:lang w:eastAsia="en-US"/>
        </w:rPr>
      </w:pPr>
      <w:r w:rsidRPr="00A24E91">
        <w:rPr>
          <w:rFonts w:ascii="Times New Roman" w:eastAsia="Calibri" w:hAnsi="Times New Roman"/>
          <w:color w:val="000000"/>
          <w:sz w:val="28"/>
          <w:lang w:eastAsia="en-US"/>
        </w:rPr>
        <w:t xml:space="preserve">2. </w:t>
      </w:r>
      <w:r w:rsidRPr="00A24E91">
        <w:rPr>
          <w:rFonts w:ascii="Times New Roman" w:eastAsia="Calibri" w:hAnsi="Times New Roman"/>
          <w:color w:val="333333"/>
          <w:sz w:val="28"/>
          <w:lang w:eastAsia="en-US"/>
        </w:rPr>
        <w:t>Пункт 6 викласти у такій редакції:</w:t>
      </w:r>
    </w:p>
    <w:p w14:paraId="713D74BE" w14:textId="77777777" w:rsidR="00A24E91" w:rsidRPr="00A24E91" w:rsidRDefault="00A24E91" w:rsidP="00A24E9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333333"/>
          <w:sz w:val="28"/>
          <w:lang w:eastAsia="en-US"/>
        </w:rPr>
      </w:pPr>
      <w:r w:rsidRPr="00A24E91">
        <w:rPr>
          <w:rFonts w:ascii="Times New Roman" w:eastAsia="Calibri" w:hAnsi="Times New Roman"/>
          <w:color w:val="333333"/>
          <w:sz w:val="28"/>
          <w:lang w:eastAsia="en-US"/>
        </w:rPr>
        <w:t>«6. Мультимедійне обладнання, електронні освітні ресурси та пристосування для навчальних кабінетів та STEM-лабораторій повинні відповідати вимогам, наведеним у таблиці 2:</w:t>
      </w:r>
    </w:p>
    <w:p w14:paraId="5DB49DC0" w14:textId="77777777" w:rsidR="00A24E91" w:rsidRPr="00A24E91" w:rsidRDefault="00A24E91" w:rsidP="00A24E91">
      <w:pPr>
        <w:shd w:val="clear" w:color="auto" w:fill="FFFFFF"/>
        <w:spacing w:before="150" w:after="150" w:line="240" w:lineRule="auto"/>
        <w:jc w:val="right"/>
        <w:rPr>
          <w:rFonts w:ascii="Times New Roman" w:eastAsia="Calibri" w:hAnsi="Times New Roman"/>
          <w:color w:val="333333"/>
          <w:sz w:val="24"/>
          <w:szCs w:val="24"/>
          <w:lang w:eastAsia="en-US"/>
        </w:rPr>
      </w:pPr>
      <w:bookmarkStart w:id="1" w:name="bookmark=id.30j0zll" w:colFirst="0" w:colLast="0"/>
      <w:bookmarkEnd w:id="1"/>
      <w:r w:rsidRPr="00A24E91">
        <w:rPr>
          <w:rFonts w:ascii="Times New Roman" w:eastAsia="Calibri" w:hAnsi="Times New Roman"/>
          <w:i/>
          <w:color w:val="333333"/>
          <w:sz w:val="24"/>
          <w:szCs w:val="24"/>
          <w:lang w:eastAsia="en-US"/>
        </w:rPr>
        <w:t>Таблиця 2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9" w:type="dxa"/>
          <w:left w:w="9" w:type="dxa"/>
          <w:bottom w:w="9" w:type="dxa"/>
          <w:right w:w="9" w:type="dxa"/>
        </w:tblCellMar>
        <w:tblLook w:val="04A0" w:firstRow="1" w:lastRow="0" w:firstColumn="1" w:lastColumn="0" w:noHBand="0" w:noVBand="1"/>
      </w:tblPr>
      <w:tblGrid>
        <w:gridCol w:w="2299"/>
        <w:gridCol w:w="4785"/>
        <w:gridCol w:w="2466"/>
      </w:tblGrid>
      <w:tr w:rsidR="00A24E91" w:rsidRPr="00A24E91" w14:paraId="3D0E7291" w14:textId="77777777" w:rsidTr="000B7424">
        <w:trPr>
          <w:trHeight w:val="34"/>
        </w:trPr>
        <w:tc>
          <w:tcPr>
            <w:tcW w:w="2299" w:type="dxa"/>
            <w:shd w:val="clear" w:color="auto" w:fill="FFFFFF"/>
            <w:hideMark/>
          </w:tcPr>
          <w:p w14:paraId="7514AAFC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bookmarkStart w:id="2" w:name="bookmark=id.1fob9te" w:colFirst="0" w:colLast="0"/>
            <w:bookmarkEnd w:id="2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Назва засобу/обладнання</w:t>
            </w:r>
          </w:p>
          <w:p w14:paraId="34F07664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14:paraId="07FAA316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Вимоги та складові</w:t>
            </w:r>
          </w:p>
        </w:tc>
        <w:tc>
          <w:tcPr>
            <w:tcW w:w="2466" w:type="dxa"/>
            <w:shd w:val="clear" w:color="auto" w:fill="FFFFFF"/>
            <w:hideMark/>
          </w:tcPr>
          <w:p w14:paraId="354F44C8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Кількість</w:t>
            </w:r>
          </w:p>
        </w:tc>
      </w:tr>
      <w:tr w:rsidR="00A24E91" w:rsidRPr="00A24E91" w14:paraId="6BEAA15B" w14:textId="77777777" w:rsidTr="000B7424">
        <w:trPr>
          <w:trHeight w:val="34"/>
        </w:trPr>
        <w:tc>
          <w:tcPr>
            <w:tcW w:w="2299" w:type="dxa"/>
            <w:shd w:val="clear" w:color="auto" w:fill="FFFFFF"/>
          </w:tcPr>
          <w:p w14:paraId="6E4DEA35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1 </w:t>
            </w:r>
          </w:p>
          <w:p w14:paraId="3E1EE2AC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</w:tcPr>
          <w:p w14:paraId="41EABE38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66" w:type="dxa"/>
            <w:shd w:val="clear" w:color="auto" w:fill="FFFFFF"/>
          </w:tcPr>
          <w:p w14:paraId="65904D19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</w:tr>
      <w:tr w:rsidR="00A24E91" w:rsidRPr="00A24E91" w14:paraId="4478B288" w14:textId="77777777" w:rsidTr="000B7424">
        <w:trPr>
          <w:trHeight w:val="34"/>
        </w:trPr>
        <w:tc>
          <w:tcPr>
            <w:tcW w:w="2299" w:type="dxa"/>
            <w:shd w:val="clear" w:color="auto" w:fill="FFFFFF"/>
          </w:tcPr>
          <w:p w14:paraId="233D01C4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1. Мультимедійне обладнання</w:t>
            </w:r>
          </w:p>
        </w:tc>
        <w:tc>
          <w:tcPr>
            <w:tcW w:w="4785" w:type="dxa"/>
            <w:shd w:val="clear" w:color="auto" w:fill="FFFFFF"/>
          </w:tcPr>
          <w:p w14:paraId="767990A5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1.1. Комплект мультимедійного обладнання. Тип 1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А) Інтерактивна дошка: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дошка прямої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проєкції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з можливістю настінного кріплення;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робоча поверхня білого кольору, тверда, зі спеціальним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антиблисковим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покриттям, стійким до ушкоджень, розрахована, зокрема, для письма на ній маркерами на водній основі;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мінімальна діагональ 65</w:t>
            </w:r>
            <w:r w:rsidRPr="00A24E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″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. Розмір та аспектне співвідношення робочої поверхні дошки має </w:t>
            </w:r>
          </w:p>
        </w:tc>
        <w:tc>
          <w:tcPr>
            <w:tcW w:w="2466" w:type="dxa"/>
            <w:shd w:val="clear" w:color="auto" w:fill="FFFFFF"/>
          </w:tcPr>
          <w:p w14:paraId="30AEFEFB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A24E91" w:rsidRPr="00A24E91" w14:paraId="2EBE42F0" w14:textId="77777777" w:rsidTr="000B7424">
        <w:trPr>
          <w:trHeight w:val="34"/>
        </w:trPr>
        <w:tc>
          <w:tcPr>
            <w:tcW w:w="2299" w:type="dxa"/>
            <w:shd w:val="clear" w:color="auto" w:fill="FFFFFF"/>
          </w:tcPr>
          <w:p w14:paraId="6565F2F5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785" w:type="dxa"/>
            <w:shd w:val="clear" w:color="auto" w:fill="FFFFFF"/>
          </w:tcPr>
          <w:p w14:paraId="13267BE5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66" w:type="dxa"/>
            <w:shd w:val="clear" w:color="auto" w:fill="FFFFFF"/>
          </w:tcPr>
          <w:p w14:paraId="466BC054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</w:tr>
      <w:tr w:rsidR="00A24E91" w:rsidRPr="00A24E91" w14:paraId="7BBF0980" w14:textId="77777777" w:rsidTr="000B7424">
        <w:trPr>
          <w:trHeight w:val="34"/>
        </w:trPr>
        <w:tc>
          <w:tcPr>
            <w:tcW w:w="2299" w:type="dxa"/>
            <w:vMerge w:val="restart"/>
            <w:shd w:val="clear" w:color="auto" w:fill="FFFFFF"/>
            <w:hideMark/>
          </w:tcPr>
          <w:p w14:paraId="541AC4A8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14:paraId="21F74836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збігатися з розміром та аспектним співвідношенням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проєкційного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зображення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дошка повинна забезпечувати можливість управління контентом безпосередньо за допомогою дотиків пальців руки або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стилуса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/маркера;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гарантія на дошку не менше 3 років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Б) Мультимедійний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з короткофокусним об’єктивом: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світловий потік не менше 3000 ANSI люменів;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роздільна здатність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повинна бути не менше XGA (1024 </w:t>
            </w:r>
            <w:r w:rsidRPr="00A24E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×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 768 пікселів) або WXGA (1280 </w:t>
            </w:r>
            <w:r w:rsidRPr="00A24E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×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 800 пікселів);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ресурс роботи лампи не менше 5000 годин у стандартному режимі;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повинен комплектуватись спеціальним підвісом,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який кріпиться безпосередньо над верхнім краєм інтерактивної дошки до стіни або до стелі;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відстань від об’єктива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до площини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проєкції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не більше 1 м;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довжина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інтерфейсного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дроту - не менша, ніж необхідна для підключення пристрою до ПК педагогічного працівника у місці його встановлення;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гарантія на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не менше 3 років;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гарантія на лампу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не менше 1 року або 1000 годин в робочому режимі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В) Базове програмне забезпечення для інтерактивної дошки та мультимедійного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для створення, перегляду та програвання інтерактивного навчального контенту;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сумісне з операційною системою (далі - ОС) ПК педагогічного працівника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Г) Акустична система зовнішня або вбудована в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(за потребою):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потужність не менше ніж 10 Вт</w:t>
            </w:r>
          </w:p>
        </w:tc>
        <w:tc>
          <w:tcPr>
            <w:tcW w:w="2466" w:type="dxa"/>
            <w:shd w:val="clear" w:color="auto" w:fill="FFFFFF"/>
            <w:hideMark/>
          </w:tcPr>
          <w:p w14:paraId="2699F7AA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</w:tr>
      <w:tr w:rsidR="00A24E91" w:rsidRPr="00A24E91" w14:paraId="17A5472C" w14:textId="77777777" w:rsidTr="000B7424">
        <w:trPr>
          <w:trHeight w:val="34"/>
        </w:trPr>
        <w:tc>
          <w:tcPr>
            <w:tcW w:w="2299" w:type="dxa"/>
            <w:vMerge/>
            <w:shd w:val="clear" w:color="auto" w:fill="FFFFFF"/>
          </w:tcPr>
          <w:p w14:paraId="6ADC5E0C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</w:tcPr>
          <w:p w14:paraId="2310D797" w14:textId="0AF2B7DC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1.2. Комплект мультимедійного обладнання. Тип 2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А) Мультимедійний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з короткофокусним об’єктивом та інтерактивними функціями: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світловий потік не менше 3000 ANSI люменів;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роздільна здатність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повинна бути не менше XGA (1024 </w:t>
            </w:r>
            <w:r w:rsidRPr="00A24E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×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 768 пікселів) або WXGA (1280 </w:t>
            </w:r>
            <w:r w:rsidRPr="00A24E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×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 800 пікселів);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ресурс роботи лампи не менше 5000 годин у </w:t>
            </w:r>
          </w:p>
        </w:tc>
        <w:tc>
          <w:tcPr>
            <w:tcW w:w="2466" w:type="dxa"/>
            <w:shd w:val="clear" w:color="auto" w:fill="FFFFFF"/>
          </w:tcPr>
          <w:p w14:paraId="582B7E9E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A24E91" w:rsidRPr="00A24E91" w14:paraId="5597C39C" w14:textId="77777777" w:rsidTr="000B7424">
        <w:trPr>
          <w:trHeight w:val="34"/>
        </w:trPr>
        <w:tc>
          <w:tcPr>
            <w:tcW w:w="2299" w:type="dxa"/>
            <w:shd w:val="clear" w:color="auto" w:fill="FFFFFF"/>
          </w:tcPr>
          <w:p w14:paraId="3AA8194F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785" w:type="dxa"/>
            <w:shd w:val="clear" w:color="auto" w:fill="FFFFFF"/>
          </w:tcPr>
          <w:p w14:paraId="5DDFB9A0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66" w:type="dxa"/>
            <w:shd w:val="clear" w:color="auto" w:fill="FFFFFF"/>
          </w:tcPr>
          <w:p w14:paraId="6AE1055D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</w:tr>
      <w:tr w:rsidR="00A24E91" w:rsidRPr="00A24E91" w14:paraId="68C63FB0" w14:textId="77777777" w:rsidTr="000B7424">
        <w:trPr>
          <w:trHeight w:val="34"/>
        </w:trPr>
        <w:tc>
          <w:tcPr>
            <w:tcW w:w="2299" w:type="dxa"/>
            <w:vMerge w:val="restart"/>
            <w:shd w:val="clear" w:color="auto" w:fill="FFFFFF"/>
          </w:tcPr>
          <w:p w14:paraId="3A381735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</w:tcPr>
          <w:p w14:paraId="14DF1670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стандартному режимі;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комплект електронних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стилусів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/маркерів;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комплект для підвісу (кріплення);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відстань від об’єктива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до площини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проєкції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не більше 1 м;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довжина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інтерфейсного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дроту - не менша, ніж необхідна для підключення пристрою до ПК педагогічного</w:t>
            </w:r>
          </w:p>
          <w:p w14:paraId="4D6C736B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працівника у місці його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встановлення;гарантія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не менше 3 років;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гарантія на лампу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не менше 1 року або 1000 годин в робочому режимі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Б) Маркерна дошка (за потребою) для мультимедійного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робоча поверхня матова, магнітно-маркерна, білого кольору, розрахована у тому числі для письма на ній маркерами на водній основі;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діагональ не менше 65</w:t>
            </w:r>
            <w:r w:rsidRPr="00A24E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″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. Розмір та аспектне співвідношення робочої поверхні дошки має збігатися з розміром та аспектним співвідношенням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проєкційного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зображення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В) Базове програмне забезпечення для мультимедійного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для створення та перегляду інтерактивного навчального контенту;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сумісне з ОС ПК педагогічного працівника;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наявність базових графічних інструментів: вибір типу та кольору маркера, базові геометричні фігури (коло, квадрат, трикутник), можливість зміни фону робочої зони (в лінію, в клітинку)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Г) Акустична система зовнішня або вбудована в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(за потребою):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потужність не менше ніж 10 Вт</w:t>
            </w:r>
          </w:p>
        </w:tc>
        <w:tc>
          <w:tcPr>
            <w:tcW w:w="2466" w:type="dxa"/>
            <w:shd w:val="clear" w:color="auto" w:fill="FFFFFF"/>
          </w:tcPr>
          <w:p w14:paraId="5494BA91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</w:tr>
      <w:tr w:rsidR="00A24E91" w:rsidRPr="00A24E91" w14:paraId="09338873" w14:textId="77777777" w:rsidTr="000B7424">
        <w:trPr>
          <w:trHeight w:val="34"/>
        </w:trPr>
        <w:tc>
          <w:tcPr>
            <w:tcW w:w="0" w:type="auto"/>
            <w:vMerge/>
            <w:shd w:val="clear" w:color="auto" w:fill="FFFFFF"/>
            <w:hideMark/>
          </w:tcPr>
          <w:p w14:paraId="18863C2D" w14:textId="77777777" w:rsidR="00A24E91" w:rsidRPr="00A24E91" w:rsidRDefault="00A24E91" w:rsidP="00A24E9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</w:tcPr>
          <w:p w14:paraId="70BF39C6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1.3. Комплект мультимедійного обладнання. Тип 3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А) Інтерактивна панель: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мінімальна діагональ 65</w:t>
            </w:r>
            <w:r w:rsidRPr="00A24E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″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мінімальна роздільна здатність зображення 3840 </w:t>
            </w:r>
            <w:r w:rsidRPr="00A24E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×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 2160 пікселів;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дотикова технологія управління контентом за допомогою дотиків пальців руки або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стилуса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/маркера;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захисне, загартоване,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антиблискове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скло екрана;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ресурс роботи матриці не менше 20000 годин;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вбудована акустична система загальною потужністю не менше 10 Вт (за потребою);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наявність зовнішніх інтерфейсів USB-А, </w:t>
            </w:r>
          </w:p>
        </w:tc>
        <w:tc>
          <w:tcPr>
            <w:tcW w:w="2466" w:type="dxa"/>
            <w:shd w:val="clear" w:color="auto" w:fill="FFFFFF"/>
            <w:hideMark/>
          </w:tcPr>
          <w:p w14:paraId="7318604E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A24E91" w:rsidRPr="00A24E91" w14:paraId="604649B6" w14:textId="77777777" w:rsidTr="000B7424">
        <w:trPr>
          <w:trHeight w:val="34"/>
        </w:trPr>
        <w:tc>
          <w:tcPr>
            <w:tcW w:w="0" w:type="auto"/>
            <w:shd w:val="clear" w:color="auto" w:fill="FFFFFF"/>
          </w:tcPr>
          <w:p w14:paraId="19065DD9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785" w:type="dxa"/>
            <w:shd w:val="clear" w:color="auto" w:fill="FFFFFF"/>
          </w:tcPr>
          <w:p w14:paraId="244B1EE8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66" w:type="dxa"/>
            <w:shd w:val="clear" w:color="auto" w:fill="FFFFFF"/>
          </w:tcPr>
          <w:p w14:paraId="70ED7249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</w:tr>
      <w:tr w:rsidR="00A24E91" w:rsidRPr="00A24E91" w14:paraId="2DC726AB" w14:textId="77777777" w:rsidTr="000B7424">
        <w:trPr>
          <w:trHeight w:val="34"/>
        </w:trPr>
        <w:tc>
          <w:tcPr>
            <w:tcW w:w="0" w:type="auto"/>
            <w:vMerge w:val="restart"/>
            <w:shd w:val="clear" w:color="auto" w:fill="FFFFFF"/>
          </w:tcPr>
          <w:p w14:paraId="0386BA3D" w14:textId="77777777" w:rsidR="00A24E91" w:rsidRPr="00A24E91" w:rsidRDefault="00A24E91" w:rsidP="00A24E9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</w:tcPr>
          <w:p w14:paraId="62A377F2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HDMI входу, USB-B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Touch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, USB-C та LAN (RJ45) входу;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настінне кріплення та/або мобільний стенд для транспортування в приміщенні;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за наявності комп'ютерного модуля OPS: об’єм оперативної пам’яті не менше ніж 8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Гб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, об’єм накопичувача не менше 256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Гб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SSD та підтримка стандартів IEEE не гірше 802.11 ас;</w:t>
            </w:r>
          </w:p>
          <w:p w14:paraId="343D6B30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наявність мікрофонного масиву та камери у вигляді зовнішнього модуля або вбудованих у інтерактивну панель (за потреби);</w:t>
            </w:r>
          </w:p>
          <w:p w14:paraId="3345D5F9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можливість бездротового підключення до панелі інших пристроїв (ноутбуків, планшетів, телефонів) у локальній мережі;</w:t>
            </w:r>
          </w:p>
          <w:p w14:paraId="192E7A84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наявність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стилуса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для панелі.</w:t>
            </w:r>
          </w:p>
          <w:p w14:paraId="271ED141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Б) Базове програмне забезпечення для інтерактивної панелі попередньо встановлена ОС з безплатними оновленнями для комп’ютерного модуля (за умови його наявності);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можливість створення, перегляду та програвання інтерактивного навчального контенту</w:t>
            </w:r>
          </w:p>
        </w:tc>
        <w:tc>
          <w:tcPr>
            <w:tcW w:w="2466" w:type="dxa"/>
            <w:shd w:val="clear" w:color="auto" w:fill="FFFFFF"/>
          </w:tcPr>
          <w:p w14:paraId="644E6009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</w:tr>
      <w:tr w:rsidR="00A24E91" w:rsidRPr="00A24E91" w14:paraId="6C06BFF0" w14:textId="77777777" w:rsidTr="000B7424">
        <w:trPr>
          <w:trHeight w:val="34"/>
        </w:trPr>
        <w:tc>
          <w:tcPr>
            <w:tcW w:w="0" w:type="auto"/>
            <w:vMerge/>
            <w:shd w:val="clear" w:color="auto" w:fill="FFFFFF"/>
          </w:tcPr>
          <w:p w14:paraId="4C232917" w14:textId="77777777" w:rsidR="00A24E91" w:rsidRPr="00A24E91" w:rsidRDefault="00A24E91" w:rsidP="00A24E9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</w:tcPr>
          <w:p w14:paraId="7BEC2F51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1.4. Комплект мультимедійного обладнання. Тип 4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А) Мультимедійний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з короткофокусним об’єктивом: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світловий потік не менше 3000 ANSI люменів;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роздільна здатність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повинна бути не менше XGA (1024 </w:t>
            </w:r>
            <w:r w:rsidRPr="00A24E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×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 768 пікселів) або WXGA (1280 </w:t>
            </w:r>
            <w:r w:rsidRPr="00A24E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×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 800 пікселів);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ресурс роботи лампи не менше 5000 годин у стандартному режимі;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повинен комплектуватись спеціальним підвісом,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який кріпиться безпосередньо над верхнім краєм інтерактивної дошки до стіни або до стелі;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відстань від об’єктива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до площини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проєкції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не більше 1 м;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довжина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інтерфейсного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дроту - не менша, ніж необхідна для підключення пристрою до ПК педагогічного працівника у місці його встановлення;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гарантія на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не менше 3 років;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гарантія на лампу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не менше 1 року або 1000 годин в робочому режимі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Б) Маркерна дошка для мультимедійного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робоча поверхня матова, білого кольору, </w:t>
            </w:r>
          </w:p>
        </w:tc>
        <w:tc>
          <w:tcPr>
            <w:tcW w:w="2466" w:type="dxa"/>
            <w:shd w:val="clear" w:color="auto" w:fill="FFFFFF"/>
          </w:tcPr>
          <w:p w14:paraId="2EE04012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A24E91" w:rsidRPr="00A24E91" w14:paraId="167089A4" w14:textId="77777777" w:rsidTr="000B7424">
        <w:trPr>
          <w:trHeight w:val="34"/>
        </w:trPr>
        <w:tc>
          <w:tcPr>
            <w:tcW w:w="0" w:type="auto"/>
            <w:shd w:val="clear" w:color="auto" w:fill="FFFFFF"/>
          </w:tcPr>
          <w:p w14:paraId="59FE4C61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4785" w:type="dxa"/>
            <w:shd w:val="clear" w:color="auto" w:fill="FFFFFF"/>
          </w:tcPr>
          <w:p w14:paraId="0BC4F830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466" w:type="dxa"/>
            <w:shd w:val="clear" w:color="auto" w:fill="FFFFFF"/>
          </w:tcPr>
          <w:p w14:paraId="1E71FFD6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</w:tr>
      <w:tr w:rsidR="00A24E91" w:rsidRPr="00A24E91" w14:paraId="1B4202DD" w14:textId="77777777" w:rsidTr="000B7424">
        <w:trPr>
          <w:trHeight w:val="34"/>
        </w:trPr>
        <w:tc>
          <w:tcPr>
            <w:tcW w:w="0" w:type="auto"/>
            <w:vMerge w:val="restart"/>
            <w:shd w:val="clear" w:color="auto" w:fill="FFFFFF"/>
          </w:tcPr>
          <w:p w14:paraId="765D0455" w14:textId="77777777" w:rsidR="00A24E91" w:rsidRPr="00A24E91" w:rsidRDefault="00A24E91" w:rsidP="00A24E9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</w:tcPr>
          <w:p w14:paraId="697C3413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розрахована у тому числі для письма на ній маркерами на водній основі;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діагональ не менше 65</w:t>
            </w:r>
            <w:r w:rsidRPr="00A24E9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uk-UA"/>
              </w:rPr>
              <w:t>″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. Розмір та аспектне співвідношення робочої поверхні дошки має збігатися з розміром та аспектним співвідношенням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проєкційного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зображення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В) Базове програмне забезпечення для мультимедійного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проєктора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для перегляду навчального контенту;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сумісне з ОС ПК педагогічного працівника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 xml:space="preserve">Г) Акустична система зовнішня або вбудована в </w:t>
            </w:r>
            <w:proofErr w:type="spellStart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проєктор</w:t>
            </w:r>
            <w:proofErr w:type="spellEnd"/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 xml:space="preserve"> (за потребою):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потужність не менше ніж 10 Вт</w:t>
            </w:r>
          </w:p>
        </w:tc>
        <w:tc>
          <w:tcPr>
            <w:tcW w:w="2466" w:type="dxa"/>
            <w:shd w:val="clear" w:color="auto" w:fill="FFFFFF"/>
          </w:tcPr>
          <w:p w14:paraId="5CE6BF34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</w:tr>
      <w:tr w:rsidR="00A24E91" w:rsidRPr="00A24E91" w14:paraId="38429CBF" w14:textId="77777777" w:rsidTr="000B7424">
        <w:trPr>
          <w:trHeight w:val="34"/>
        </w:trPr>
        <w:tc>
          <w:tcPr>
            <w:tcW w:w="0" w:type="auto"/>
            <w:vMerge/>
            <w:shd w:val="clear" w:color="auto" w:fill="FFFFFF"/>
          </w:tcPr>
          <w:p w14:paraId="4E748B03" w14:textId="77777777" w:rsidR="00A24E91" w:rsidRPr="00A24E91" w:rsidRDefault="00A24E91" w:rsidP="00A24E9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</w:tcPr>
          <w:p w14:paraId="6805CACE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1.5. Багатофункціональний пристрій (принтер-сканер-копір):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повинен забезпечувати друк у форматі паперу А4;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принтер та копір для друку кольорових (за потребою) та чорно-білих документів;</w:t>
            </w:r>
          </w:p>
          <w:p w14:paraId="41421D13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технологія струменевого або лазерного друку;</w:t>
            </w:r>
          </w:p>
          <w:p w14:paraId="714D7434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гарантія не менше 1 року</w:t>
            </w:r>
          </w:p>
        </w:tc>
        <w:tc>
          <w:tcPr>
            <w:tcW w:w="2466" w:type="dxa"/>
            <w:shd w:val="clear" w:color="auto" w:fill="FFFFFF"/>
          </w:tcPr>
          <w:p w14:paraId="436FEF78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A24E91" w:rsidRPr="00A24E91" w14:paraId="03E41CA1" w14:textId="77777777" w:rsidTr="000B7424">
        <w:trPr>
          <w:trHeight w:val="34"/>
        </w:trPr>
        <w:tc>
          <w:tcPr>
            <w:tcW w:w="2299" w:type="dxa"/>
            <w:shd w:val="clear" w:color="auto" w:fill="FFFFFF"/>
            <w:hideMark/>
          </w:tcPr>
          <w:p w14:paraId="6E84102B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2. Електронні освітні ресурси</w:t>
            </w:r>
          </w:p>
        </w:tc>
        <w:tc>
          <w:tcPr>
            <w:tcW w:w="4785" w:type="dxa"/>
            <w:shd w:val="clear" w:color="auto" w:fill="FFFFFF"/>
            <w:hideMark/>
          </w:tcPr>
          <w:p w14:paraId="5B6D3815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Повинні відповідати вимогам Положення про електронні освітні ресурси</w:t>
            </w:r>
          </w:p>
        </w:tc>
        <w:tc>
          <w:tcPr>
            <w:tcW w:w="2466" w:type="dxa"/>
            <w:shd w:val="clear" w:color="auto" w:fill="FFFFFF"/>
            <w:hideMark/>
          </w:tcPr>
          <w:p w14:paraId="080D5E37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Відповідно до кількості ПК, на яких використовуватимуться електронні освітні ресурси</w:t>
            </w:r>
          </w:p>
        </w:tc>
      </w:tr>
      <w:tr w:rsidR="00A24E91" w:rsidRPr="00A24E91" w14:paraId="7D7594AD" w14:textId="77777777" w:rsidTr="000B7424">
        <w:trPr>
          <w:trHeight w:val="34"/>
        </w:trPr>
        <w:tc>
          <w:tcPr>
            <w:tcW w:w="2299" w:type="dxa"/>
            <w:vMerge w:val="restart"/>
            <w:shd w:val="clear" w:color="auto" w:fill="FFFFFF"/>
          </w:tcPr>
          <w:p w14:paraId="612B0C40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3. Демонстраційне обладнання</w:t>
            </w:r>
          </w:p>
        </w:tc>
        <w:tc>
          <w:tcPr>
            <w:tcW w:w="4785" w:type="dxa"/>
            <w:shd w:val="clear" w:color="auto" w:fill="FFFFFF"/>
          </w:tcPr>
          <w:p w14:paraId="4B81E331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Панель демонстраційна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Презентаційний статичний комплект з устаткуванням для закріплення та демонстрації таблиць, карт, демонстраційних моделей та інших наочних засобів навчання</w:t>
            </w:r>
          </w:p>
        </w:tc>
        <w:tc>
          <w:tcPr>
            <w:tcW w:w="2466" w:type="dxa"/>
            <w:shd w:val="clear" w:color="auto" w:fill="FFFFFF"/>
          </w:tcPr>
          <w:p w14:paraId="50F5B6E0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A24E91" w:rsidRPr="00A24E91" w14:paraId="56C26D8D" w14:textId="77777777" w:rsidTr="000B7424">
        <w:trPr>
          <w:trHeight w:val="34"/>
        </w:trPr>
        <w:tc>
          <w:tcPr>
            <w:tcW w:w="2299" w:type="dxa"/>
            <w:vMerge/>
            <w:shd w:val="clear" w:color="auto" w:fill="FFFFFF"/>
          </w:tcPr>
          <w:p w14:paraId="22D5A0DE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</w:tcPr>
          <w:p w14:paraId="78892D67" w14:textId="77777777" w:rsid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Цифрова документ-камера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Забезпечує демонстрацію плоских документів форматом не менше А4. У комплект має входити програмне забезпечення для роботи з документ-камерою сумісне з ОС ПК педагогічного працівника, повинне мати інтерфейс українською мовою</w:t>
            </w:r>
          </w:p>
          <w:p w14:paraId="419FB092" w14:textId="7B5A4211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bookmarkStart w:id="3" w:name="_GoBack"/>
            <w:bookmarkEnd w:id="3"/>
          </w:p>
        </w:tc>
        <w:tc>
          <w:tcPr>
            <w:tcW w:w="2466" w:type="dxa"/>
            <w:shd w:val="clear" w:color="auto" w:fill="FFFFFF"/>
          </w:tcPr>
          <w:p w14:paraId="26459719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A24E91" w:rsidRPr="00A24E91" w14:paraId="6445A6AD" w14:textId="77777777" w:rsidTr="000B7424">
        <w:trPr>
          <w:trHeight w:val="34"/>
        </w:trPr>
        <w:tc>
          <w:tcPr>
            <w:tcW w:w="2299" w:type="dxa"/>
            <w:vMerge w:val="restart"/>
            <w:shd w:val="clear" w:color="auto" w:fill="FFFFFF"/>
            <w:hideMark/>
          </w:tcPr>
          <w:p w14:paraId="28F93F64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4. Пристосування</w:t>
            </w:r>
          </w:p>
        </w:tc>
        <w:tc>
          <w:tcPr>
            <w:tcW w:w="4785" w:type="dxa"/>
            <w:shd w:val="clear" w:color="auto" w:fill="FFFFFF"/>
            <w:hideMark/>
          </w:tcPr>
          <w:p w14:paraId="7D0196EC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4.1. Дошка. Тип 1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Дошка магнітно-маркерна, біла на металевій основі, діагональ не менше 2 м, стаціонарна або портативна.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Маркери для білої дошки (не менше 3-х різних кольорів).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Губка для маркерної дошки (не менше 2-х).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Набір магнітів для кріплення до дошки (не менше 3-х).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Набір для кріплення дошки</w:t>
            </w:r>
          </w:p>
        </w:tc>
        <w:tc>
          <w:tcPr>
            <w:tcW w:w="2466" w:type="dxa"/>
            <w:shd w:val="clear" w:color="auto" w:fill="FFFFFF"/>
            <w:hideMark/>
          </w:tcPr>
          <w:p w14:paraId="4107D365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A24E91" w:rsidRPr="00A24E91" w14:paraId="0D5DDE3B" w14:textId="77777777" w:rsidTr="000B7424">
        <w:trPr>
          <w:trHeight w:val="34"/>
        </w:trPr>
        <w:tc>
          <w:tcPr>
            <w:tcW w:w="0" w:type="auto"/>
            <w:vMerge/>
            <w:shd w:val="clear" w:color="auto" w:fill="FFFFFF"/>
            <w:hideMark/>
          </w:tcPr>
          <w:p w14:paraId="5F1824A5" w14:textId="77777777" w:rsidR="00A24E91" w:rsidRPr="00A24E91" w:rsidRDefault="00A24E91" w:rsidP="00A24E9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14:paraId="3C42BA10" w14:textId="77777777" w:rsidR="00A24E91" w:rsidRPr="00A24E91" w:rsidRDefault="00A24E91" w:rsidP="00A24E9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4.2. Дошка. Тип 2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Дошка для крейди на одну, дві, чотири або п’ять робочих поверхонь, може використовуватись як магнітна для кріплення демонстраційного обладнання, діагональ не менше 2 м.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Набір крейди для дошки (біла та кольорова) (не менше 5-ти).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Набір магнітів для кріплення до дошки (не менше 3-х).</w:t>
            </w: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br/>
              <w:t>Набір для кріплення дошки</w:t>
            </w:r>
          </w:p>
        </w:tc>
        <w:tc>
          <w:tcPr>
            <w:tcW w:w="2466" w:type="dxa"/>
            <w:shd w:val="clear" w:color="auto" w:fill="FFFFFF"/>
            <w:hideMark/>
          </w:tcPr>
          <w:p w14:paraId="66E8D5C5" w14:textId="77777777" w:rsidR="00A24E91" w:rsidRPr="00A24E91" w:rsidRDefault="00A24E91" w:rsidP="00A24E9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</w:pPr>
            <w:r w:rsidRPr="00A24E91">
              <w:rPr>
                <w:rFonts w:ascii="Times New Roman" w:hAnsi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</w:tbl>
    <w:p w14:paraId="652333FB" w14:textId="77777777" w:rsidR="00A24E91" w:rsidRPr="00A24E91" w:rsidRDefault="00A24E91" w:rsidP="00A24E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24E91">
        <w:rPr>
          <w:rFonts w:ascii="Times New Roman" w:eastAsia="Calibri" w:hAnsi="Times New Roman"/>
          <w:sz w:val="28"/>
          <w:szCs w:val="28"/>
          <w:lang w:eastAsia="en-US"/>
        </w:rPr>
        <w:lastRenderedPageBreak/>
        <w:t>».</w:t>
      </w:r>
    </w:p>
    <w:p w14:paraId="128E0704" w14:textId="77777777" w:rsidR="00A24E91" w:rsidRPr="00A24E91" w:rsidRDefault="00A24E91" w:rsidP="00A24E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DAFEE54" w14:textId="77777777" w:rsidR="00A24E91" w:rsidRPr="00A24E91" w:rsidRDefault="00A24E91" w:rsidP="00A24E9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1571078" w14:textId="77777777" w:rsidR="00A24E91" w:rsidRPr="00A24E91" w:rsidRDefault="00A24E91" w:rsidP="00A24E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24E9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Т. в. о генерального директора </w:t>
      </w:r>
    </w:p>
    <w:p w14:paraId="541F7A20" w14:textId="43F73519" w:rsidR="00A24E91" w:rsidRPr="00A24E91" w:rsidRDefault="00A24E91" w:rsidP="00A24E9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24E91">
        <w:rPr>
          <w:rFonts w:ascii="Times New Roman" w:eastAsia="Calibri" w:hAnsi="Times New Roman"/>
          <w:b/>
          <w:sz w:val="28"/>
          <w:szCs w:val="28"/>
          <w:lang w:eastAsia="en-US"/>
        </w:rPr>
        <w:t>директорату цифрової трансформації</w:t>
      </w:r>
      <w:r w:rsidRPr="00A24E91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A24E91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Тетяна ДАЛЄВСЬКА</w:t>
      </w:r>
    </w:p>
    <w:p w14:paraId="569CEFBF" w14:textId="77777777" w:rsidR="00A24E91" w:rsidRPr="00A24E91" w:rsidRDefault="00A24E91" w:rsidP="00A24E91">
      <w:pPr>
        <w:spacing w:after="160" w:line="240" w:lineRule="auto"/>
        <w:rPr>
          <w:rFonts w:ascii="Times New Roman" w:eastAsia="Calibri" w:hAnsi="Times New Roman"/>
          <w:sz w:val="28"/>
          <w:lang w:eastAsia="en-US"/>
        </w:rPr>
      </w:pPr>
    </w:p>
    <w:p w14:paraId="473FC1A8" w14:textId="77777777" w:rsidR="00A24E91" w:rsidRPr="00057A94" w:rsidRDefault="00A24E91" w:rsidP="00057A94">
      <w:pPr>
        <w:spacing w:before="120"/>
        <w:jc w:val="both"/>
        <w:rPr>
          <w:rFonts w:ascii="Times New Roman" w:hAnsi="Times New Roman"/>
          <w:b/>
          <w:sz w:val="28"/>
        </w:rPr>
      </w:pPr>
    </w:p>
    <w:sectPr w:rsidR="00A24E91" w:rsidRPr="00057A94" w:rsidSect="00606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2" w:right="720" w:bottom="1418" w:left="1701" w:header="143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240A5" w14:textId="77777777" w:rsidR="008B4B17" w:rsidRDefault="008B4B17">
      <w:pPr>
        <w:spacing w:after="0" w:line="240" w:lineRule="auto"/>
      </w:pPr>
    </w:p>
  </w:endnote>
  <w:endnote w:type="continuationSeparator" w:id="0">
    <w:p w14:paraId="2B9FC013" w14:textId="77777777" w:rsidR="008B4B17" w:rsidRDefault="008B4B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A6AAA" w14:textId="77777777" w:rsidR="006068E0" w:rsidRDefault="006068E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E7C73" w14:textId="77777777" w:rsidR="006068E0" w:rsidRDefault="006068E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D5CA" w14:textId="77777777" w:rsidR="006068E0" w:rsidRDefault="006068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16793" w14:textId="77777777" w:rsidR="008B4B17" w:rsidRDefault="008B4B17">
      <w:pPr>
        <w:spacing w:after="0" w:line="240" w:lineRule="auto"/>
      </w:pPr>
    </w:p>
  </w:footnote>
  <w:footnote w:type="continuationSeparator" w:id="0">
    <w:p w14:paraId="553B4D76" w14:textId="77777777" w:rsidR="008B4B17" w:rsidRDefault="008B4B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CAEEA" w14:textId="77777777" w:rsidR="006068E0" w:rsidRDefault="006068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A068" w14:textId="320B294F" w:rsidR="00D7434F" w:rsidRDefault="005B04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  <w:sz w:val="28"/>
      </w:rPr>
    </w:pPr>
    <w:r>
      <w:rPr>
        <w:rFonts w:ascii="Times New Roman" w:hAnsi="Times New Roman"/>
        <w:color w:val="000000"/>
        <w:sz w:val="28"/>
      </w:rPr>
      <w:fldChar w:fldCharType="begin"/>
    </w:r>
    <w:r>
      <w:rPr>
        <w:rFonts w:ascii="Times New Roman" w:hAnsi="Times New Roman"/>
        <w:color w:val="000000"/>
        <w:sz w:val="28"/>
      </w:rPr>
      <w:instrText>PAGE</w:instrText>
    </w:r>
    <w:r>
      <w:rPr>
        <w:rFonts w:ascii="Times New Roman" w:hAnsi="Times New Roman"/>
        <w:color w:val="000000"/>
        <w:sz w:val="28"/>
      </w:rPr>
      <w:fldChar w:fldCharType="separate"/>
    </w:r>
    <w:r w:rsidR="000B7424">
      <w:rPr>
        <w:rFonts w:ascii="Times New Roman" w:hAnsi="Times New Roman"/>
        <w:noProof/>
        <w:color w:val="000000"/>
        <w:sz w:val="28"/>
      </w:rPr>
      <w:t>7</w:t>
    </w:r>
    <w:r>
      <w:rPr>
        <w:rFonts w:ascii="Times New Roman" w:hAnsi="Times New Roman"/>
        <w:color w:val="000000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1A363" w14:textId="2EC2839C" w:rsidR="006068E0" w:rsidRPr="006068E0" w:rsidRDefault="006068E0">
    <w:pPr>
      <w:pStyle w:val="a5"/>
      <w:rPr>
        <w:rFonts w:ascii="Times New Roman" w:hAnsi="Times New Roman"/>
      </w:rPr>
    </w:pPr>
    <w:r>
      <w:ptab w:relativeTo="margin" w:alignment="right" w:leader="none"/>
    </w:r>
    <w:r w:rsidRPr="006068E0">
      <w:rPr>
        <w:rFonts w:ascii="Times New Roman" w:hAnsi="Times New Roman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FB4"/>
    <w:multiLevelType w:val="multilevel"/>
    <w:tmpl w:val="909642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ADE2F67"/>
    <w:multiLevelType w:val="multilevel"/>
    <w:tmpl w:val="87E25BB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9B61F7B"/>
    <w:multiLevelType w:val="hybridMultilevel"/>
    <w:tmpl w:val="23BC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4F"/>
    <w:rsid w:val="00057A94"/>
    <w:rsid w:val="0006734F"/>
    <w:rsid w:val="000B7424"/>
    <w:rsid w:val="001A08A0"/>
    <w:rsid w:val="00293738"/>
    <w:rsid w:val="002B6E00"/>
    <w:rsid w:val="002C7D92"/>
    <w:rsid w:val="00380777"/>
    <w:rsid w:val="003F4999"/>
    <w:rsid w:val="00485ACA"/>
    <w:rsid w:val="005062AF"/>
    <w:rsid w:val="00584004"/>
    <w:rsid w:val="005B04EC"/>
    <w:rsid w:val="006068E0"/>
    <w:rsid w:val="00685C77"/>
    <w:rsid w:val="008B4B17"/>
    <w:rsid w:val="008E7489"/>
    <w:rsid w:val="00A24E91"/>
    <w:rsid w:val="00B00F4B"/>
    <w:rsid w:val="00B47568"/>
    <w:rsid w:val="00C35CD1"/>
    <w:rsid w:val="00C86DB9"/>
    <w:rsid w:val="00CF6465"/>
    <w:rsid w:val="00D66340"/>
    <w:rsid w:val="00D7434F"/>
    <w:rsid w:val="00E43189"/>
    <w:rsid w:val="00FE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F07BE"/>
  <w15:docId w15:val="{5DC0599D-5172-44D9-997D-28306822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bCs/>
      <w:color w:val="4472C4" w:themeColor="accent1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bCs/>
      <w:i/>
      <w:iCs/>
      <w:color w:val="4472C4" w:themeColor="accent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pBdr>
        <w:bottom w:val="single" w:sz="8" w:space="4" w:color="4472C4" w:themeColor="accent1"/>
      </w:pBdr>
      <w:spacing w:after="300"/>
      <w:contextualSpacing/>
    </w:pPr>
    <w:rPr>
      <w:color w:val="323E4F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paragraph" w:styleId="a7">
    <w:name w:val="Normal Indent"/>
    <w:basedOn w:val="a"/>
    <w:pPr>
      <w:ind w:left="720"/>
    </w:pPr>
  </w:style>
  <w:style w:type="paragraph" w:styleId="a8">
    <w:name w:val="Subtitle"/>
    <w:basedOn w:val="a"/>
    <w:next w:val="a"/>
    <w:link w:val="a9"/>
    <w:pPr>
      <w:pBdr>
        <w:top w:val="nil"/>
        <w:left w:val="nil"/>
        <w:bottom w:val="nil"/>
        <w:right w:val="nil"/>
        <w:between w:val="nil"/>
      </w:pBdr>
      <w:ind w:left="86" w:hanging="86"/>
    </w:pPr>
    <w:rPr>
      <w:i/>
      <w:color w:val="4472C4"/>
      <w:sz w:val="24"/>
      <w:szCs w:val="24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paragraph" w:styleId="ab">
    <w:name w:val="footer"/>
    <w:basedOn w:val="a"/>
    <w:link w:val="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j">
    <w:name w:val="tj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tc">
    <w:name w:val="tc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e">
    <w:name w:val="footnote text"/>
    <w:link w:val="af"/>
    <w:semiHidden/>
    <w:pPr>
      <w:spacing w:after="0" w:line="240" w:lineRule="auto"/>
    </w:pPr>
    <w:rPr>
      <w:sz w:val="20"/>
      <w:szCs w:val="20"/>
    </w:rPr>
  </w:style>
  <w:style w:type="paragraph" w:styleId="af0">
    <w:name w:val="endnote text"/>
    <w:link w:val="af1"/>
    <w:semiHidden/>
    <w:pPr>
      <w:spacing w:after="0" w:line="240" w:lineRule="auto"/>
    </w:pPr>
    <w:rPr>
      <w:sz w:val="20"/>
      <w:szCs w:val="20"/>
    </w:rPr>
  </w:style>
  <w:style w:type="character" w:styleId="af2">
    <w:name w:val="line number"/>
    <w:basedOn w:val="a0"/>
    <w:semiHidden/>
  </w:style>
  <w:style w:type="character" w:styleId="af3">
    <w:name w:val="Hyperlink"/>
    <w:basedOn w:val="a0"/>
    <w:rPr>
      <w:color w:val="0563C1" w:themeColor="hyperlink"/>
      <w:u w:val="single"/>
    </w:rPr>
  </w:style>
  <w:style w:type="character" w:customStyle="1" w:styleId="a6">
    <w:name w:val="Верхній колонтитул Знак"/>
    <w:basedOn w:val="a0"/>
    <w:link w:val="a5"/>
  </w:style>
  <w:style w:type="character" w:customStyle="1" w:styleId="10">
    <w:name w:val="Заголовок 1 Знак"/>
    <w:basedOn w:val="a0"/>
    <w:link w:val="1"/>
    <w:rPr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Pr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rPr>
      <w:b/>
      <w:bCs/>
      <w:i/>
      <w:iCs/>
      <w:color w:val="4472C4" w:themeColor="accent1"/>
    </w:rPr>
  </w:style>
  <w:style w:type="character" w:customStyle="1" w:styleId="a9">
    <w:name w:val="Підзаголовок Знак"/>
    <w:basedOn w:val="a0"/>
    <w:link w:val="a8"/>
    <w:rPr>
      <w:i/>
      <w:iCs/>
      <w:color w:val="4472C4" w:themeColor="accent1"/>
      <w:spacing w:val="15"/>
      <w:sz w:val="24"/>
      <w:szCs w:val="24"/>
    </w:rPr>
  </w:style>
  <w:style w:type="character" w:customStyle="1" w:styleId="a4">
    <w:name w:val="Назва Знак"/>
    <w:basedOn w:val="a0"/>
    <w:link w:val="a3"/>
    <w:rPr>
      <w:color w:val="323E4F" w:themeColor="text2" w:themeShade="BF"/>
      <w:spacing w:val="5"/>
      <w:kern w:val="28"/>
      <w:sz w:val="52"/>
      <w:szCs w:val="52"/>
    </w:rPr>
  </w:style>
  <w:style w:type="character" w:styleId="af4">
    <w:name w:val="Emphasis"/>
    <w:basedOn w:val="a0"/>
    <w:qFormat/>
    <w:rPr>
      <w:i/>
      <w:iCs/>
    </w:rPr>
  </w:style>
  <w:style w:type="character" w:customStyle="1" w:styleId="ac">
    <w:name w:val="Нижній колонтитул Знак"/>
    <w:basedOn w:val="a0"/>
    <w:link w:val="ab"/>
  </w:style>
  <w:style w:type="character" w:styleId="af5">
    <w:name w:val="footnote reference"/>
    <w:semiHidden/>
    <w:rPr>
      <w:vertAlign w:val="superscript"/>
    </w:rPr>
  </w:style>
  <w:style w:type="character" w:customStyle="1" w:styleId="af">
    <w:name w:val="Текст виноски Знак"/>
    <w:link w:val="ae"/>
    <w:semiHidden/>
    <w:rPr>
      <w:sz w:val="20"/>
      <w:szCs w:val="20"/>
    </w:rPr>
  </w:style>
  <w:style w:type="character" w:styleId="af6">
    <w:name w:val="endnote reference"/>
    <w:semiHidden/>
    <w:rPr>
      <w:vertAlign w:val="superscript"/>
    </w:rPr>
  </w:style>
  <w:style w:type="character" w:customStyle="1" w:styleId="af1">
    <w:name w:val="Текст кінцевої виноски Знак"/>
    <w:link w:val="af0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uUoOrlfmAuKWVufvAaJFENnblQ==">CgMxLjA4AHIhMVBMNHZ2cElBRTJwU0dGMVNVS2M2ZTUtWlFMVUY0dGhM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6249</Words>
  <Characters>3563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User</cp:lastModifiedBy>
  <cp:revision>15</cp:revision>
  <dcterms:created xsi:type="dcterms:W3CDTF">2024-06-18T05:34:00Z</dcterms:created>
  <dcterms:modified xsi:type="dcterms:W3CDTF">2024-09-03T08:19:00Z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13b0750d62d3bb69e4668d78c4511deb3d36ab0887d44c24e988c6249940a845</vt:lpwstr>
  </property>
</Properties>
</file>