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ind w:right="-142"/>
        <w:contextualSpacing w:val="1"/>
        <w:jc w:val="center"/>
        <w:outlineLvl w:val="2"/>
        <w:rPr>
          <w:b w:val="1"/>
          <w:color w:val="000000" w:themeColor="text1"/>
          <w:sz w:val="28"/>
          <w:szCs w:val="28"/>
          <w:lang w:val="ru-RU" w:eastAsia="uk-UA"/>
        </w:rPr>
      </w:pPr>
      <w:hyperlink xmlns:r="http://schemas.openxmlformats.org/officeDocument/2006/relationships" r:id="R2" w:tgtFrame="_top">
        <w:r>
          <w:rPr>
            <w:b w:val="1"/>
            <w:color w:val="000000" w:themeColor="text1"/>
            <w:sz w:val="28"/>
            <w:szCs w:val="28"/>
            <w:lang w:val="ru-RU" w:eastAsia="uk-UA"/>
          </w:rPr>
          <w:t>ПОЯСНЮВАЛЬНА ЗАПИСКА</w:t>
        </w:r>
      </w:hyperlink>
    </w:p>
    <w:p>
      <w:pPr>
        <w:shd w:val="clear" w:fill="FFFFFF"/>
        <w:ind w:left="450" w:right="-2"/>
        <w:jc w:val="center"/>
        <w:rPr>
          <w:b w:val="1"/>
          <w:bCs w:val="1"/>
          <w:sz w:val="28"/>
          <w:szCs w:val="28"/>
          <w:lang w:eastAsia="uk-UA"/>
        </w:rPr>
      </w:pPr>
      <w:r>
        <w:rPr>
          <w:b w:val="1"/>
          <w:bCs w:val="1"/>
          <w:sz w:val="28"/>
          <w:szCs w:val="28"/>
          <w:lang w:eastAsia="uk-UA"/>
        </w:rPr>
        <w:t xml:space="preserve">до проєкту наказу Міністерства освіти і науки України </w:t>
      </w:r>
    </w:p>
    <w:p>
      <w:pPr>
        <w:jc w:val="center"/>
        <w:rPr>
          <w:b w:val="1"/>
          <w:i w:val="1"/>
          <w:bCs w:val="1"/>
          <w:sz w:val="28"/>
          <w:szCs w:val="28"/>
          <w:lang w:eastAsia="uk-UA"/>
        </w:rPr>
      </w:pPr>
      <w:r>
        <w:rPr>
          <w:b w:val="1"/>
          <w:bCs w:val="1"/>
          <w:sz w:val="28"/>
          <w:szCs w:val="28"/>
          <w:lang w:eastAsia="uk-UA"/>
        </w:rPr>
        <w:t>«Про затвердження</w:t>
      </w:r>
      <w:r>
        <w:rPr>
          <w:b w:val="1"/>
          <w:bCs w:val="1"/>
          <w:sz w:val="28"/>
          <w:szCs w:val="28"/>
          <w:lang w:val="ru-RU" w:eastAsia="uk-UA"/>
        </w:rPr>
        <w:t xml:space="preserve"> </w:t>
      </w:r>
      <w:r>
        <w:rPr>
          <w:b w:val="1"/>
          <w:bCs w:val="1"/>
          <w:sz w:val="28"/>
          <w:szCs w:val="28"/>
          <w:lang w:eastAsia="uk-UA"/>
        </w:rPr>
        <w:t>примірної форми звіту про результати виконання наукових (науково-технічних) робіт чи окремих їхніх етапів</w:t>
      </w:r>
      <w:r>
        <w:rPr>
          <w:b w:val="1"/>
          <w:bCs w:val="1"/>
          <w:sz w:val="28"/>
          <w:szCs w:val="28"/>
          <w:lang w:val="ru-RU" w:eastAsia="uk-UA"/>
        </w:rPr>
        <w:t xml:space="preserve">, </w:t>
      </w:r>
      <w:r>
        <w:rPr>
          <w:b w:val="1"/>
          <w:bCs w:val="1"/>
          <w:sz w:val="28"/>
          <w:szCs w:val="28"/>
          <w:lang w:eastAsia="uk-UA"/>
        </w:rPr>
        <w:t xml:space="preserve">що виконуються частково або повністю за рахунок коштів державного бюджету» </w:t>
      </w:r>
    </w:p>
    <w:p>
      <w:pPr>
        <w:shd w:val="clear" w:fill="FFFFFF"/>
        <w:ind w:right="-142"/>
        <w:contextualSpacing w:val="1"/>
        <w:outlineLvl w:val="2"/>
        <w:rPr>
          <w:b w:val="1"/>
          <w:color w:val="000000" w:themeColor="text1"/>
          <w:sz w:val="28"/>
          <w:szCs w:val="28"/>
          <w:lang w:eastAsia="uk-UA"/>
        </w:rPr>
      </w:pPr>
    </w:p>
    <w:p>
      <w:pPr>
        <w:pStyle w:val="P3"/>
        <w:numPr>
          <w:ilvl w:val="0"/>
          <w:numId w:val="9"/>
        </w:numPr>
        <w:spacing w:before="0" w:after="0" w:beforeAutospacing="0" w:afterAutospacing="0"/>
        <w:ind w:firstLine="709" w:left="0" w:right="-142"/>
        <w:contextualSpacing w:val="1"/>
        <w:jc w:val="both"/>
        <w:rPr>
          <w:rStyle w:val="C14"/>
          <w:b w:val="1"/>
          <w:bCs w:val="1"/>
          <w:sz w:val="28"/>
          <w:szCs w:val="28"/>
        </w:rPr>
      </w:pPr>
      <w:r>
        <w:rPr>
          <w:rStyle w:val="C14"/>
          <w:b w:val="1"/>
          <w:bCs w:val="1"/>
          <w:sz w:val="28"/>
          <w:szCs w:val="28"/>
        </w:rPr>
        <w:t>Мета</w:t>
      </w:r>
    </w:p>
    <w:p>
      <w:pPr>
        <w:pStyle w:val="P3"/>
        <w:ind w:firstLine="709" w:right="-142"/>
        <w:contextualSpacing w:val="1"/>
        <w:jc w:val="both"/>
        <w:rPr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</w:pPr>
      <w:r>
        <w:rPr>
          <w:rStyle w:val="C14"/>
          <w:bCs w:val="1"/>
          <w:sz w:val="28"/>
          <w:szCs w:val="28"/>
        </w:rPr>
        <w:t xml:space="preserve">Проєкт наказу розроблено з метою </w:t>
      </w:r>
      <w:r>
        <w:rPr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більш ефективного</w:t>
      </w:r>
      <w:r>
        <w:rPr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і </w:t>
      </w:r>
      <w:r>
        <w:rPr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р</w:t>
      </w:r>
      <w:r>
        <w:rPr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аціонального </w:t>
      </w:r>
      <w:r>
        <w:rPr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 використання часу </w:t>
      </w:r>
      <w:r>
        <w:rPr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/</w:t>
      </w:r>
      <w:r>
        <w:rPr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 ресурсів вчених у ході підготовки та подання </w:t>
      </w:r>
      <w:r>
        <w:rPr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звітів</w:t>
      </w:r>
      <w:r>
        <w:rPr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про результати виконання наукових (науково-технічних) робіт</w:t>
      </w:r>
      <w:r>
        <w:rPr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,</w:t>
      </w:r>
      <w:r>
        <w:rPr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 чи окремих їх</w:t>
      </w:r>
      <w:r>
        <w:rPr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 етапів</w:t>
      </w:r>
      <w:r>
        <w:rPr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, через </w:t>
      </w:r>
      <w:r>
        <w:rPr>
          <w:bCs w:val="1"/>
          <w:sz w:val="28"/>
          <w:szCs w:val="28"/>
        </w:rPr>
        <w:t>формування спрощеної структури та змісту звітної документації</w:t>
      </w:r>
      <w:r>
        <w:rPr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,</w:t>
      </w:r>
      <w:r>
        <w:rPr>
          <w:bCs w:val="1"/>
          <w:sz w:val="28"/>
          <w:szCs w:val="28"/>
        </w:rPr>
        <w:t xml:space="preserve"> як частини інформаційних ресурсів </w:t>
      </w:r>
      <w:r>
        <w:rPr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н</w:t>
      </w:r>
      <w:r>
        <w:rPr>
          <w:bCs w:val="1"/>
          <w:sz w:val="28"/>
          <w:szCs w:val="28"/>
        </w:rPr>
        <w:t>аціональної системи науково-технічної інформації</w:t>
      </w:r>
      <w:r>
        <w:rPr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.</w:t>
      </w:r>
    </w:p>
    <w:p>
      <w:pPr>
        <w:pStyle w:val="P3"/>
        <w:ind w:firstLine="709" w:right="-142"/>
        <w:contextualSpacing w:val="1"/>
        <w:jc w:val="both"/>
        <w:rPr>
          <w:b w:val="1"/>
          <w:bCs w:val="1"/>
          <w:sz w:val="28"/>
          <w:szCs w:val="28"/>
        </w:rPr>
      </w:pPr>
    </w:p>
    <w:p>
      <w:pPr>
        <w:pStyle w:val="P3"/>
        <w:spacing w:before="0" w:after="0" w:beforeAutospacing="0" w:afterAutospacing="0"/>
        <w:ind w:firstLine="709" w:right="-142"/>
        <w:contextualSpacing w:val="1"/>
        <w:jc w:val="both"/>
        <w:rPr>
          <w:b w:val="1"/>
          <w:bCs w:val="1"/>
          <w:sz w:val="28"/>
          <w:szCs w:val="28"/>
        </w:rPr>
      </w:pPr>
      <w:bookmarkStart w:id="0" w:name="n3486"/>
      <w:bookmarkEnd w:id="0"/>
      <w:bookmarkStart w:id="1" w:name="n3487"/>
      <w:bookmarkEnd w:id="1"/>
      <w:r>
        <w:rPr>
          <w:rStyle w:val="C14"/>
          <w:b w:val="1"/>
          <w:bCs w:val="1"/>
          <w:sz w:val="28"/>
          <w:szCs w:val="28"/>
        </w:rPr>
        <w:t>2.</w:t>
      </w:r>
      <w:r>
        <w:rPr>
          <w:rStyle w:val="C14"/>
          <w:b w:val="1"/>
          <w:bCs w:val="1"/>
          <w:sz w:val="28"/>
          <w:szCs w:val="28"/>
          <w:lang w:val="ru-RU"/>
        </w:rPr>
        <w:t> </w:t>
      </w:r>
      <w:r>
        <w:rPr>
          <w:rStyle w:val="C14"/>
          <w:b w:val="1"/>
          <w:bCs w:val="1"/>
          <w:sz w:val="28"/>
          <w:szCs w:val="28"/>
        </w:rPr>
        <w:t>Обґрунтування необхідності прийняття акта</w:t>
      </w:r>
      <w:bookmarkStart w:id="2" w:name="n3488"/>
      <w:bookmarkEnd w:id="2"/>
      <w:bookmarkStart w:id="3" w:name="n3490"/>
      <w:bookmarkEnd w:id="3"/>
      <w:r>
        <w:rPr>
          <w:rStyle w:val="C14"/>
          <w:b w:val="1"/>
          <w:bCs w:val="1"/>
          <w:sz w:val="28"/>
          <w:szCs w:val="28"/>
        </w:rPr>
        <w:t xml:space="preserve"> </w:t>
      </w:r>
    </w:p>
    <w:p>
      <w:pPr>
        <w:ind w:firstLine="709"/>
        <w:jc w:val="both"/>
        <w:outlineLvl w:val="2"/>
        <w:rPr>
          <w:bCs w:val="1"/>
          <w:color w:val="000000"/>
          <w:sz w:val="28"/>
          <w:szCs w:val="28"/>
          <w:lang w:eastAsia="ru-RU"/>
        </w:rPr>
      </w:pPr>
      <w:r>
        <w:rPr>
          <w:bCs w:val="1"/>
          <w:color w:val="000000"/>
          <w:sz w:val="28"/>
          <w:szCs w:val="28"/>
          <w:lang w:eastAsia="ru-RU"/>
        </w:rPr>
        <w:t xml:space="preserve">Відповідно до статті 11 Закону України «Про науково-технічну інформацію» </w:t>
      </w:r>
      <w:r>
        <w:rPr>
          <w:sz w:val="28"/>
          <w:szCs w:val="28"/>
          <w:shd w:val="clear" w:color="auto" w:fill="FFFFFF"/>
        </w:rPr>
        <w:t xml:space="preserve">результати науково-дослідної, дослідно-конструкторської, проектно-технологічної та іншої науково-технічної діяльності, фінансування якої повністю або частково здійснюється за рахунок коштів державного бюджету, підлягають обов’язковій реєстрації та обліку. </w:t>
      </w:r>
      <w:r>
        <w:rPr>
          <w:bCs w:val="1"/>
          <w:color w:val="000000"/>
          <w:sz w:val="28"/>
          <w:szCs w:val="28"/>
          <w:lang w:eastAsia="ru-RU"/>
        </w:rPr>
        <w:t>У ході запровадження нового Порядку</w:t>
      </w:r>
      <w:r>
        <w:rPr>
          <w:b w:val="1"/>
          <w:bCs w:val="1"/>
          <w:sz w:val="28"/>
          <w:szCs w:val="28"/>
          <w:lang w:eastAsia="uk-UA"/>
        </w:rPr>
        <w:t xml:space="preserve"> </w:t>
      </w:r>
      <w:r>
        <w:rPr>
          <w:bCs w:val="1"/>
          <w:color w:val="000000"/>
          <w:sz w:val="28"/>
          <w:szCs w:val="28"/>
          <w:lang w:eastAsia="ru-RU"/>
        </w:rPr>
        <w:t>державної реєстрації та обліку науково-дослідних, дослідно-конструкторських робіт і дисертацій, затвердженого наказом Міністерства освіти і науки України від 24 березня 2022 року № 271, зареєстрованого в Міністерстві юстиції України 14 червня 2022 року за № 640/37976 (зі змінами), було виявлено труднощі, пов’язані з поданням звітних документів про результати виконання наукових (науково-технічних) робіт чи їхніх етапів, оскільки передбачена структура і правила оформлювання звітів відповідно до ДСТУ 3008-2015 містить багато зайвої інформації, яка подекуди дублюється, або міститься в обліковій картці науково-дослідних, дослідно-конструкторських робіт та в обліковій картці дисертації.</w:t>
      </w:r>
    </w:p>
    <w:p>
      <w:pPr>
        <w:ind w:firstLine="709"/>
        <w:jc w:val="both"/>
        <w:outlineLvl w:val="2"/>
        <w:rPr>
          <w:bCs w:val="1"/>
          <w:color w:val="000000"/>
          <w:sz w:val="28"/>
          <w:szCs w:val="28"/>
          <w:lang w:eastAsia="ru-RU"/>
        </w:rPr>
      </w:pPr>
      <w:r>
        <w:rPr>
          <w:bCs w:val="1"/>
          <w:color w:val="000000"/>
          <w:sz w:val="28"/>
          <w:szCs w:val="28"/>
          <w:lang w:eastAsia="ru-RU"/>
        </w:rPr>
        <w:t xml:space="preserve">Запропонована примірна форма звіту передбачає подання інформації про досягнення запланованих результатів та додаткові показники, які можуть бути отримані у ході виконання наукових (науково-технічних) робіт. Примірна форма є уніфікованою для подачі остаточних та проміжних звітів, що значно спрощує її заповнення та сприяє раціональному використанню часу тими вченими, до обов’язків яких належить підготовка та подання звітів. </w:t>
      </w:r>
    </w:p>
    <w:p>
      <w:pPr>
        <w:ind w:firstLine="709"/>
        <w:jc w:val="both"/>
        <w:outlineLvl w:val="2"/>
        <w:rPr>
          <w:bCs w:val="1"/>
          <w:color w:val="000000"/>
          <w:sz w:val="28"/>
          <w:szCs w:val="28"/>
          <w:lang w:eastAsia="ru-RU"/>
        </w:rPr>
      </w:pPr>
      <w:r>
        <w:rPr>
          <w:bCs w:val="1"/>
          <w:color w:val="000000"/>
          <w:sz w:val="28"/>
          <w:szCs w:val="28"/>
          <w:lang w:eastAsia="ru-RU"/>
        </w:rPr>
        <w:t xml:space="preserve">Водночас, проєкт акта не забороняє подання </w:t>
      </w:r>
      <w:bookmarkStart w:id="4" w:name="_GoBack"/>
      <w:bookmarkEnd w:id="4"/>
      <w:r>
        <w:rPr>
          <w:bCs w:val="1"/>
          <w:color w:val="000000"/>
          <w:sz w:val="28"/>
          <w:szCs w:val="28"/>
          <w:lang w:eastAsia="ru-RU"/>
        </w:rPr>
        <w:t>звітних документів, оформлених відповідно до вимог ДСТУ 3008-2015, а пропонує альтернативний (спрощений) варіант.</w:t>
      </w:r>
    </w:p>
    <w:p>
      <w:pPr>
        <w:ind w:firstLine="709"/>
        <w:jc w:val="both"/>
        <w:outlineLvl w:val="2"/>
        <w:rPr>
          <w:bCs w:val="1"/>
          <w:sz w:val="28"/>
          <w:szCs w:val="28"/>
          <w:lang w:eastAsia="uk-UA"/>
        </w:rPr>
      </w:pPr>
      <w:r>
        <w:rPr>
          <w:bCs w:val="1"/>
          <w:sz w:val="28"/>
          <w:szCs w:val="28"/>
          <w:lang w:eastAsia="uk-UA"/>
        </w:rPr>
        <w:t xml:space="preserve">Примірну форму звіту про виконані наукові (науково-технічні) роботи чи окремі їхні етапи було апробовано протягом звітної кампанії про підсумки наукової, науково-технічної та інноваційної діяльності за 2023 рік та деякі попередні періоди закладів вищої освіти та наукових установ, що належать до сфери управління Міністерства освіти і науки України. </w:t>
      </w:r>
    </w:p>
    <w:p>
      <w:pPr>
        <w:ind w:firstLine="709"/>
        <w:jc w:val="both"/>
        <w:outlineLvl w:val="2"/>
        <w:rPr>
          <w:sz w:val="28"/>
          <w:szCs w:val="28"/>
        </w:rPr>
      </w:pPr>
    </w:p>
    <w:p>
      <w:pPr>
        <w:pStyle w:val="P3"/>
        <w:spacing w:before="0" w:after="0" w:beforeAutospacing="0" w:afterAutospacing="0"/>
        <w:ind w:firstLine="709" w:right="-142"/>
        <w:contextualSpacing w:val="1"/>
        <w:jc w:val="both"/>
        <w:rPr>
          <w:rStyle w:val="C14"/>
          <w:b w:val="1"/>
          <w:bCs w:val="1"/>
          <w:sz w:val="28"/>
          <w:szCs w:val="28"/>
        </w:rPr>
      </w:pPr>
      <w:r>
        <w:rPr>
          <w:rStyle w:val="C14"/>
          <w:b w:val="1"/>
          <w:bCs w:val="1"/>
          <w:sz w:val="28"/>
          <w:szCs w:val="28"/>
          <w:lang w:val="ru-RU"/>
        </w:rPr>
        <w:t>3. </w:t>
      </w:r>
      <w:r>
        <w:rPr>
          <w:rStyle w:val="C14"/>
          <w:b w:val="1"/>
          <w:bCs w:val="1"/>
          <w:sz w:val="28"/>
          <w:szCs w:val="28"/>
        </w:rPr>
        <w:t>Основні положення проєкту акта</w:t>
      </w:r>
    </w:p>
    <w:p>
      <w:pPr>
        <w:pStyle w:val="P3"/>
        <w:spacing w:before="0" w:after="0" w:beforeAutospacing="0" w:afterAutospacing="0"/>
        <w:ind w:firstLine="709" w:right="-142"/>
        <w:contextualSpacing w:val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Проєктом акта передбачається затвердити </w:t>
      </w:r>
      <w:r>
        <w:rPr>
          <w:bCs w:val="1"/>
          <w:sz w:val="28"/>
          <w:szCs w:val="28"/>
        </w:rPr>
        <w:t>примірну форму звіту про виконані наукові (науково-технічні) роботи чи окремі їхні етапи</w:t>
      </w:r>
      <w:r>
        <w:rPr>
          <w:bCs w:val="1"/>
          <w:sz w:val="28"/>
          <w:szCs w:val="28"/>
          <w:lang w:val="ru-RU"/>
        </w:rPr>
        <w:t xml:space="preserve">, </w:t>
      </w:r>
      <w:r>
        <w:rPr>
          <w:bCs w:val="1"/>
          <w:sz w:val="28"/>
          <w:szCs w:val="28"/>
        </w:rPr>
        <w:t>що виконуються частково або повністю за рахунок коштів державного (загального та/або спеціального фондів державного бюджету) та місцевих бюджетів».</w:t>
      </w:r>
    </w:p>
    <w:p>
      <w:pPr>
        <w:pStyle w:val="P3"/>
        <w:spacing w:before="0" w:after="0" w:beforeAutospacing="0" w:afterAutospacing="0"/>
        <w:ind w:firstLine="709" w:right="-142"/>
        <w:contextualSpacing w:val="1"/>
        <w:jc w:val="both"/>
        <w:rPr>
          <w:color w:val="000000" w:themeColor="text1"/>
          <w:sz w:val="28"/>
          <w:szCs w:val="28"/>
        </w:rPr>
      </w:pPr>
    </w:p>
    <w:p>
      <w:pPr>
        <w:pStyle w:val="P3"/>
        <w:spacing w:before="0" w:after="0" w:beforeAutospacing="0" w:afterAutospacing="0"/>
        <w:ind w:firstLine="709" w:right="-142"/>
        <w:contextualSpacing w:val="1"/>
        <w:jc w:val="both"/>
        <w:rPr>
          <w:rStyle w:val="C14"/>
          <w:b w:val="1"/>
          <w:bCs w:val="1"/>
          <w:sz w:val="28"/>
          <w:szCs w:val="28"/>
        </w:rPr>
      </w:pPr>
      <w:r>
        <w:rPr>
          <w:rStyle w:val="C14"/>
          <w:b w:val="1"/>
          <w:bCs w:val="1"/>
          <w:sz w:val="28"/>
          <w:szCs w:val="28"/>
        </w:rPr>
        <w:t>4.</w:t>
      </w:r>
      <w:r>
        <w:rPr>
          <w:rStyle w:val="C14"/>
          <w:b w:val="1"/>
          <w:bCs w:val="1"/>
          <w:sz w:val="28"/>
          <w:szCs w:val="28"/>
          <w:lang w:val="ru-RU"/>
        </w:rPr>
        <w:t> </w:t>
      </w:r>
      <w:r>
        <w:rPr>
          <w:rStyle w:val="C14"/>
          <w:b w:val="1"/>
          <w:bCs w:val="1"/>
          <w:sz w:val="28"/>
          <w:szCs w:val="28"/>
        </w:rPr>
        <w:t>Правові аспекти</w:t>
      </w:r>
    </w:p>
    <w:p>
      <w:pPr>
        <w:pStyle w:val="P3"/>
        <w:spacing w:before="0" w:after="0" w:beforeAutospacing="0" w:afterAutospacing="0"/>
        <w:ind w:firstLine="709" w:right="-142"/>
        <w:contextualSpacing w:val="1"/>
        <w:jc w:val="both"/>
        <w:rPr>
          <w:b w:val="1"/>
          <w:sz w:val="28"/>
          <w:szCs w:val="28"/>
        </w:rPr>
      </w:pPr>
      <w:r>
        <w:rPr>
          <w:sz w:val="28"/>
          <w:szCs w:val="28"/>
        </w:rPr>
        <w:t>Проєкт акта розроблено відповідно до</w:t>
      </w:r>
      <w:bookmarkStart w:id="5" w:name="n3494"/>
      <w:bookmarkEnd w:id="5"/>
      <w:r>
        <w:rPr>
          <w:sz w:val="28"/>
          <w:szCs w:val="28"/>
        </w:rPr>
        <w:t xml:space="preserve"> пунктів 15, 22, 27 частини першої статті 1 Закону України «Про наукову і науково-технічну діяльність», статей 1, 10, 11 </w:t>
      </w:r>
      <w:r>
        <w:rPr>
          <w:sz w:val="28"/>
          <w:szCs w:val="28"/>
          <w:shd w:val="clear" w:color="auto" w:fill="FFFFFF"/>
        </w:rPr>
        <w:t xml:space="preserve">Закону України «Про науково-технічну інформацію», на виконання завдання </w:t>
      </w:r>
      <w:r>
        <w:rPr>
          <w:sz w:val="28"/>
          <w:szCs w:val="28"/>
        </w:rPr>
        <w:t>6.3.2.1. Операційної цілі 6.3.2. Стратегічного плану діяльності Міністерства освіти і науки України до 2027 року, затвердженого наказом Міністерства освіти і науки України від 07.03.2024 № 276.</w:t>
      </w:r>
    </w:p>
    <w:p>
      <w:pPr>
        <w:pStyle w:val="P3"/>
        <w:spacing w:before="0" w:after="0" w:beforeAutospacing="0" w:afterAutospacing="0"/>
        <w:ind w:firstLine="709" w:right="-142"/>
        <w:contextualSpacing w:val="1"/>
        <w:jc w:val="both"/>
        <w:rPr>
          <w:sz w:val="28"/>
          <w:szCs w:val="28"/>
        </w:rPr>
      </w:pPr>
    </w:p>
    <w:p>
      <w:pPr>
        <w:pStyle w:val="P3"/>
        <w:spacing w:before="0" w:after="0" w:beforeAutospacing="0" w:afterAutospacing="0"/>
        <w:ind w:firstLine="709" w:right="-142"/>
        <w:contextualSpacing w:val="1"/>
        <w:jc w:val="both"/>
        <w:rPr>
          <w:rStyle w:val="C14"/>
          <w:b w:val="1"/>
          <w:bCs w:val="1"/>
          <w:sz w:val="28"/>
          <w:szCs w:val="28"/>
        </w:rPr>
      </w:pPr>
      <w:r>
        <w:rPr>
          <w:rStyle w:val="C14"/>
          <w:b w:val="1"/>
          <w:bCs w:val="1"/>
          <w:sz w:val="28"/>
          <w:szCs w:val="28"/>
        </w:rPr>
        <w:t>5.</w:t>
      </w:r>
      <w:r>
        <w:rPr>
          <w:rStyle w:val="C14"/>
          <w:b w:val="1"/>
          <w:bCs w:val="1"/>
          <w:sz w:val="28"/>
          <w:szCs w:val="28"/>
          <w:lang w:val="ru-RU"/>
        </w:rPr>
        <w:t> </w:t>
      </w:r>
      <w:r>
        <w:rPr>
          <w:rStyle w:val="C14"/>
          <w:b w:val="1"/>
          <w:bCs w:val="1"/>
          <w:sz w:val="28"/>
          <w:szCs w:val="28"/>
        </w:rPr>
        <w:t>Фінансово-економічне обґрунтування</w:t>
      </w:r>
    </w:p>
    <w:p>
      <w:pPr>
        <w:pStyle w:val="P3"/>
        <w:spacing w:before="0" w:after="0" w:beforeAutospacing="0" w:afterAutospacing="0"/>
        <w:ind w:firstLine="709" w:right="-142"/>
        <w:contextualSpacing w:val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Реалізація проєкту акта не потребує додаткового фінансування з державного або місцевих бюджетів України.</w:t>
      </w:r>
    </w:p>
    <w:p>
      <w:pPr>
        <w:pStyle w:val="P3"/>
        <w:spacing w:before="0" w:after="0" w:beforeAutospacing="0" w:afterAutospacing="0"/>
        <w:ind w:firstLine="709" w:right="-142"/>
        <w:contextualSpacing w:val="1"/>
        <w:jc w:val="both"/>
        <w:rPr>
          <w:color w:val="000000" w:themeColor="text1"/>
          <w:sz w:val="28"/>
          <w:szCs w:val="28"/>
        </w:rPr>
      </w:pPr>
      <w:bookmarkStart w:id="6" w:name="n3495"/>
      <w:bookmarkEnd w:id="6"/>
      <w:bookmarkStart w:id="7" w:name="n3496"/>
      <w:bookmarkEnd w:id="7"/>
    </w:p>
    <w:p>
      <w:pPr>
        <w:pStyle w:val="P3"/>
        <w:spacing w:before="0" w:after="0" w:beforeAutospacing="0" w:afterAutospacing="0"/>
        <w:ind w:firstLine="709" w:right="-142"/>
        <w:contextualSpacing w:val="1"/>
        <w:jc w:val="both"/>
        <w:rPr>
          <w:rStyle w:val="C14"/>
          <w:b w:val="1"/>
          <w:bCs w:val="1"/>
          <w:sz w:val="28"/>
          <w:szCs w:val="28"/>
        </w:rPr>
      </w:pPr>
      <w:r>
        <w:rPr>
          <w:rStyle w:val="C14"/>
          <w:b w:val="1"/>
          <w:bCs w:val="1"/>
          <w:sz w:val="28"/>
          <w:szCs w:val="28"/>
        </w:rPr>
        <w:t>6.</w:t>
      </w:r>
      <w:r>
        <w:rPr>
          <w:rStyle w:val="C14"/>
          <w:b w:val="1"/>
          <w:bCs w:val="1"/>
          <w:sz w:val="28"/>
          <w:szCs w:val="28"/>
          <w:lang w:val="ru-RU"/>
        </w:rPr>
        <w:t> </w:t>
      </w:r>
      <w:r>
        <w:rPr>
          <w:rStyle w:val="C14"/>
          <w:b w:val="1"/>
          <w:bCs w:val="1"/>
          <w:sz w:val="28"/>
          <w:szCs w:val="28"/>
        </w:rPr>
        <w:t>Позиція заінтересованих сторін</w:t>
      </w:r>
    </w:p>
    <w:p>
      <w:pPr>
        <w:pStyle w:val="P3"/>
        <w:spacing w:before="0" w:after="0" w:beforeAutospacing="0" w:afterAutospacing="0"/>
        <w:ind w:firstLine="567"/>
        <w:jc w:val="both"/>
        <w:rPr>
          <w:color w:val="000000" w:themeColor="dark1"/>
          <w:sz w:val="28"/>
          <w:szCs w:val="22"/>
        </w:rPr>
      </w:pPr>
      <w:r>
        <w:rPr>
          <w:color w:val="000000" w:themeColor="dark1"/>
          <w:sz w:val="28"/>
          <w:szCs w:val="22"/>
        </w:rPr>
        <w:t xml:space="preserve">Проєкт акта потребує публічних консультацій, проведених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 </w:t>
      </w:r>
      <w:r>
        <w:rPr>
          <w:sz w:val="28"/>
          <w:szCs w:val="22"/>
        </w:rPr>
        <w:t>«</w:t>
      </w:r>
      <w:r>
        <w:rPr>
          <w:color w:val="000000" w:themeColor="dark1"/>
          <w:sz w:val="28"/>
          <w:szCs w:val="22"/>
        </w:rPr>
        <w:t>Про забезпечення участі громадськості у формуванні та реалізації державної політики</w:t>
      </w:r>
      <w:r>
        <w:rPr>
          <w:sz w:val="28"/>
          <w:szCs w:val="22"/>
        </w:rPr>
        <w:t>»</w:t>
      </w:r>
      <w:r>
        <w:rPr>
          <w:color w:val="000000" w:themeColor="dark1"/>
          <w:sz w:val="28"/>
          <w:szCs w:val="22"/>
        </w:rPr>
        <w:t>.</w:t>
      </w:r>
    </w:p>
    <w:p>
      <w:pPr>
        <w:pStyle w:val="P3"/>
        <w:spacing w:before="0" w:after="0" w:beforeAutospacing="0" w:afterAutospacing="0"/>
        <w:ind w:firstLine="709"/>
        <w:jc w:val="both"/>
        <w:rPr>
          <w:rStyle w:val="C14"/>
          <w:color w:val="000000"/>
          <w:sz w:val="28"/>
        </w:rPr>
      </w:pPr>
      <w:r>
        <w:rPr>
          <w:rStyle w:val="C14"/>
          <w:color w:val="000000"/>
          <w:sz w:val="28"/>
        </w:rPr>
        <w:t>Проєкт акта не стосується питань функціонування місцевого самоврядування.</w:t>
      </w:r>
    </w:p>
    <w:p>
      <w:pPr>
        <w:pStyle w:val="P3"/>
        <w:spacing w:before="0" w:after="0" w:beforeAutospacing="0" w:afterAutospacing="0"/>
        <w:ind w:firstLine="709"/>
        <w:jc w:val="both"/>
        <w:rPr>
          <w:rStyle w:val="C14"/>
          <w:color w:val="000000"/>
          <w:sz w:val="28"/>
        </w:rPr>
      </w:pPr>
      <w:r>
        <w:rPr>
          <w:rStyle w:val="C14"/>
          <w:color w:val="000000"/>
          <w:sz w:val="28"/>
        </w:rPr>
        <w:t>Проєкт акта не стосується прав та інтересів територіальних громад, місцевого та регіонального розвитку.</w:t>
      </w:r>
    </w:p>
    <w:p>
      <w:pPr>
        <w:pStyle w:val="P3"/>
        <w:spacing w:before="0" w:after="0" w:beforeAutospacing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Проєкт акта не стосується соціально-трудової сфери, прав осіб з інвалідністю.</w:t>
      </w:r>
    </w:p>
    <w:p>
      <w:pPr>
        <w:pStyle w:val="P3"/>
        <w:spacing w:before="0" w:after="0" w:beforeAutospacing="0" w:afterAutospacing="0"/>
        <w:ind w:firstLine="709"/>
        <w:jc w:val="both"/>
        <w:rPr>
          <w:rFonts w:ascii="Times" w:hAnsi="Times"/>
          <w:sz w:val="28"/>
          <w:shd w:val="clear" w:color="auto" w:fill="FFFFFF"/>
        </w:rPr>
      </w:pPr>
      <w:r>
        <w:rPr>
          <w:rFonts w:ascii="Times" w:hAnsi="Times"/>
          <w:sz w:val="28"/>
        </w:rPr>
        <w:t xml:space="preserve">Проєкт акта не стосується </w:t>
      </w:r>
      <w:r>
        <w:rPr>
          <w:rFonts w:ascii="Times" w:hAnsi="Times"/>
          <w:sz w:val="28"/>
          <w:shd w:val="clear" w:color="auto" w:fill="FFFFFF"/>
        </w:rPr>
        <w:t>функціонування і застосування української мови як державної.</w:t>
      </w:r>
    </w:p>
    <w:p>
      <w:pPr>
        <w:pStyle w:val="P3"/>
        <w:shd w:val="clear" w:fill="FFFFFF"/>
        <w:spacing w:before="0" w:after="0" w:beforeAutospacing="0" w:afterAutospacing="0"/>
        <w:ind w:firstLine="709"/>
        <w:jc w:val="both"/>
        <w:rPr>
          <w:sz w:val="28"/>
        </w:rPr>
      </w:pPr>
      <w:r>
        <w:rPr>
          <w:sz w:val="28"/>
        </w:rPr>
        <w:t>Проєкт акта стосується сфери наукової та науково-технічної діяльності, потребує проведення експертизи Науковим комітетом Національної ради України з питань розвитку науки і технологій.</w:t>
      </w:r>
    </w:p>
    <w:p>
      <w:pPr>
        <w:pStyle w:val="P3"/>
        <w:spacing w:before="0" w:after="0" w:beforeAutospacing="0" w:afterAutospacing="0"/>
        <w:ind w:firstLine="567"/>
        <w:jc w:val="both"/>
        <w:rPr>
          <w:sz w:val="28"/>
          <w:szCs w:val="28"/>
        </w:rPr>
      </w:pPr>
    </w:p>
    <w:p>
      <w:pPr>
        <w:pStyle w:val="P3"/>
        <w:spacing w:before="0" w:after="0" w:beforeAutospacing="0" w:afterAutospacing="0"/>
        <w:ind w:firstLine="709" w:right="-142"/>
        <w:contextualSpacing w:val="1"/>
        <w:jc w:val="both"/>
        <w:rPr>
          <w:rStyle w:val="C14"/>
          <w:b w:val="1"/>
          <w:bCs w:val="1"/>
          <w:sz w:val="28"/>
          <w:szCs w:val="28"/>
        </w:rPr>
      </w:pPr>
      <w:r>
        <w:rPr>
          <w:rStyle w:val="C14"/>
          <w:b w:val="1"/>
          <w:bCs w:val="1"/>
          <w:sz w:val="28"/>
          <w:szCs w:val="28"/>
        </w:rPr>
        <w:t>7.</w:t>
      </w:r>
      <w:r>
        <w:rPr>
          <w:rStyle w:val="C14"/>
          <w:b w:val="1"/>
          <w:bCs w:val="1"/>
          <w:sz w:val="28"/>
          <w:szCs w:val="28"/>
          <w:lang w:val="ru-RU"/>
        </w:rPr>
        <w:t> </w:t>
      </w:r>
      <w:r>
        <w:rPr>
          <w:rStyle w:val="C14"/>
          <w:b w:val="1"/>
          <w:bCs w:val="1"/>
          <w:sz w:val="28"/>
          <w:szCs w:val="28"/>
        </w:rPr>
        <w:t>Оцінка відповідності</w:t>
      </w:r>
    </w:p>
    <w:p>
      <w:pPr>
        <w:shd w:val="clear" w:fill="FFFFFF"/>
        <w:ind w:firstLine="709"/>
        <w:jc w:val="both"/>
        <w:rPr>
          <w:bCs w:val="1"/>
          <w:sz w:val="28"/>
          <w:szCs w:val="28"/>
          <w:lang w:eastAsia="uk-UA"/>
        </w:rPr>
      </w:pPr>
      <w:r>
        <w:rPr>
          <w:bCs w:val="1"/>
          <w:sz w:val="28"/>
          <w:szCs w:val="28"/>
          <w:lang w:eastAsia="uk-UA"/>
        </w:rPr>
        <w:t>У проєкті акта відсутні положення, що:</w:t>
      </w:r>
    </w:p>
    <w:p>
      <w:pPr>
        <w:shd w:val="clear" w:fill="FFFFFF"/>
        <w:ind w:firstLine="709"/>
        <w:jc w:val="both"/>
        <w:rPr>
          <w:bCs w:val="1"/>
          <w:sz w:val="28"/>
          <w:szCs w:val="28"/>
          <w:lang w:eastAsia="uk-UA"/>
        </w:rPr>
      </w:pPr>
      <w:r>
        <w:rPr>
          <w:bCs w:val="1"/>
          <w:sz w:val="28"/>
          <w:szCs w:val="28"/>
          <w:lang w:eastAsia="uk-UA"/>
        </w:rPr>
        <w:t>стосуються зобов’язань України у сфері європейської інтеграції;</w:t>
      </w:r>
    </w:p>
    <w:p>
      <w:pPr>
        <w:shd w:val="clear" w:fill="FFFFFF"/>
        <w:ind w:firstLine="709"/>
        <w:jc w:val="both"/>
        <w:rPr>
          <w:bCs w:val="1"/>
          <w:sz w:val="28"/>
          <w:szCs w:val="28"/>
          <w:lang w:eastAsia="uk-UA"/>
        </w:rPr>
      </w:pPr>
      <w:r>
        <w:rPr>
          <w:bCs w:val="1"/>
          <w:sz w:val="28"/>
          <w:szCs w:val="28"/>
          <w:lang w:eastAsia="uk-UA"/>
        </w:rPr>
        <w:t>стосуються прав та свобод, гарантованих Конвенцією про захист прав людини і основоположних свобод;</w:t>
      </w:r>
    </w:p>
    <w:p>
      <w:pPr>
        <w:shd w:val="clear" w:fill="FFFFFF"/>
        <w:ind w:firstLine="709"/>
        <w:jc w:val="both"/>
        <w:rPr>
          <w:bCs w:val="1"/>
          <w:sz w:val="28"/>
          <w:szCs w:val="28"/>
          <w:lang w:eastAsia="uk-UA"/>
        </w:rPr>
      </w:pPr>
      <w:r>
        <w:rPr>
          <w:bCs w:val="1"/>
          <w:sz w:val="28"/>
          <w:szCs w:val="28"/>
          <w:lang w:eastAsia="uk-UA"/>
        </w:rPr>
        <w:t>впливають на забезпечення рівних прав та можливостей жінок і чоловіків;</w:t>
      </w:r>
    </w:p>
    <w:p>
      <w:pPr>
        <w:shd w:val="clear" w:fill="FFFFFF"/>
        <w:ind w:firstLine="709"/>
        <w:jc w:val="both"/>
        <w:rPr>
          <w:bCs w:val="1"/>
          <w:sz w:val="28"/>
          <w:szCs w:val="28"/>
          <w:lang w:eastAsia="uk-UA"/>
        </w:rPr>
      </w:pPr>
      <w:r>
        <w:rPr>
          <w:bCs w:val="1"/>
          <w:sz w:val="28"/>
          <w:szCs w:val="28"/>
          <w:lang w:eastAsia="uk-UA"/>
        </w:rPr>
        <w:t>містять ризики вчинення корупційних правопорушень та правопорушень, пов’язаних з корупцією;</w:t>
      </w:r>
    </w:p>
    <w:p>
      <w:pPr>
        <w:shd w:val="clear" w:fill="FFFFFF"/>
        <w:ind w:firstLine="709"/>
        <w:contextualSpacing w:val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створюють підстави для дискримінації, стосуються інших ризиків та обмежень, які можуть вплинути під час реалізації акта.</w:t>
      </w:r>
    </w:p>
    <w:p>
      <w:pPr>
        <w:pStyle w:val="P3"/>
        <w:spacing w:before="0" w:after="0" w:beforeAutospacing="0" w:afterAutospacing="0"/>
        <w:ind w:firstLine="709" w:right="-142"/>
        <w:contextualSpacing w:val="1"/>
        <w:jc w:val="both"/>
        <w:rPr>
          <w:b w:val="1"/>
          <w:bCs w:val="1"/>
          <w:sz w:val="28"/>
          <w:szCs w:val="28"/>
        </w:rPr>
      </w:pPr>
    </w:p>
    <w:p>
      <w:pPr>
        <w:pStyle w:val="P3"/>
        <w:spacing w:before="0" w:after="0" w:beforeAutospacing="0" w:afterAutospacing="0"/>
        <w:ind w:firstLine="709" w:right="-142"/>
        <w:contextualSpacing w:val="1"/>
        <w:jc w:val="both"/>
        <w:rPr>
          <w:rStyle w:val="C14"/>
          <w:b w:val="1"/>
          <w:bCs w:val="1"/>
          <w:sz w:val="28"/>
          <w:szCs w:val="28"/>
        </w:rPr>
      </w:pPr>
      <w:bookmarkStart w:id="8" w:name="n3501"/>
      <w:bookmarkEnd w:id="8"/>
      <w:bookmarkStart w:id="9" w:name="n3509"/>
      <w:bookmarkEnd w:id="9"/>
      <w:bookmarkStart w:id="10" w:name="n3507"/>
      <w:bookmarkEnd w:id="10"/>
      <w:r>
        <w:rPr>
          <w:rStyle w:val="C14"/>
          <w:b w:val="1"/>
          <w:bCs w:val="1"/>
          <w:sz w:val="28"/>
          <w:szCs w:val="28"/>
        </w:rPr>
        <w:t>8.</w:t>
      </w:r>
      <w:r>
        <w:rPr>
          <w:rStyle w:val="C14"/>
          <w:b w:val="1"/>
          <w:bCs w:val="1"/>
          <w:sz w:val="28"/>
          <w:szCs w:val="28"/>
          <w:lang w:val="ru-RU"/>
        </w:rPr>
        <w:t> </w:t>
      </w:r>
      <w:r>
        <w:rPr>
          <w:rStyle w:val="C14"/>
          <w:b w:val="1"/>
          <w:bCs w:val="1"/>
          <w:sz w:val="28"/>
          <w:szCs w:val="28"/>
        </w:rPr>
        <w:t>Прогноз результатів</w:t>
      </w:r>
    </w:p>
    <w:p>
      <w:pPr>
        <w:shd w:val="clear" w:fill="FFFFFF"/>
        <w:ind w:firstLine="709"/>
        <w:contextualSpacing w:val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Реалізація акта не матиме впливу на: ринкове середовище, забезпечення захисту прав та інтересів суб’єктів господарювання, громадян і держави; розвиток регіонів, підвищення спроможності територіальних громад; ринок праці, рівень зайнятості населення;</w:t>
      </w:r>
      <w:r>
        <w:rPr>
          <w:sz w:val="28"/>
          <w:szCs w:val="22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громадське здоров’я, покращення чи погіршення стану здоров’я населення або його окремих груп;</w:t>
      </w:r>
      <w:r>
        <w:rPr>
          <w:sz w:val="28"/>
          <w:szCs w:val="22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сфери суспільних відносин.</w:t>
      </w:r>
    </w:p>
    <w:p>
      <w:pPr>
        <w:ind w:firstLine="709"/>
        <w:jc w:val="both"/>
        <w:rPr>
          <w:bCs w:val="1"/>
          <w:sz w:val="28"/>
          <w:szCs w:val="28"/>
        </w:rPr>
      </w:pPr>
      <w:r>
        <w:rPr>
          <w:bCs w:val="1"/>
          <w:sz w:val="28"/>
          <w:szCs w:val="28"/>
          <w:lang w:eastAsia="uk-UA"/>
        </w:rPr>
        <w:t xml:space="preserve">Реалізація акта дозволить запровадити </w:t>
      </w:r>
      <w:r>
        <w:rPr>
          <w:bCs w:val="1"/>
          <w:sz w:val="28"/>
          <w:szCs w:val="28"/>
        </w:rPr>
        <w:t xml:space="preserve">спрощену процедуру  підготовки та подання звіту про виконані наукові (науково-технічні) роботи або окремі їхні етапи, що виконуються частково або повністю за кошти державного бюджету.</w:t>
      </w:r>
    </w:p>
    <w:p>
      <w:pPr>
        <w:ind w:firstLine="709"/>
        <w:jc w:val="both"/>
        <w:rPr>
          <w:rStyle w:val="C14"/>
          <w:sz w:val="28"/>
          <w:lang w:eastAsia="uk-UA"/>
        </w:rPr>
      </w:pPr>
      <w:r>
        <w:rPr>
          <w:sz w:val="28"/>
          <w:lang w:eastAsia="uk-UA"/>
        </w:rPr>
        <w:t>Проєкт акта впливає на суспільні відносини у сфері наукової, науково</w:t>
      </w:r>
      <w:r>
        <w:rPr>
          <w:sz w:val="28"/>
          <w:lang w:val="ru-RU" w:eastAsia="uk-UA"/>
        </w:rPr>
        <w:t>-</w:t>
      </w:r>
      <w:r>
        <w:rPr>
          <w:sz w:val="28"/>
          <w:lang w:eastAsia="uk-UA"/>
        </w:rPr>
        <w:t>технічної діяльності:</w:t>
      </w:r>
    </w:p>
    <w:p>
      <w:pPr>
        <w:pStyle w:val="P3"/>
        <w:spacing w:before="0" w:after="0" w:beforeAutospacing="0" w:afterAutospacing="0"/>
        <w:ind w:firstLine="709" w:right="-142"/>
        <w:contextualSpacing w:val="1"/>
        <w:jc w:val="both"/>
        <w:rPr>
          <w:color w:val="000000" w:themeColor="text1"/>
          <w:sz w:val="28"/>
          <w:szCs w:val="28"/>
        </w:rPr>
      </w:pPr>
    </w:p>
    <w:p>
      <w:pPr>
        <w:pStyle w:val="P3"/>
        <w:spacing w:before="0" w:after="0" w:beforeAutospacing="0" w:afterAutospacing="0"/>
        <w:ind w:firstLine="709" w:right="-142"/>
        <w:contextualSpacing w:val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Вплив на інтереси заінтересованих сторін:</w:t>
      </w:r>
    </w:p>
    <w:p>
      <w:pPr>
        <w:pStyle w:val="P3"/>
        <w:spacing w:before="0" w:after="0" w:beforeAutospacing="0" w:afterAutospacing="0"/>
        <w:ind w:firstLine="709" w:right="-142"/>
        <w:contextualSpacing w:val="1"/>
        <w:jc w:val="both"/>
        <w:rPr>
          <w:b w:val="1"/>
          <w:bCs w:val="1"/>
          <w:sz w:val="28"/>
          <w:szCs w:val="28"/>
        </w:rPr>
      </w:pPr>
    </w:p>
    <w:tbl>
      <w:tblPr>
        <w:tblW w:w="5028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c>
          <w:tcPr>
            <w:tcW w:w="1991" w:type="dxa"/>
            <w:hideMark/>
          </w:tcPr>
          <w:p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Заінтересована</w:t>
            </w:r>
          </w:p>
          <w:p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</w:t>
            </w:r>
          </w:p>
        </w:tc>
        <w:tc>
          <w:tcPr>
            <w:tcW w:w="2681" w:type="dxa"/>
            <w:hideMark/>
          </w:tcPr>
          <w:p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Вплив реалізації</w:t>
            </w:r>
          </w:p>
          <w:p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акта на</w:t>
            </w:r>
          </w:p>
          <w:p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заінтересовану</w:t>
            </w:r>
          </w:p>
          <w:p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сторону</w:t>
            </w:r>
          </w:p>
        </w:tc>
        <w:tc>
          <w:tcPr>
            <w:tcW w:w="4439" w:type="dxa"/>
            <w:hideMark/>
          </w:tcPr>
          <w:p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Пояснення очікуваного впливу</w:t>
            </w:r>
          </w:p>
        </w:tc>
      </w:tr>
      <w:tr>
        <w:trPr>
          <w:trHeight w:hRule="atLeast" w:val="160"/>
        </w:trPr>
        <w:tc>
          <w:tcPr>
            <w:tcW w:w="1991" w:type="dxa"/>
          </w:tcPr>
          <w:p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Працівники, задіяні у виконанні наукових (науково-технічних) робіт</w:t>
            </w:r>
          </w:p>
          <w:p>
            <w:pPr>
              <w:ind w:hanging="15"/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Позитивний</w:t>
            </w:r>
          </w:p>
        </w:tc>
        <w:tc>
          <w:tcPr>
            <w:tcW w:w="4439" w:type="dxa"/>
          </w:tcPr>
          <w:p>
            <w:pPr>
              <w:ind w:hanging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Українські вчені отримають спрощену форму подання звіту </w:t>
            </w:r>
            <w:r>
              <w:rPr>
                <w:bCs w:val="1"/>
                <w:sz w:val="28"/>
                <w:szCs w:val="28"/>
                <w:lang w:eastAsia="uk-UA"/>
              </w:rPr>
              <w:t xml:space="preserve">про виконані наукові (науково-технічні) роботи чи окремі їхні етапи, що дозволить суттєво спростити цей процес для його учасників. </w:t>
            </w:r>
          </w:p>
        </w:tc>
      </w:tr>
      <w:tr>
        <w:trPr>
          <w:trHeight w:hRule="atLeast" w:val="1973"/>
        </w:trPr>
        <w:tc>
          <w:tcPr>
            <w:tcW w:w="1991" w:type="dxa"/>
          </w:tcPr>
          <w:p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Державні службовці, що працюють у сфері науки</w:t>
            </w:r>
          </w:p>
        </w:tc>
        <w:tc>
          <w:tcPr>
            <w:tcW w:w="268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Позитивний</w:t>
            </w:r>
          </w:p>
        </w:tc>
        <w:tc>
          <w:tcPr>
            <w:tcW w:w="4439" w:type="dxa"/>
          </w:tcPr>
          <w:p>
            <w:pPr>
              <w:ind w:hanging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Використання примірної форми звіту дозволить суттєво спростити та пришвидшити процес опрацювання звітної документації, отриманої від закладів вищої освіти та наукових установ. </w:t>
            </w:r>
          </w:p>
        </w:tc>
      </w:tr>
      <w:tr>
        <w:trPr>
          <w:trHeight w:hRule="atLeast" w:val="1973"/>
        </w:trPr>
        <w:tc>
          <w:tcPr>
            <w:tcW w:w="1991" w:type="dxa"/>
          </w:tcPr>
          <w:p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Фізичні та юридичні особи, що зацікавлені у результатах наукової (науково-технічної) діяльності</w:t>
            </w:r>
          </w:p>
        </w:tc>
        <w:tc>
          <w:tcPr>
            <w:tcW w:w="268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Позитивний</w:t>
            </w:r>
          </w:p>
        </w:tc>
        <w:tc>
          <w:tcPr>
            <w:tcW w:w="4439" w:type="dxa"/>
          </w:tcPr>
          <w:p>
            <w:pPr>
              <w:ind w:hanging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Уніфікована стисла звітна інформація, подана за примірною формою та розміщена у відкритому доступі, дозволить швидке і зручне її використання фізичними і юридичними особами, які зацікавлені у результатах наукової (науково-технічної) діяльності.  </w:t>
            </w:r>
          </w:p>
        </w:tc>
      </w:tr>
    </w:tbl>
    <w:p>
      <w:pPr>
        <w:ind w:right="-142"/>
        <w:contextualSpacing w:val="1"/>
        <w:rPr>
          <w:sz w:val="28"/>
          <w:szCs w:val="28"/>
        </w:rPr>
      </w:pPr>
    </w:p>
    <w:p>
      <w:pPr>
        <w:ind w:right="-142"/>
        <w:contextualSpacing w:val="1"/>
        <w:rPr>
          <w:sz w:val="28"/>
          <w:szCs w:val="28"/>
        </w:rPr>
      </w:pPr>
      <w:r>
        <w:rPr>
          <w:sz w:val="28"/>
          <w:szCs w:val="28"/>
        </w:rPr>
        <w:t>Міністр освіти і науки України</w:t>
        <w:tab/>
        <w:tab/>
        <w:tab/>
        <w:t xml:space="preserve">                  Оксен ЛІСОВИЙ</w:t>
      </w:r>
    </w:p>
    <w:p>
      <w:pPr>
        <w:ind w:firstLine="709" w:right="-142"/>
        <w:contextualSpacing w:val="1"/>
        <w:rPr>
          <w:sz w:val="28"/>
          <w:szCs w:val="28"/>
        </w:rPr>
      </w:pPr>
    </w:p>
    <w:p>
      <w:pPr>
        <w:ind w:right="-142"/>
        <w:contextualSpacing w:val="1"/>
        <w:rPr>
          <w:sz w:val="28"/>
          <w:szCs w:val="28"/>
        </w:rPr>
      </w:pPr>
      <w:r>
        <w:rPr>
          <w:sz w:val="28"/>
          <w:szCs w:val="28"/>
        </w:rPr>
        <w:t>«____» _____________ 2024 р.</w:t>
      </w: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701" w:right="1134" w:top="1134" w:bottom="709" w:header="709" w:footer="709" w:gutter="0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</w:rPr>
      <w:t>#</w:t>
    </w:r>
    <w:r>
      <w:fldChar w:fldCharType="end"/>
    </w:r>
  </w:p>
  <w:p>
    <w:pPr>
      <w:pStyle w:val="P4"/>
    </w:pPr>
  </w:p>
</w:hdr>
</file>

<file path=word/numbering.xml><?xml version="1.0" encoding="utf-8"?>
<w:numbering xmlns:w="http://schemas.openxmlformats.org/wordprocessingml/2006/main">
  <w:abstractNum w:abstractNumId="0">
    <w:nsid w:val="090A067A"/>
    <w:multiLevelType w:val="hybridMultilevel"/>
    <w:lvl w:ilvl="0" w:tplc="BEA8E168">
      <w:start w:val="6"/>
      <w:numFmt w:val="bullet"/>
      <w:suff w:val="tab"/>
      <w:lvlText w:val="-"/>
      <w:lvlJc w:val="left"/>
      <w:pPr>
        <w:ind w:hanging="360" w:left="1069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78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50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22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94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66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38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10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829"/>
      </w:pPr>
      <w:rPr>
        <w:rFonts w:ascii="Wingdings" w:hAnsi="Wingdings"/>
      </w:rPr>
    </w:lvl>
  </w:abstractNum>
  <w:abstractNum w:abstractNumId="1">
    <w:nsid w:val="0A0B76AC"/>
    <w:multiLevelType w:val="hybridMultilevel"/>
    <w:lvl w:ilvl="0" w:tplc="39E8F7A4">
      <w:start w:val="3"/>
      <w:numFmt w:val="decimal"/>
      <w:suff w:val="tab"/>
      <w:lvlText w:val="%1."/>
      <w:lvlJc w:val="left"/>
      <w:pPr>
        <w:ind w:hanging="360" w:left="502"/>
      </w:pPr>
      <w:rPr>
        <w:b w:val="1"/>
        <w:color w:val="auto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222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1942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662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382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102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4822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542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262"/>
      </w:pPr>
      <w:rPr/>
    </w:lvl>
  </w:abstractNum>
  <w:abstractNum w:abstractNumId="2">
    <w:nsid w:val="1D224C0B"/>
    <w:multiLevelType w:val="hybridMultilevel"/>
    <w:lvl w:ilvl="0" w:tplc="783064B0">
      <w:start w:val="1"/>
      <w:numFmt w:val="decimal"/>
      <w:suff w:val="tab"/>
      <w:lvlText w:val="%1."/>
      <w:lvlJc w:val="left"/>
      <w:pPr>
        <w:ind w:hanging="360" w:left="928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672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392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112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32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52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72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992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712"/>
      </w:pPr>
      <w:rPr/>
    </w:lvl>
  </w:abstractNum>
  <w:abstractNum w:abstractNumId="3">
    <w:nsid w:val="21E17C79"/>
    <w:multiLevelType w:val="hybridMultilevel"/>
    <w:lvl w:ilvl="0" w:tplc="FC10AE5E">
      <w:start w:val="1"/>
      <w:numFmt w:val="decimal"/>
      <w:suff w:val="tab"/>
      <w:lvlText w:val="%1."/>
      <w:lvlJc w:val="left"/>
      <w:pPr>
        <w:ind w:hanging="360" w:left="92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4">
    <w:nsid w:val="29671156"/>
    <w:multiLevelType w:val="hybridMultilevel"/>
    <w:lvl w:ilvl="0" w:tplc="9F0031C4">
      <w:start w:val="7"/>
      <w:numFmt w:val="bullet"/>
      <w:suff w:val="tab"/>
      <w:lvlText w:val="–"/>
      <w:lvlJc w:val="left"/>
      <w:pPr>
        <w:ind w:hanging="360" w:left="1069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78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50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22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94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66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38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10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829"/>
      </w:pPr>
      <w:rPr>
        <w:rFonts w:ascii="Wingdings" w:hAnsi="Wingdings"/>
      </w:rPr>
    </w:lvl>
  </w:abstractNum>
  <w:abstractNum w:abstractNumId="5">
    <w:nsid w:val="2A0E0606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2F7A1963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4B357D57"/>
    <w:multiLevelType w:val="hybridMultilevel"/>
    <w:lvl w:ilvl="0" w:tplc="6D1E87C4">
      <w:start w:val="3"/>
      <w:numFmt w:val="bullet"/>
      <w:suff w:val="tab"/>
      <w:lvlText w:val="-"/>
      <w:lvlJc w:val="left"/>
      <w:pPr>
        <w:ind w:hanging="360" w:left="92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64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36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08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80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52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24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96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8">
    <w:nsid w:val="4CA17BFE"/>
    <w:multiLevelType w:val="hybridMultilevel"/>
    <w:lvl w:ilvl="0" w:tplc="1638D75A">
      <w:start w:val="2"/>
      <w:numFmt w:val="bullet"/>
      <w:suff w:val="tab"/>
      <w:lvlText w:val="-"/>
      <w:lvlJc w:val="left"/>
      <w:pPr>
        <w:ind w:hanging="360" w:left="92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64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36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08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80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52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24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96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9">
    <w:nsid w:val="5D513358"/>
    <w:multiLevelType w:val="hybridMultilevel"/>
    <w:lvl w:ilvl="0" w:tplc="7D78D888">
      <w:start w:val="1"/>
      <w:numFmt w:val="decimal"/>
      <w:suff w:val="tab"/>
      <w:lvlText w:val="%1)"/>
      <w:lvlJc w:val="left"/>
      <w:pPr>
        <w:ind w:hanging="360" w:left="92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10">
    <w:nsid w:val="65A36947"/>
    <w:multiLevelType w:val="hybridMultilevel"/>
    <w:lvl w:ilvl="0" w:tplc="3188A550">
      <w:start w:val="1"/>
      <w:numFmt w:val="decimal"/>
      <w:suff w:val="tab"/>
      <w:lvlText w:val="%1."/>
      <w:lvlJc w:val="left"/>
      <w:pPr>
        <w:ind w:hanging="360" w:left="502"/>
      </w:pPr>
      <w:rPr>
        <w:b w:val="1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155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1875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595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315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035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4755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475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195"/>
      </w:pPr>
      <w:rPr/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sz w:val="24"/>
      <w:szCs w:val="24"/>
    </w:rPr>
  </w:style>
  <w:style w:type="paragraph" w:styleId="P1">
    <w:name w:val="heading 3"/>
    <w:basedOn w:val="P0"/>
    <w:next w:val="P0"/>
    <w:link w:val="C20"/>
    <w:qFormat/>
    <w:pPr>
      <w:keepNext w:val="1"/>
      <w:keepLines w:val="1"/>
      <w:spacing w:lineRule="auto" w:line="259" w:before="40" w:beforeAutospacing="0" w:afterAutospacing="0"/>
      <w:outlineLvl w:val="2"/>
    </w:pPr>
    <w:rPr>
      <w:color w:val="1F4E79" w:themeColor="accent1" w:themeShade="7F"/>
    </w:rPr>
  </w:style>
  <w:style w:type="paragraph" w:styleId="P2">
    <w:name w:val="List Paragraph"/>
    <w:basedOn w:val="P0"/>
    <w:qFormat/>
    <w:pPr>
      <w:spacing w:lineRule="auto" w:line="259" w:after="160" w:beforeAutospacing="0" w:afterAutospacing="0"/>
      <w:ind w:left="720"/>
      <w:contextualSpacing w:val="1"/>
    </w:pPr>
    <w:rPr>
      <w:sz w:val="22"/>
      <w:szCs w:val="22"/>
    </w:rPr>
  </w:style>
  <w:style w:type="paragraph" w:styleId="P3">
    <w:name w:val="rvps2"/>
    <w:basedOn w:val="P0"/>
    <w:qFormat/>
    <w:pPr>
      <w:spacing w:before="100" w:after="100" w:beforeAutospacing="1" w:afterAutospacing="1"/>
    </w:pPr>
    <w:rPr>
      <w:lang w:eastAsia="uk-UA"/>
    </w:rPr>
  </w:style>
  <w:style w:type="paragraph" w:styleId="P4">
    <w:name w:val="header"/>
    <w:basedOn w:val="P0"/>
    <w:link w:val="C16"/>
    <w:pPr>
      <w:tabs>
        <w:tab w:val="center" w:pos="4819" w:leader="none"/>
        <w:tab w:val="right" w:pos="9639" w:leader="none"/>
      </w:tabs>
    </w:pPr>
    <w:rPr>
      <w:sz w:val="22"/>
      <w:szCs w:val="22"/>
    </w:rPr>
  </w:style>
  <w:style w:type="paragraph" w:styleId="P5">
    <w:name w:val="rvps12"/>
    <w:basedOn w:val="P0"/>
    <w:pPr>
      <w:spacing w:before="100" w:after="100" w:beforeAutospacing="1" w:afterAutospacing="1"/>
    </w:pPr>
    <w:rPr>
      <w:lang w:eastAsia="uk-UA"/>
    </w:rPr>
  </w:style>
  <w:style w:type="paragraph" w:styleId="P6">
    <w:name w:val="footer"/>
    <w:basedOn w:val="P0"/>
    <w:link w:val="C10"/>
    <w:pPr>
      <w:tabs>
        <w:tab w:val="center" w:pos="4819" w:leader="none"/>
        <w:tab w:val="right" w:pos="9639" w:leader="none"/>
      </w:tabs>
    </w:pPr>
    <w:rPr>
      <w:sz w:val="22"/>
      <w:szCs w:val="22"/>
    </w:rPr>
  </w:style>
  <w:style w:type="paragraph" w:styleId="P7">
    <w:name w:val="rvps1"/>
    <w:basedOn w:val="P0"/>
    <w:pPr>
      <w:spacing w:before="100" w:after="100" w:beforeAutospacing="1" w:afterAutospacing="1"/>
    </w:pPr>
    <w:rPr>
      <w:lang w:eastAsia="uk-UA"/>
    </w:rPr>
  </w:style>
  <w:style w:type="paragraph" w:styleId="P8">
    <w:name w:val="Balloon Text"/>
    <w:basedOn w:val="P0"/>
    <w:link w:val="C19"/>
    <w:semiHidden/>
    <w:pPr/>
    <w:rPr>
      <w:rFonts w:ascii="Segoe UI" w:hAnsi="Segoe UI"/>
      <w:sz w:val="18"/>
      <w:szCs w:val="18"/>
    </w:rPr>
  </w:style>
  <w:style w:type="paragraph" w:styleId="P9">
    <w:name w:val="footnote text"/>
    <w:link w:val="C22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10">
    <w:name w:val="endnote text"/>
    <w:link w:val="C24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rvts0"/>
    <w:rPr/>
  </w:style>
  <w:style w:type="character" w:styleId="C5">
    <w:name w:val="rvts23"/>
    <w:basedOn w:val="C0"/>
    <w:rPr/>
  </w:style>
  <w:style w:type="character" w:styleId="C6">
    <w:name w:val="rvts44"/>
    <w:basedOn w:val="C0"/>
    <w:rPr/>
  </w:style>
  <w:style w:type="character" w:styleId="C7">
    <w:name w:val="rvts46"/>
    <w:basedOn w:val="C0"/>
    <w:rPr/>
  </w:style>
  <w:style w:type="character" w:styleId="C8">
    <w:name w:val="Emphasis"/>
    <w:basedOn w:val="C0"/>
    <w:qFormat/>
    <w:rPr>
      <w:i w:val="1"/>
      <w:iCs w:val="1"/>
    </w:rPr>
  </w:style>
  <w:style w:type="character" w:styleId="C9">
    <w:name w:val="rvts13"/>
    <w:basedOn w:val="C0"/>
    <w:rPr/>
  </w:style>
  <w:style w:type="character" w:styleId="C10">
    <w:name w:val="Нижній колонтитул Знак1"/>
    <w:basedOn w:val="C0"/>
    <w:link w:val="P6"/>
    <w:rPr/>
  </w:style>
  <w:style w:type="character" w:styleId="C11">
    <w:name w:val="apple-converted-space"/>
    <w:basedOn w:val="C0"/>
    <w:rPr/>
  </w:style>
  <w:style w:type="character" w:styleId="C12">
    <w:name w:val="Нижній колонтитул Знак"/>
    <w:basedOn w:val="C0"/>
    <w:semiHidden/>
    <w:rPr>
      <w:rFonts w:ascii="Times New Roman" w:hAnsi="Times New Roman"/>
      <w:sz w:val="24"/>
      <w:szCs w:val="24"/>
      <w:lang w:val="en-US"/>
    </w:rPr>
  </w:style>
  <w:style w:type="character" w:styleId="C13">
    <w:name w:val="Нижний колонтитул Знак"/>
    <w:basedOn w:val="C0"/>
    <w:semiHidden/>
    <w:rPr>
      <w:rFonts w:ascii="Times New Roman" w:hAnsi="Times New Roman"/>
      <w:sz w:val="24"/>
      <w:szCs w:val="24"/>
      <w:lang w:val="en-US"/>
    </w:rPr>
  </w:style>
  <w:style w:type="character" w:styleId="C14">
    <w:name w:val="rvts9"/>
    <w:basedOn w:val="C0"/>
    <w:rPr/>
  </w:style>
  <w:style w:type="character" w:styleId="C15">
    <w:name w:val="FollowedHyperlink"/>
    <w:basedOn w:val="C0"/>
    <w:semiHidden/>
    <w:rPr>
      <w:color w:val="954F72" w:themeColor="followedHyperlink"/>
      <w:u w:val="single"/>
    </w:rPr>
  </w:style>
  <w:style w:type="character" w:styleId="C16">
    <w:name w:val="Верхній колонтитул Знак"/>
    <w:basedOn w:val="C0"/>
    <w:link w:val="P4"/>
    <w:rPr/>
  </w:style>
  <w:style w:type="character" w:styleId="C17">
    <w:name w:val="rvts11"/>
    <w:basedOn w:val="C0"/>
    <w:rPr/>
  </w:style>
  <w:style w:type="character" w:styleId="C18">
    <w:name w:val="rvts82"/>
    <w:basedOn w:val="C0"/>
    <w:rPr/>
  </w:style>
  <w:style w:type="character" w:styleId="C19">
    <w:name w:val="Текст у виносці Знак"/>
    <w:basedOn w:val="C0"/>
    <w:link w:val="P8"/>
    <w:semiHidden/>
    <w:rPr>
      <w:rFonts w:ascii="Segoe UI" w:hAnsi="Segoe UI"/>
      <w:sz w:val="18"/>
      <w:szCs w:val="18"/>
      <w:lang w:val="en-US"/>
    </w:rPr>
  </w:style>
  <w:style w:type="character" w:styleId="C20">
    <w:name w:val="Заголовок 3 Знак"/>
    <w:basedOn w:val="C0"/>
    <w:link w:val="P1"/>
    <w:rPr>
      <w:color w:val="1F4E79" w:themeColor="accent1" w:themeShade="7F"/>
      <w:sz w:val="24"/>
      <w:szCs w:val="24"/>
    </w:rPr>
  </w:style>
  <w:style w:type="character" w:styleId="C21">
    <w:name w:val="footnote reference"/>
    <w:semiHidden/>
    <w:rPr>
      <w:vertAlign w:val="superscript"/>
    </w:rPr>
  </w:style>
  <w:style w:type="character" w:styleId="C22">
    <w:name w:val="Текст виноски Знак"/>
    <w:link w:val="P9"/>
    <w:semiHidden/>
    <w:rPr>
      <w:sz w:val="20"/>
      <w:szCs w:val="20"/>
    </w:rPr>
  </w:style>
  <w:style w:type="character" w:styleId="C23">
    <w:name w:val="endnote reference"/>
    <w:semiHidden/>
    <w:rPr>
      <w:vertAlign w:val="superscript"/>
    </w:rPr>
  </w:style>
  <w:style w:type="character" w:styleId="C24">
    <w:name w:val="Текст кінцевої виноски Знак"/>
    <w:link w:val="P10"/>
    <w:semiHidden/>
    <w:rPr>
      <w:sz w:val="20"/>
      <w:szCs w:val="20"/>
    </w:rPr>
  </w:style>
  <w:style w:type="character" w:styleId="C25">
    <w:name w:val="Footnote Text Char"/>
    <w:semiHidden/>
    <w:rPr>
      <w:sz w:val="20"/>
      <w:szCs w:val="20"/>
    </w:rPr>
  </w:style>
  <w:style w:type="character" w:styleId="C26">
    <w:name w:val="Endnote Text Char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://search.ligazakon.ua/l_doc2.nsf/link1/KP190874.html" TargetMode="External" /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Relationship Id="RelItem2" Type="http://schemas.openxmlformats.org/officeDocument/2006/relationships/customXml" Target="../customXml/item2.xml" /><Relationship Id="RelItem3" Type="http://schemas.openxmlformats.org/officeDocument/2006/relationships/customXml" Target="../customXml/item3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f2afb292fafa93b245c6f3a0db76e49e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cf8095c882d982f641e99a694f417697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2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b3430434-44e4-4f5b-9097-ec250a9fa10f">true</sbIsMainDocument>
    <_dlc_BarcodeImage xmlns="837afde9-1959-48ec-9623-34f2440a05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bdc95-23ae-410a-a9dc-45e29d8fb352}">
  <ds:schemaRefs>
    <ds:schemaRef ds:uri="http://schemas.microsoft.com/vsto/samples"/>
  </ds:schemaRefs>
</ds:datastoreItem>
</file>

<file path=customXml/itemProps2.xml><?xml version="1.0" encoding="utf-8"?>
<ds:datastoreItem xmlns:ds="http://schemas.openxmlformats.org/officeDocument/2006/customXml" ds:itemID="{e6f981f7-38b9-46f0-af51-f22083b223b2}">
  <ds:schemaRefs>
    <ds:schemaRef ds:uri="http://schemas.microsoft.com/vsto/samples"/>
  </ds:schemaRefs>
</ds:datastoreItem>
</file>

<file path=customXml/itemProps3.xml><?xml version="1.0" encoding="utf-8"?>
<ds:datastoreItem xmlns:ds="http://schemas.openxmlformats.org/officeDocument/2006/customXml" ds:itemID="{26460407-3863-465a-9840-115a2d2d48dc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Krukevych O.M.</dc:creator>
  <dcterms:created xsi:type="dcterms:W3CDTF">2024-04-30T07:48:00Z</dcterms:created>
  <cp:lastModifiedBy>erp_adm</cp:lastModifiedBy>
  <cp:lastPrinted>2024-04-30T13:46:00Z</cp:lastPrinted>
  <dcterms:modified xsi:type="dcterms:W3CDTF">2024-05-02T12:51:18Z</dcterms:modified>
  <cp:revision>29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0x01010042E94C69DC65AC45A0C04C0EDB492D49</vt:lpwstr>
  </property>
</Properties>
</file>