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240" w:beforeAutospacing="0" w:afterAutospacing="0"/>
        <w:jc w:val="right"/>
        <w:rPr>
          <w:rFonts w:ascii="Times New Roman" w:hAnsi="Times New Roman"/>
          <w:sz w:val="28"/>
          <w:szCs w:val="28"/>
        </w:rPr>
      </w:pPr>
      <w:r>
        <w:rPr>
          <w:rFonts w:ascii="Times New Roman" w:hAnsi="Times New Roman"/>
          <w:sz w:val="28"/>
          <w:szCs w:val="28"/>
        </w:rPr>
        <w:t>ПРОЕКТ</w:t>
      </w:r>
    </w:p>
    <w:p>
      <w:pPr>
        <w:ind w:left="5040"/>
        <w:rPr>
          <w:rFonts w:ascii="Times New Roman" w:hAnsi="Times New Roman"/>
          <w:sz w:val="28"/>
          <w:szCs w:val="28"/>
        </w:rPr>
      </w:pPr>
      <w:r>
        <w:rPr>
          <w:rFonts w:ascii="Times New Roman" w:hAnsi="Times New Roman"/>
          <w:sz w:val="28"/>
          <w:szCs w:val="28"/>
        </w:rPr>
        <w:t xml:space="preserve">Вноситься </w:t>
        <w:br w:type="textWrapping"/>
        <w:t>Кабінетом Міністрів України</w:t>
      </w:r>
    </w:p>
    <w:p>
      <w:pPr>
        <w:spacing w:before="240" w:after="120" w:beforeAutospacing="0" w:afterAutospacing="0"/>
        <w:jc w:val="right"/>
        <w:rPr>
          <w:rFonts w:ascii="Times New Roman" w:hAnsi="Times New Roman"/>
          <w:sz w:val="28"/>
          <w:szCs w:val="28"/>
        </w:rPr>
      </w:pPr>
      <w:r>
        <w:rPr>
          <w:rFonts w:ascii="Times New Roman" w:hAnsi="Times New Roman"/>
          <w:sz w:val="28"/>
          <w:szCs w:val="28"/>
        </w:rPr>
        <w:t>Д. ШМИГАЛЬ</w:t>
      </w:r>
    </w:p>
    <w:p>
      <w:pPr>
        <w:spacing w:before="240" w:after="120" w:beforeAutospacing="0" w:afterAutospacing="0"/>
        <w:ind w:firstLine="5579"/>
        <w:jc w:val="right"/>
        <w:rPr>
          <w:rFonts w:ascii="Times New Roman" w:hAnsi="Times New Roman"/>
          <w:sz w:val="28"/>
          <w:szCs w:val="28"/>
        </w:rPr>
      </w:pPr>
      <w:r>
        <w:rPr>
          <w:rFonts w:ascii="Times New Roman" w:hAnsi="Times New Roman"/>
          <w:sz w:val="28"/>
          <w:szCs w:val="28"/>
        </w:rPr>
        <w:t xml:space="preserve">“     ” </w:t>
        <w:tab/>
        <w:tab/>
        <w:tab/>
        <w:t>2023 р.</w:t>
      </w:r>
    </w:p>
    <w:p>
      <w:pPr>
        <w:spacing w:before="240" w:after="120" w:beforeAutospacing="0" w:afterAutospacing="0"/>
        <w:ind w:firstLine="5579"/>
        <w:jc w:val="right"/>
      </w:pPr>
    </w:p>
    <w:p>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480" w:beforeAutospacing="0" w:afterAutospacing="0"/>
        <w:jc w:val="center"/>
        <w:rPr>
          <w:rFonts w:ascii="Times New Roman" w:hAnsi="Times New Roman"/>
          <w:i w:val="1"/>
          <w:smallCaps w:val="1"/>
          <w:sz w:val="48"/>
          <w:szCs w:val="48"/>
        </w:rPr>
      </w:pPr>
      <w:r>
        <w:rPr>
          <w:rFonts w:ascii="Times New Roman" w:hAnsi="Times New Roman"/>
          <w:i w:val="1"/>
          <w:smallCaps w:val="1"/>
          <w:sz w:val="48"/>
          <w:szCs w:val="48"/>
        </w:rPr>
        <w:t>Закон України</w:t>
      </w:r>
    </w:p>
    <w:p>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360" w:after="360" w:beforeAutospacing="0" w:afterAutospacing="0"/>
        <w:jc w:val="center"/>
        <w:rPr>
          <w:rFonts w:ascii="Times New Roman" w:hAnsi="Times New Roman"/>
          <w:sz w:val="28"/>
          <w:szCs w:val="28"/>
        </w:rPr>
      </w:pPr>
      <w:r>
        <w:rPr>
          <w:rFonts w:ascii="Times New Roman" w:hAnsi="Times New Roman"/>
          <w:sz w:val="28"/>
          <w:szCs w:val="28"/>
        </w:rPr>
        <w:t xml:space="preserve">Про систему пріоритетних напрямів наукової, науково-технічної </w:t>
        <w:br w:type="textWrapping"/>
        <w:t>та інноваційної діяльності в Україні</w:t>
        <w:br w:type="textWrapping"/>
        <w:t>______________________________________________</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Цей Закон визначає правові та організаційні засади цілісної системи формування та реалізації пріоритетних напрямів наукової, науково-технічної та інноваційної діяльності в Україні, спрямованої на забезпечення національної безпеки, конкурентоспроможності національного виробництва, сталого розвитку та підвищення якості життя населення.</w:t>
      </w:r>
    </w:p>
    <w:p>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360" w:beforeAutospacing="0" w:afterAutospacing="0"/>
        <w:jc w:val="center"/>
        <w:rPr>
          <w:rFonts w:ascii="Times New Roman" w:hAnsi="Times New Roman"/>
          <w:sz w:val="28"/>
          <w:szCs w:val="28"/>
        </w:rPr>
      </w:pPr>
      <w:r>
        <w:rPr>
          <w:rFonts w:ascii="Times New Roman" w:hAnsi="Times New Roman"/>
          <w:sz w:val="28"/>
          <w:szCs w:val="28"/>
        </w:rPr>
        <w:t>Розділ І.</w:t>
      </w:r>
    </w:p>
    <w:p>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360" w:beforeAutospacing="0" w:afterAutospacing="0"/>
        <w:jc w:val="center"/>
        <w:rPr>
          <w:rFonts w:ascii="Times New Roman" w:hAnsi="Times New Roman"/>
          <w:sz w:val="28"/>
          <w:szCs w:val="28"/>
        </w:rPr>
      </w:pPr>
      <w:r>
        <w:rPr>
          <w:rFonts w:ascii="Times New Roman" w:hAnsi="Times New Roman"/>
          <w:sz w:val="28"/>
          <w:szCs w:val="28"/>
        </w:rPr>
        <w:t xml:space="preserve"> ЗАГАЛЬНІ ПОЛОЖЕННЯ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hanging="1157" w:left="1724"/>
        <w:rPr>
          <w:rFonts w:ascii="Times New Roman" w:hAnsi="Times New Roman"/>
          <w:sz w:val="28"/>
          <w:szCs w:val="28"/>
        </w:rPr>
      </w:pPr>
      <w:r>
        <w:rPr>
          <w:rFonts w:ascii="Times New Roman" w:hAnsi="Times New Roman"/>
          <w:sz w:val="28"/>
          <w:szCs w:val="28"/>
        </w:rPr>
        <w:t>Стаття 1. Визначення термінів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1. У цьому Законі наведені нижче терміни вживаються в такому значенні: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1) критичні види продукції (послуг) – продукція (послуги), які є важливими для економіки, національної безпеки та оборони, збої, переривання постачання або відсутність яких може завдати шкоди життєво важливим національним інтересам;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2) науковий потенціал – здатність  українських наукових та науково-педагогічних працівників провадити дослідження на відповідному рівні, що включає зокрема наявність кадрового забезпечення, необхідної дослідницької інфраструктури, досвіду виконання наукових (науково-технічних) робіт та здобутків у відповідній сфері;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3) пріоритетні напрями наукової, науково-технічної та інноваційної діяльності (далі – пріоритетні напрями) – науково, економічно та соціально обґрунтовані тематичні напрями фундаментальних і прикладних наукових досліджень та науково-технічних (експериментальних) розробок, яким надається державна підтримка з метою формування ефективного сектору наукових досліджень і науково-технічних (експериментальних) розробок і забезпечення впровадження результатів його діяльності у реальному секторі економіки для створення додаткової доданої вартості та/або фінансовому секторі економіки для підвищення його дохідності, підвищення конкурентоспроможності </w:t>
      </w:r>
      <w:r>
        <w:rPr>
          <w:rFonts w:ascii="Times New Roman" w:hAnsi="Times New Roman"/>
          <w:smallCaps w:val="0"/>
          <w:sz w:val="28"/>
          <w:szCs w:val="22"/>
          <w:cs w:val="0"/>
          <w:spacing w:val="0"/>
          <w:w w:val="100"/>
          <w:position w:val="0"/>
          <w:snapToGrid w:val="1"/>
        </w:rPr>
        <w:t>українського</w:t>
      </w:r>
      <w:r>
        <w:rPr>
          <w:rFonts w:ascii="Times New Roman" w:hAnsi="Times New Roman"/>
          <w:sz w:val="28"/>
          <w:szCs w:val="28"/>
        </w:rPr>
        <w:t xml:space="preserve"> виробництва, досягнення цілей сталого розвитку та зміцнення національної безпеки держави, а також розвитку людського капіталу, підвищення якості життя населення, відновлення країни від наслідків збройної агресії та інтеграції національного сектору наукових досліджень і науково-технічних (експериментальних) розробок у світовий та Європейський дослідницький простір;</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i w:val="1"/>
          <w:sz w:val="28"/>
          <w:szCs w:val="28"/>
        </w:rPr>
      </w:pPr>
      <w:r>
        <w:rPr>
          <w:rFonts w:ascii="Times New Roman" w:hAnsi="Times New Roman"/>
          <w:sz w:val="28"/>
          <w:szCs w:val="28"/>
        </w:rPr>
        <w:t xml:space="preserve">4) реальний сектор економіки – сукупність видів економічної діяльності, в яких створюються матеріальні та нематеріальні цінності та надаються послуги;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 xml:space="preserve">5) фінансовий сектор економіки – сукупність видів економічної діяльності, які здійснюють фінансову та страхову діяльність, надають фінансові послуги, послуги зі страхування та пенсійного забезпечення.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hanging="1157" w:left="1724"/>
        <w:rPr>
          <w:rFonts w:ascii="Times New Roman" w:hAnsi="Times New Roman"/>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hanging="1157" w:left="1724"/>
        <w:rPr>
          <w:rFonts w:ascii="Times New Roman" w:hAnsi="Times New Roman"/>
          <w:sz w:val="28"/>
          <w:szCs w:val="28"/>
        </w:rPr>
      </w:pPr>
      <w:r>
        <w:rPr>
          <w:rFonts w:ascii="Times New Roman" w:hAnsi="Times New Roman"/>
          <w:sz w:val="28"/>
          <w:szCs w:val="28"/>
        </w:rPr>
        <w:t>Стаття 2. Законодавство України з питань формування та реалізації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1. Правовою основою формування та реалізації пріоритетних напрямів наукової, науково-технічної та інноваційної діяльності є Конституція України, Закони України “Про наукову і науково-технічну діяльність”, “Про інноваційну діяльність”, міжнародні договори України у сфері наукової та науково-технічної діяльності, цей Закон та інші нормативно-правові акти, що регулюють відносини у сферах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b w:val="1"/>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hanging="1157" w:left="1724"/>
        <w:jc w:val="both"/>
        <w:rPr>
          <w:rFonts w:ascii="Times New Roman" w:hAnsi="Times New Roman"/>
          <w:sz w:val="28"/>
          <w:szCs w:val="28"/>
        </w:rPr>
      </w:pPr>
      <w:r>
        <w:rPr>
          <w:rFonts w:ascii="Times New Roman" w:hAnsi="Times New Roman"/>
          <w:sz w:val="28"/>
          <w:szCs w:val="28"/>
        </w:rPr>
        <w:t>Стаття 3. Система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1. Система пріоритетних напрямів за тематичним спрямуванням складається з таких груп: “Передова наука” та “Подолання національних викликів”.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Пріоритетні напрями групи “Передова наука” спрямовано на підтримку та розвиток фундаментальних наукових досліджень світового рівня.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Пріоритетні напрями групи “Подолання національних викликів” спрямовано на розвиток фундаментальних та прикладних наукових досліджень, науково-технічних (експериментальних) розробок з метою створення умов для впровадження досягнень науки і техніки у сфери суспільного життя, які є важливими для забезпечення сталого розвитку та національної безпеки держави.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2. Пріоритетні напрями групи “Подолання національних викликів” поділяються на такі тематичні</w:t>
      </w:r>
      <w:r>
        <w:rPr>
          <w:rFonts w:ascii="Times New Roman" w:hAnsi="Times New Roman"/>
          <w:b w:val="1"/>
          <w:sz w:val="28"/>
          <w:szCs w:val="28"/>
        </w:rPr>
        <w:t xml:space="preserve"> </w:t>
      </w:r>
      <w:r>
        <w:rPr>
          <w:rFonts w:ascii="Times New Roman" w:hAnsi="Times New Roman"/>
          <w:sz w:val="28"/>
          <w:szCs w:val="28"/>
        </w:rPr>
        <w:t>підгрупи:</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851" w:left="0"/>
        <w:jc w:val="both"/>
        <w:rPr>
          <w:rFonts w:ascii="Times New Roman" w:hAnsi="Times New Roman"/>
          <w:sz w:val="28"/>
          <w:szCs w:val="28"/>
        </w:rPr>
      </w:pPr>
      <w:r>
        <w:rPr>
          <w:rFonts w:ascii="Times New Roman" w:hAnsi="Times New Roman"/>
          <w:sz w:val="28"/>
          <w:szCs w:val="28"/>
        </w:rPr>
        <w:t>національна безпека та оборона;</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851" w:left="0"/>
        <w:jc w:val="both"/>
        <w:rPr>
          <w:rFonts w:ascii="Times New Roman" w:hAnsi="Times New Roman"/>
          <w:sz w:val="28"/>
          <w:szCs w:val="28"/>
        </w:rPr>
      </w:pPr>
      <w:r>
        <w:rPr>
          <w:rFonts w:ascii="Times New Roman" w:hAnsi="Times New Roman"/>
          <w:sz w:val="28"/>
          <w:szCs w:val="28"/>
        </w:rPr>
        <w:t>ресурсоефективна економіка та альтернативна енергетика;</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851" w:left="0"/>
        <w:jc w:val="both"/>
        <w:rPr>
          <w:rFonts w:ascii="Times New Roman" w:hAnsi="Times New Roman"/>
          <w:sz w:val="28"/>
          <w:szCs w:val="28"/>
        </w:rPr>
      </w:pPr>
      <w:r>
        <w:rPr>
          <w:rFonts w:ascii="Times New Roman" w:hAnsi="Times New Roman"/>
          <w:sz w:val="28"/>
          <w:szCs w:val="28"/>
        </w:rPr>
        <w:t>здоров’я нації та безпечне харчування;</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851" w:left="0"/>
        <w:jc w:val="both"/>
        <w:rPr>
          <w:rFonts w:ascii="Times New Roman" w:hAnsi="Times New Roman"/>
          <w:sz w:val="28"/>
          <w:szCs w:val="28"/>
        </w:rPr>
      </w:pPr>
      <w:r>
        <w:rPr>
          <w:rFonts w:ascii="Times New Roman" w:hAnsi="Times New Roman"/>
          <w:sz w:val="28"/>
          <w:szCs w:val="28"/>
        </w:rPr>
        <w:t>раціональне природокористування та циркулярна економіка;</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851" w:left="0"/>
        <w:jc w:val="both"/>
        <w:rPr>
          <w:rFonts w:ascii="Times New Roman" w:hAnsi="Times New Roman"/>
          <w:sz w:val="28"/>
          <w:szCs w:val="28"/>
        </w:rPr>
      </w:pPr>
      <w:r>
        <w:rPr>
          <w:rFonts w:ascii="Times New Roman" w:hAnsi="Times New Roman"/>
          <w:sz w:val="28"/>
          <w:szCs w:val="28"/>
        </w:rPr>
        <w:t>нові речовини, матеріали, індустріальні технології;</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851" w:left="0"/>
        <w:jc w:val="both"/>
        <w:rPr>
          <w:rFonts w:ascii="Times New Roman" w:hAnsi="Times New Roman"/>
          <w:sz w:val="28"/>
          <w:szCs w:val="28"/>
        </w:rPr>
      </w:pPr>
      <w:r>
        <w:rPr>
          <w:rFonts w:ascii="Times New Roman" w:hAnsi="Times New Roman"/>
          <w:sz w:val="28"/>
          <w:szCs w:val="28"/>
        </w:rPr>
        <w:t>цифровізація економіки;</w:t>
      </w:r>
    </w:p>
    <w:p>
      <w:pPr>
        <w:numPr>
          <w:ilvl w:val="0"/>
          <w:numId w:val="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851" w:left="0"/>
        <w:jc w:val="both"/>
        <w:rPr>
          <w:rFonts w:ascii="Times New Roman" w:hAnsi="Times New Roman"/>
          <w:sz w:val="28"/>
          <w:szCs w:val="28"/>
        </w:rPr>
      </w:pPr>
      <w:r>
        <w:rPr>
          <w:rFonts w:ascii="Times New Roman" w:hAnsi="Times New Roman"/>
          <w:sz w:val="28"/>
          <w:szCs w:val="28"/>
        </w:rPr>
        <w:t xml:space="preserve">креативне та інклюзивне суспільство.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left="851"/>
        <w:jc w:val="both"/>
        <w:rPr>
          <w:rFonts w:ascii="Times New Roman" w:hAnsi="Times New Roman"/>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hanging="1157" w:left="1724"/>
        <w:jc w:val="both"/>
        <w:rPr>
          <w:rFonts w:ascii="Times New Roman" w:hAnsi="Times New Roman"/>
          <w:sz w:val="28"/>
          <w:szCs w:val="28"/>
        </w:rPr>
      </w:pPr>
      <w:r>
        <w:rPr>
          <w:rFonts w:ascii="Times New Roman" w:hAnsi="Times New Roman"/>
          <w:sz w:val="28"/>
          <w:szCs w:val="28"/>
        </w:rPr>
        <w:t xml:space="preserve">Стаття 4. Формування пріоритетних напрямів наукової, науково-технічної та інноваційної діяльності групи “Передова  наука”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1. До пріоритетних напрямів групи “Передова наука” відноситься тематика фундаментальних досліджень, яка пройшла конкурсний відбір та наукову (науково-технічну) експертизу, до здійснення якої організаторами залучено:</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а) іноземних експертів з числа провідних вчених, при цьому їх частка повинна складати не менше третини від загальної кількості експертів дослідження;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б) українських експертів з числа провідних вчених, які представляють організації, що відносяться до іншої сфери управління, ніж організація, що виконує дослідження. При цьому їх частка повинна складати не менше третини від загальної кількості експертів дослідження.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2. Методика проведення наукової (науково-технічної) експертизи для включення до групи “Передова наука” розробляється центральним органом виконавчої влади, що забезпечує формування державної політики у сферах науки, наукової, науково-технічної діяльності та інноваційної діяльності в зазначених сферах, (далі – уповноважений орган) із залученням представників Національної ради України з питань розвитку науки і технологій, Національного фонду досліджень України, закладів вищої освіти, наукових установ, громадських наукових організацій та затверджується уповноваженим органом з урахуванням критеріїв включення до групи “Передова наука”.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3. Основними критеріями включення тематик до пріоритетних напрямів групи “Передова наука” є:</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спрямованість на відкриття законів природи, невідомих раніше явищ і властивостей матерії;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відповідність тематики дослідження світовим науковим та науково-технологічним тенденціям;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наявність національного наукового потенціалу, здатного виконувати дослідження на світовому рівні;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тематику дослідження не може бути включено до жодної тематичної</w:t>
      </w:r>
      <w:r>
        <w:rPr>
          <w:rFonts w:ascii="Times New Roman" w:hAnsi="Times New Roman"/>
          <w:b w:val="1"/>
          <w:sz w:val="28"/>
          <w:szCs w:val="28"/>
        </w:rPr>
        <w:t xml:space="preserve"> </w:t>
      </w:r>
      <w:r>
        <w:rPr>
          <w:rFonts w:ascii="Times New Roman" w:hAnsi="Times New Roman"/>
          <w:sz w:val="28"/>
          <w:szCs w:val="28"/>
        </w:rPr>
        <w:t xml:space="preserve">підгрупи групи “Подолання національних викликів”.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 xml:space="preserve">4. Уповноважений орган на своєму офіційному вебсайті щорічно розміщує перелік тематики досліджень, що увійшли до групи “Передова наука”.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360" w:after="240" w:beforeAutospacing="0" w:afterAutospacing="0"/>
        <w:ind w:hanging="1157" w:left="1724"/>
        <w:jc w:val="both"/>
        <w:rPr>
          <w:rFonts w:ascii="Times New Roman" w:hAnsi="Times New Roman"/>
          <w:sz w:val="28"/>
          <w:szCs w:val="28"/>
        </w:rPr>
      </w:pPr>
      <w:r>
        <w:rPr>
          <w:rFonts w:ascii="Times New Roman" w:hAnsi="Times New Roman"/>
          <w:sz w:val="28"/>
          <w:szCs w:val="28"/>
        </w:rPr>
        <w:t>Стаття 5. Формування пріоритетних напрямів наукової, науково-технічної та інноваційної діяльності групи “Подолання національних викликів”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 1. Пропозиції щодо пріоритетних напрямів групи “Подолання національних викликів” кожні п’ять років готує уповноважений орган, із залученням представників центральних органів виконавчої влади, Національної ради України з питань розвитку науки і технологій, закладів вищої освіти, наукових установ, підприємств, установ та організацій реального сектору економіки будь-якої форми власності, громадських наукових організацій.</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Порядок формування пріоритетних напрямів наукової, науково-технічної та інноваційної діяльності групи “Подолання національних викликів” затверджується Кабінетом Міністрів України.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2. Уповноважений орган погоджує пропозиції щодо пріоритетних напрямів з центральними органами виконавчої влади, що забезпечують формування та реалізують державну інноваційну політику в реальному секторі економіки, державну промислову політику, державну військово-промислову політику, державну політику з питань національної безпеки у воєнній сфері.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3. Пропозиції щодо пріоритетних напрямів готуються з урахуванням результатів прогнозно-аналітичних досліджень у сферах наукової, науково-технічної та інноваційної діяльності, які проводить уповноважений орган.</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Методика проведення прогнозно-аналітичних досліджень у сферах наукової, науково-технічної та інноваційної діяльності та відбору пріоритетних напрямів затверджується уповноваженим органом та з урахуванням критеріїв включення до переліку пріоритетних напрямів.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4. Основними критеріями включення до переліку пріоритетних напрямів для групи “Подолання національних викликів” є:</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спрямованість на практичне впровадження наукових та (або) науково-технічних (прикладних) результатів у реальному або фінансовому секторі економіки України для забезпечення конкурентоспроможності </w:t>
      </w:r>
      <w:r>
        <w:rPr>
          <w:rFonts w:ascii="Times New Roman" w:hAnsi="Times New Roman"/>
          <w:smallCaps w:val="0"/>
          <w:sz w:val="28"/>
          <w:szCs w:val="22"/>
          <w:cs w:val="0"/>
          <w:spacing w:val="0"/>
          <w:w w:val="100"/>
          <w:position w:val="0"/>
          <w:snapToGrid w:val="1"/>
        </w:rPr>
        <w:t>українського</w:t>
      </w:r>
      <w:r>
        <w:rPr>
          <w:rFonts w:ascii="Times New Roman" w:hAnsi="Times New Roman"/>
          <w:sz w:val="28"/>
          <w:szCs w:val="28"/>
        </w:rPr>
        <w:t xml:space="preserve"> виробництва, досягнення цілей сталого розвитку, відновлення країни від наслідків збройної агресії та зміцнення національної безпеки держави, а також розвитку людського капіталу;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сприяння імпортозаміщенню, насамперед для критичних видів продукції (послуг);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відповідність пріоритетного напряму національним і глобальним викликам;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наявність </w:t>
      </w:r>
      <w:r>
        <w:rPr>
          <w:rFonts w:ascii="Times New Roman" w:hAnsi="Times New Roman"/>
          <w:smallCaps w:val="0"/>
          <w:sz w:val="28"/>
          <w:szCs w:val="22"/>
          <w:cs w:val="0"/>
          <w:spacing w:val="0"/>
          <w:w w:val="100"/>
          <w:position w:val="0"/>
          <w:snapToGrid w:val="1"/>
        </w:rPr>
        <w:t>українського</w:t>
      </w:r>
      <w:r>
        <w:rPr>
          <w:rFonts w:ascii="Times New Roman" w:hAnsi="Times New Roman"/>
          <w:sz w:val="28"/>
          <w:szCs w:val="28"/>
        </w:rPr>
        <w:t xml:space="preserve"> наукового потенціалу.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5. Перелік пріоритетних напрямів затверджується Кабінетом Міністрів України.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hanging="1157" w:left="1724"/>
        <w:jc w:val="both"/>
        <w:rPr>
          <w:rFonts w:ascii="Times New Roman" w:hAnsi="Times New Roman"/>
          <w:sz w:val="28"/>
          <w:szCs w:val="28"/>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hanging="1157" w:left="1724"/>
        <w:jc w:val="both"/>
        <w:rPr>
          <w:rFonts w:ascii="Times New Roman" w:hAnsi="Times New Roman"/>
          <w:sz w:val="28"/>
          <w:szCs w:val="28"/>
        </w:rPr>
      </w:pPr>
      <w:r>
        <w:rPr>
          <w:rFonts w:ascii="Times New Roman" w:hAnsi="Times New Roman"/>
          <w:sz w:val="28"/>
          <w:szCs w:val="28"/>
        </w:rPr>
        <w:t xml:space="preserve">Стаття 6. Інструменти реалізації державної політики  щодо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1. Інструментами реалізації пріоритетних напрямів групи “Передова наука” є:</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грантова підтримка фундаментальних наукових досліджень Національним фондом досліджень України або іншими державними установами, до основних завдань яких належить </w:t>
      </w:r>
      <w:r>
        <w:rPr>
          <w:rFonts w:ascii="Times New Roman" w:hAnsi="Times New Roman"/>
          <w:smallCaps w:val="0"/>
          <w:sz w:val="28"/>
          <w:szCs w:val="22"/>
          <w:cs w:val="0"/>
          <w:spacing w:val="0"/>
          <w:w w:val="100"/>
          <w:position w:val="0"/>
          <w:snapToGrid w:val="1"/>
        </w:rPr>
        <w:t xml:space="preserve">державна </w:t>
      </w:r>
      <w:r>
        <w:rPr>
          <w:rFonts w:ascii="Times New Roman" w:hAnsi="Times New Roman"/>
          <w:sz w:val="28"/>
          <w:szCs w:val="28"/>
        </w:rPr>
        <w:t xml:space="preserve">підтримка фундаментальних наукових досліджень світового рівня,  відповідно до законодавства;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підтримка розвитку дослідницької інфраструктури, яка використовується при проведенні</w:t>
      </w:r>
      <w:bookmarkStart w:id="0" w:name="_GoBack"/>
      <w:bookmarkEnd w:id="0"/>
      <w:r>
        <w:rPr>
          <w:rFonts w:ascii="Times New Roman" w:hAnsi="Times New Roman"/>
          <w:sz w:val="28"/>
          <w:szCs w:val="28"/>
        </w:rPr>
        <w:t xml:space="preserve"> фундаментальних наукових досліджень світового рівня.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2. Інструментами реалізації пріоритетних напрямів групи “Подолання національних викликів” є:</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формування тематики наукових досліджень і науково-технічних (експериментальних) розробок державних наукових установ, закладів вищої освіти, підприємств та організацій будь-якої форми власності, що здійснюється в межах їх основної діяльності;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реалізація державних цільових наукових, науково-технічних, інноваційних програм, наукових частин інших державних цільових програм, наукових та інноваційних проектів;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формування державного замовлення у сфері наукової і науково-технічної діяльності, а також здійснення оборонних закупівель в частині задоволення наукових потреб із забезпечення національної безпеки;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грантова підтримка фундаментальних і прикладних наукових досліджень і науково-технічних (експериментальних) розробок Національним фондом досліджень України та іншими суб’єктами відповідно до законодавства;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підтримка на конкурсній основі доведення результатів  наукових досліджень і науково-технічних (експериментальних) розробок до їх впровадження у реальний сектор економіки  у межах коштів, передбачених державним підприємствам, установам, організаціям, метою діяльності яких є здійснення фінансової підтримки інноваційної діяльності суб’єктів господарювання різних форм власності, створення сприятливих умов для реалізації інвестиційних та соціально значущих проектів;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підтримка розвитку дослідницької та інноваційної інфраструктури, що функціонує за пріоритетними напрямами;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пряме бюджетне фінансування та співфінансування проектів створення високотехнологічних виробництв,  що відповідають пріоритетним напрямам;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першочерговий розгляд заявок на винаходи, що відповідають пріоритетним напрямам;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заходи з популяризації та просування результатів наукової, науково-технічної та інноваційної діяльності, створених за пріоритетними напрямами.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3. Коригування пріоритетних напрямів за результатами їх реалізації здійснює Кабінет Міністрів України за поданням уповноваженого органу.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Уповноважений орган погоджує пропозиції щодо коригування пріоритетних напрямів з центральними органами виконавчої влади, що забезпечують формування та реалізують державну інноваційну політику в реальному секторі економіки, державну промислову політику, державну військово-промислову політику, державну політику з питань національної безпеки у воєнній сфері.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360" w:after="240" w:beforeAutospacing="0" w:afterAutospacing="0"/>
        <w:ind w:hanging="1157" w:left="1724"/>
        <w:jc w:val="both"/>
        <w:rPr>
          <w:rFonts w:ascii="Times New Roman" w:hAnsi="Times New Roman"/>
          <w:sz w:val="28"/>
          <w:szCs w:val="28"/>
        </w:rPr>
      </w:pPr>
      <w:r>
        <w:rPr>
          <w:rFonts w:ascii="Times New Roman" w:hAnsi="Times New Roman"/>
          <w:sz w:val="28"/>
          <w:szCs w:val="28"/>
        </w:rPr>
        <w:t>Стаття 7. Моніторинг реалізації пріоритетних напрямів наукової, науково-технічної та інноваційної діяльності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1. Моніторинг реалізації пріоритетних напрямів забезпечує уповноважений орган у порядку, визначеному Кабінетом Міністрів України.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Узагальнена інформація про хід реалізації пріоритетних напрямів та отримані результати щорічно до 1 липня поточного року подається Кабінетом Міністрів України до Верховної Ради України.</w:t>
      </w:r>
    </w:p>
    <w:p>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360" w:beforeAutospacing="0" w:afterAutospacing="0"/>
        <w:jc w:val="center"/>
        <w:rPr>
          <w:rFonts w:ascii="Times New Roman" w:hAnsi="Times New Roman"/>
          <w:b w:val="1"/>
          <w:sz w:val="28"/>
          <w:szCs w:val="28"/>
        </w:rPr>
      </w:pPr>
      <w:r>
        <w:rPr>
          <w:rFonts w:ascii="Times New Roman" w:hAnsi="Times New Roman"/>
          <w:b w:val="1"/>
          <w:sz w:val="28"/>
          <w:szCs w:val="28"/>
        </w:rPr>
        <w:t xml:space="preserve">Розділ ІІ.  </w:t>
      </w:r>
    </w:p>
    <w:p>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360" w:beforeAutospacing="0" w:afterAutospacing="0"/>
        <w:jc w:val="center"/>
        <w:rPr>
          <w:rFonts w:ascii="Times New Roman" w:hAnsi="Times New Roman"/>
          <w:b w:val="1"/>
          <w:sz w:val="28"/>
          <w:szCs w:val="28"/>
        </w:rPr>
      </w:pPr>
      <w:r>
        <w:rPr>
          <w:rFonts w:ascii="Times New Roman" w:hAnsi="Times New Roman"/>
          <w:b w:val="1"/>
          <w:sz w:val="28"/>
          <w:szCs w:val="28"/>
        </w:rPr>
        <w:t>ПРИКІНЦЕВІ ТА ПЕРЕХІДНІ ПОЛОЖЕННЯ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1. Цей Закон набирає чинності з 1 січня 2024 року.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2. Визнати такими, що втратили чинність:</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1) Закон України “Про пріоритетні напрями розвитку науки і техніки” (Відомості Верховної Ради України, 2011 р., № 4, ст. 23 із наступними змінами);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2) Закон України “Про пріоритетні напрями інноваційної діяльності в Україні” (Відомості Верховної Ради України, 2012 р., № 19—20, ст. 166; 2014 р., № 2—3, ст. 41);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3) пункт 23 Закону України “Про внесення змін до деяких законодавчих актів України у зв'язку з прийняттям Закону України “Про державні цільові програми”” (Відомості Верховної Ради України, 2006 р., № 22, ст. 199);</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4) Закон України “Про внесення змін до Закону України “Про пріоритетні напрями розвитку науки і техніки””</w:t>
      </w:r>
      <w:r>
        <w:t xml:space="preserve"> </w:t>
      </w:r>
      <w:r>
        <w:rPr>
          <w:rFonts w:ascii="Times New Roman" w:hAnsi="Times New Roman"/>
          <w:sz w:val="28"/>
          <w:szCs w:val="28"/>
        </w:rPr>
        <w:t xml:space="preserve">(Відомості Верховної Ради України, 2011 р., № 4, ст. 23);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5) пункт 63 Закону України “Про внесення змін до деяких законодавчих актів України щодо діяльності Міністерства освіти і науки, молоді та спорту України, Міністерства охорони здоров’я України, Міністерства енергетики та вугільної промисловості України, інших центральних органів виконавчої влади, діяльність яких спрямовується та координується через відповідних міністрів, Державного комітету телебачення і радіомовлення України” (Відомості Верховної Ради, 2014 р., № 2-3, ст. 41);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6) підпункт 7 пункту 3 розділу VI “Прикінцеві та перехідні положення” Закону України “Про наукову і науково-технічну діяльність” (Відомості Верховної Ради, 2016 р., № 3, ст. 25).</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3. Внести зміни до таких законів України: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1) у Законі України “Про наукову і науково-технічну експертизу” (Відомості Верховної Ради України, 1995 р., № 9, ст. 56)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преамбулі та статті 24:</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слова “пріоритетних напрямів розвитку науки і техніки” замінити словами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статтю 3 викласти в такій редакції: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«Основними принципами наукової і науково-технічної експертизи є:</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 принцип компетентності — експерти повинні мати фаховий рівень, достатній для проведення наукової і науково-технічної експертизи відповідно до її об’єкта та завдань;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принцип об’єктивності — виконавці та організатори експертизи не повинні мати будь-якої зацікавленості в результатах експертизи (зокрема, конфлікту інтересів), і повинні проводити експертизу, ґрунтуючись виключно на достовірних фактах щодо об'єкта експертизи та нормах законодавства;</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 принцип незалежності — замовник експертизи не повинен втручатися в проведення експертизи чи будь-яким чином впливати на її результати, а організатор експертизи не повинен впливати на зміст експертних висновків та результати експертизи;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принцип прозорості — процедура проведення експертизи із завданнями та критеріями (у тому числі пріоритетністю цих критеріїв, якщо така передбачена), визначеними замовником, повинна бути доведена до відома всіх заінтересованих сторін до початку проведення експертизи;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принцип захисту інформації — організатори та виконавці наукової і науково-технічної експертизи зобов’язані не допускати розголошення інформації, що міститься у матеріалах, залучених для проведення експертизи, думок експертів, висновків наукової і науково-технічної експертизи, якщо інше не передбачено договором або дорученням на проведення експертизи;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принцип відповідальності — суб’єкти експертизи несуть відповідальність за дотримання визначених вище принципів згідно з нормами законодавства; відповідальність організаторів та виконавців експертизи визначається в умовах договору на проведення наукової і науково-технічної експертизи.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Принципи, визначені цим Законом, поширюються також на наукову і науково-технічну експертизу, що є складовою визначених законодавством процедур державної атестації наукових установ та державної атестації закладів вищої освіти в частині провадження ними наукової і науково-технічної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статтю 19 доповнити новими абзацами такого змісту:</w:t>
      </w:r>
    </w:p>
    <w:p>
      <w:pPr>
        <w:spacing w:before="120" w:beforeAutospacing="0" w:afterAutospacing="0"/>
        <w:ind w:firstLine="709"/>
        <w:jc w:val="both"/>
        <w:rPr>
          <w:rFonts w:ascii="Times New Roman" w:hAnsi="Times New Roman"/>
          <w:sz w:val="28"/>
          <w:szCs w:val="28"/>
        </w:rPr>
      </w:pPr>
      <w:r>
        <w:rPr>
          <w:rFonts w:ascii="Times New Roman" w:hAnsi="Times New Roman"/>
          <w:sz w:val="28"/>
          <w:szCs w:val="28"/>
        </w:rPr>
        <w:t>«Замовники наукової і науково-технічної експертизи формують переліки експертів, залучених до проведення наукової і науково-технічної експертизи, вказуючи:</w:t>
      </w:r>
    </w:p>
    <w:p>
      <w:pPr>
        <w:spacing w:before="120" w:beforeAutospacing="0" w:afterAutospacing="0"/>
        <w:ind w:firstLine="709"/>
        <w:jc w:val="both"/>
        <w:rPr>
          <w:rFonts w:ascii="Times New Roman" w:hAnsi="Times New Roman"/>
          <w:sz w:val="28"/>
          <w:szCs w:val="28"/>
        </w:rPr>
      </w:pPr>
      <w:r>
        <w:rPr>
          <w:rFonts w:ascii="Times New Roman" w:hAnsi="Times New Roman"/>
          <w:sz w:val="28"/>
          <w:szCs w:val="28"/>
        </w:rPr>
        <w:t>1) власне ім’я та прізвище експерта;</w:t>
      </w:r>
    </w:p>
    <w:p>
      <w:pPr>
        <w:spacing w:before="120" w:beforeAutospacing="0" w:afterAutospacing="0"/>
        <w:ind w:firstLine="709"/>
        <w:jc w:val="both"/>
        <w:rPr>
          <w:rFonts w:ascii="Times New Roman" w:hAnsi="Times New Roman"/>
          <w:sz w:val="28"/>
          <w:szCs w:val="28"/>
        </w:rPr>
      </w:pPr>
      <w:r>
        <w:rPr>
          <w:rFonts w:ascii="Times New Roman" w:hAnsi="Times New Roman"/>
          <w:sz w:val="28"/>
          <w:szCs w:val="28"/>
        </w:rPr>
        <w:t>2) вчений ступінь і вчене звання на момент проведення експертизи;</w:t>
      </w:r>
    </w:p>
    <w:p>
      <w:pPr>
        <w:spacing w:before="120" w:beforeAutospacing="0" w:afterAutospacing="0"/>
        <w:ind w:firstLine="709"/>
        <w:jc w:val="both"/>
        <w:rPr>
          <w:rFonts w:ascii="Times New Roman" w:hAnsi="Times New Roman"/>
          <w:sz w:val="28"/>
          <w:szCs w:val="28"/>
        </w:rPr>
      </w:pPr>
      <w:r>
        <w:rPr>
          <w:rFonts w:ascii="Times New Roman" w:hAnsi="Times New Roman"/>
          <w:sz w:val="28"/>
          <w:szCs w:val="28"/>
        </w:rPr>
        <w:t>3) галузь науки (відповідно до класу (рубрики 1-го рівня) Рубрикатора НТІ;</w:t>
      </w:r>
    </w:p>
    <w:p>
      <w:pPr>
        <w:spacing w:before="120" w:beforeAutospacing="0" w:afterAutospacing="0"/>
        <w:ind w:firstLine="709"/>
        <w:jc w:val="both"/>
        <w:rPr>
          <w:rFonts w:ascii="Times New Roman" w:hAnsi="Times New Roman"/>
          <w:sz w:val="28"/>
          <w:szCs w:val="28"/>
        </w:rPr>
      </w:pPr>
      <w:r>
        <w:rPr>
          <w:rFonts w:ascii="Times New Roman" w:hAnsi="Times New Roman"/>
          <w:sz w:val="28"/>
          <w:szCs w:val="28"/>
        </w:rPr>
        <w:t>4) назву програми, конкурсу, в рамках якої залучено експерта.</w:t>
      </w:r>
    </w:p>
    <w:p>
      <w:pPr>
        <w:spacing w:before="120" w:beforeAutospacing="0" w:afterAutospacing="0"/>
        <w:ind w:firstLine="709"/>
        <w:jc w:val="both"/>
        <w:rPr>
          <w:rFonts w:ascii="Times New Roman" w:hAnsi="Times New Roman"/>
          <w:sz w:val="28"/>
          <w:szCs w:val="28"/>
        </w:rPr>
      </w:pPr>
      <w:r>
        <w:rPr>
          <w:rFonts w:ascii="Times New Roman" w:hAnsi="Times New Roman"/>
          <w:sz w:val="28"/>
          <w:szCs w:val="28"/>
        </w:rPr>
        <w:t>У разі, якщо при проведенні наукової і науково-технічної експертизи експертом було порушено принципи наукової і науково-технічної експертизи, наведені у статті 3, або вчинено правопорушення, зазначені в статті 35 Закону, то в такому переліку також зазначається інформація про вчинене порушення.</w:t>
      </w:r>
    </w:p>
    <w:p>
      <w:pPr>
        <w:spacing w:before="120" w:beforeAutospacing="0" w:afterAutospacing="0"/>
        <w:ind w:firstLine="709"/>
        <w:jc w:val="both"/>
        <w:rPr>
          <w:rFonts w:ascii="Times New Roman" w:hAnsi="Times New Roman"/>
          <w:sz w:val="28"/>
          <w:szCs w:val="28"/>
        </w:rPr>
      </w:pPr>
      <w:r>
        <w:rPr>
          <w:rFonts w:ascii="Times New Roman" w:hAnsi="Times New Roman"/>
          <w:sz w:val="28"/>
          <w:szCs w:val="28"/>
        </w:rPr>
        <w:t>Інформація щодо експертів, зазначених в абзаці двадцять другому статті 19, вноситься до переліку та оприлюднюється на офіційних вебсайтах замовників у строк не пізніше ніж через 14 календарних днів після встановлення факту порушення Комісією з питань етики замовника наукової і науково-технічної експертизи.</w:t>
      </w:r>
    </w:p>
    <w:p>
      <w:pPr>
        <w:spacing w:before="120" w:after="120" w:beforeAutospacing="0" w:afterAutospacing="0"/>
        <w:ind w:firstLine="709"/>
        <w:jc w:val="both"/>
        <w:rPr>
          <w:rFonts w:ascii="Times New Roman" w:hAnsi="Times New Roman"/>
          <w:sz w:val="28"/>
          <w:szCs w:val="28"/>
        </w:rPr>
      </w:pPr>
      <w:r>
        <w:rPr>
          <w:rFonts w:ascii="Times New Roman" w:hAnsi="Times New Roman"/>
          <w:sz w:val="28"/>
          <w:szCs w:val="28"/>
        </w:rPr>
        <w:t xml:space="preserve">Замовники наукової і науково-технічної експертизи надають інформацію із власних переліків центральному органу виконавчої влади, що забезпечує формування державної політики у сферах науки, наукової, науково-технічної діяльності та інноваційної діяльності в зазначених сферах, </w:t>
      </w:r>
      <w:r>
        <w:rPr>
          <w:rFonts w:ascii="Times New Roman" w:hAnsi="Times New Roman"/>
          <w:color w:val="000000"/>
          <w:sz w:val="28"/>
          <w:szCs w:val="28"/>
        </w:rPr>
        <w:t xml:space="preserve">у визначені ним терміни, </w:t>
      </w:r>
      <w:r>
        <w:rPr>
          <w:rFonts w:ascii="Times New Roman" w:hAnsi="Times New Roman"/>
          <w:sz w:val="28"/>
          <w:szCs w:val="28"/>
        </w:rPr>
        <w:t>для формування узагальненого переліку експертів з метою обміну інформацією з іншими розпорядниками бюджетних коштів.</w:t>
      </w:r>
    </w:p>
    <w:p>
      <w:pPr>
        <w:shd w:val="clear" w:fill="FFFFFF"/>
        <w:spacing w:before="12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Замовники наукової і науково-технічної експертизи створюють Комісію з питань етики, метою діяльності якої є:</w:t>
      </w:r>
    </w:p>
    <w:p>
      <w:pPr>
        <w:shd w:val="clear" w:fill="FFFFFF"/>
        <w:spacing w:before="120" w:after="120" w:beforeAutospacing="0" w:afterAutospacing="0"/>
        <w:ind w:firstLine="709"/>
        <w:jc w:val="both"/>
        <w:rPr>
          <w:rFonts w:ascii="Times New Roman" w:hAnsi="Times New Roman"/>
          <w:sz w:val="28"/>
          <w:szCs w:val="28"/>
          <w:lang w:eastAsia="uk-UA"/>
        </w:rPr>
      </w:pPr>
      <w:r>
        <w:rPr>
          <w:rFonts w:ascii="Times New Roman" w:hAnsi="Times New Roman"/>
          <w:sz w:val="28"/>
          <w:szCs w:val="28"/>
          <w:lang w:eastAsia="uk-UA"/>
        </w:rPr>
        <w:t>контроль за дотриманням принципів академічної етики та доброчесності при проведенні наукової і науково-технічної експертизи;</w:t>
      </w:r>
    </w:p>
    <w:p>
      <w:pPr>
        <w:shd w:val="clear" w:fill="FFFFFF"/>
        <w:spacing w:before="120" w:after="120" w:beforeAutospacing="0" w:afterAutospacing="0"/>
        <w:ind w:firstLine="709"/>
        <w:jc w:val="both"/>
        <w:rPr>
          <w:rFonts w:ascii="Times New Roman" w:hAnsi="Times New Roman"/>
          <w:sz w:val="28"/>
          <w:szCs w:val="28"/>
          <w:shd w:val="clear" w:color="auto" w:fill="FFFFFF"/>
          <w:lang w:eastAsia="en-US"/>
        </w:rPr>
      </w:pPr>
      <w:r>
        <w:rPr>
          <w:rFonts w:ascii="Times New Roman" w:hAnsi="Times New Roman"/>
          <w:sz w:val="28"/>
          <w:szCs w:val="28"/>
          <w:lang w:eastAsia="uk-UA"/>
        </w:rPr>
        <w:t>вирішення конфліктних ситуацій щодо фактів порушення академічної доброчесності при проведенні наукової і науково-технічної експертизи;</w:t>
      </w:r>
    </w:p>
    <w:p>
      <w:pPr>
        <w:shd w:val="clear" w:fill="FFFFFF"/>
        <w:spacing w:before="120" w:after="120" w:beforeAutospacing="0" w:afterAutospacing="0"/>
        <w:ind w:firstLine="709"/>
        <w:jc w:val="both"/>
        <w:rPr>
          <w:rFonts w:ascii="Times New Roman" w:hAnsi="Times New Roman"/>
          <w:sz w:val="28"/>
          <w:szCs w:val="28"/>
        </w:rPr>
      </w:pPr>
      <w:r>
        <w:rPr>
          <w:rFonts w:ascii="Times New Roman" w:hAnsi="Times New Roman"/>
          <w:sz w:val="28"/>
          <w:szCs w:val="28"/>
          <w:shd w:val="clear" w:color="auto" w:fill="FFFFFF"/>
        </w:rPr>
        <w:t xml:space="preserve">забезпечення дотримання </w:t>
      </w:r>
      <w:r>
        <w:rPr>
          <w:rFonts w:ascii="Times New Roman" w:hAnsi="Times New Roman"/>
          <w:sz w:val="28"/>
          <w:szCs w:val="28"/>
          <w:shd w:val="clear" w:color="auto" w:fill="FFFFFF"/>
          <w:spacing w:val="5"/>
        </w:rPr>
        <w:t xml:space="preserve">професійно-етичних норм </w:t>
      </w:r>
      <w:r>
        <w:rPr>
          <w:rFonts w:ascii="Times New Roman" w:hAnsi="Times New Roman"/>
          <w:sz w:val="28"/>
          <w:szCs w:val="28"/>
          <w:shd w:val="clear" w:color="auto" w:fill="FFFFFF"/>
        </w:rPr>
        <w:t xml:space="preserve">та морально-правових принципів </w:t>
      </w:r>
      <w:r>
        <w:rPr>
          <w:rFonts w:ascii="Times New Roman" w:hAnsi="Times New Roman"/>
          <w:sz w:val="28"/>
          <w:szCs w:val="28"/>
          <w:lang w:eastAsia="uk-UA"/>
        </w:rPr>
        <w:t>при проведенні наукової і науково-технічної експертизи;</w:t>
      </w:r>
    </w:p>
    <w:p>
      <w:pPr>
        <w:shd w:val="clear" w:fill="FFFFFF"/>
        <w:spacing w:before="120" w:after="120" w:beforeAutospacing="0" w:afterAutospacing="0"/>
        <w:ind w:firstLine="709"/>
        <w:jc w:val="both"/>
        <w:rPr>
          <w:rFonts w:ascii="Times New Roman" w:hAnsi="Times New Roman"/>
          <w:sz w:val="28"/>
          <w:szCs w:val="28"/>
        </w:rPr>
      </w:pPr>
      <w:r>
        <w:rPr>
          <w:rFonts w:ascii="Times New Roman" w:hAnsi="Times New Roman"/>
          <w:color w:val="000000"/>
          <w:sz w:val="28"/>
          <w:szCs w:val="28"/>
          <w:shd w:val="clear" w:color="auto" w:fill="FFFFFF"/>
          <w:spacing w:val="5"/>
        </w:rPr>
        <w:t xml:space="preserve">встановлення фактів вчинення при </w:t>
      </w:r>
      <w:r>
        <w:rPr>
          <w:rFonts w:ascii="Times New Roman" w:hAnsi="Times New Roman"/>
          <w:color w:val="000000"/>
          <w:sz w:val="28"/>
          <w:szCs w:val="28"/>
        </w:rPr>
        <w:t xml:space="preserve">проведенні наукової і науково-технічної експертизи порушень </w:t>
      </w:r>
      <w:r>
        <w:rPr>
          <w:rFonts w:ascii="Times New Roman" w:hAnsi="Times New Roman"/>
          <w:sz w:val="28"/>
          <w:szCs w:val="28"/>
        </w:rPr>
        <w:t>принципів наукової і науково-технічної експертизи, наведених у статті 3 цього Закону, або вчинення правопорушень, зазначених в статті 35 цього Закону.»;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after="120" w:beforeAutospacing="0" w:afterAutospacing="0"/>
        <w:ind w:firstLine="567"/>
        <w:jc w:val="both"/>
        <w:rPr>
          <w:rFonts w:ascii="Times New Roman" w:hAnsi="Times New Roman"/>
          <w:sz w:val="28"/>
          <w:szCs w:val="28"/>
        </w:rPr>
      </w:pPr>
      <w:r>
        <w:rPr>
          <w:rFonts w:ascii="Times New Roman" w:hAnsi="Times New Roman"/>
          <w:sz w:val="28"/>
          <w:szCs w:val="28"/>
        </w:rPr>
        <w:t>статтю 35 доповнити новими абзацами такого змісту: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разі, якщо при проведенні наукової і науково-технічної експертизи експертом було порушено принципи наукової і науково-технічної експертизи, наведені у статті 3, або вчинено правопорушення, зазначені в статті 35 Закону, забороняється участь таких осіб (експертами або учасниками) у конкурсах на отримання фінансування наукових досліджень і науково-технічних (експериментальних) розробок протягом 1 року з дня встановлення факту такого порушення Комісією з питань етики замовника наукової і науково-технічної експертизи, а у разі вчинення повторного порушення – протягом 3 років</w:t>
      </w:r>
      <w:r>
        <w:rPr>
          <w:rFonts w:ascii="Times New Roman" w:hAnsi="Times New Roman"/>
          <w:i w:val="1"/>
          <w:sz w:val="28"/>
          <w:szCs w:val="28"/>
        </w:rPr>
        <w:t>.</w:t>
      </w:r>
      <w:r>
        <w:rPr>
          <w:rFonts w:ascii="Times New Roman" w:hAnsi="Times New Roman"/>
          <w:sz w:val="28"/>
          <w:szCs w:val="28"/>
        </w:rPr>
        <w:t>»;</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2) у Законі України “Про інноваційну діяльність” (Відомості Верховної Ради України, 2002 р., № 36, ст. 266; 2012 р., № 19—20, ст. 166; 2014 р., № 2—3, ст. 41):</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в абзаці сьомому частини першої статті 1 слова “пріоритетних напрямів інноваційної діяльності” замінити словами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bookmarkStart w:id="1" w:name="_heading=h.gjdgxs"/>
      <w:bookmarkEnd w:id="1"/>
      <w:r>
        <w:rPr>
          <w:rFonts w:ascii="Times New Roman" w:hAnsi="Times New Roman"/>
          <w:sz w:val="28"/>
          <w:szCs w:val="28"/>
        </w:rPr>
        <w:t>у частині першій статті 2 слова “Про пріоритетні напрями інноваційної діяльності в Україні” замінити словами “Про систему пріоритетних напрямів наукової, науково-технічної та інноваційної діяльності в Україні”;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абзац третій частини другої статті 3 викласти в такій редакції: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“визначення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в абзаці другому частини першої статті 6 слова “пріоритетних напрямів інноваційної діяльності” замінити словами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статті 7:</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абзац третій частини першої викласти в такій редакції: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“визначає основні засади формування та реалізації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в абзаці другому частини другої слова “середньострокові пріоритетні напрями інноваційної діяльності регіонального рівня та” виключити;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абзаци третій, четвертий частини першої статті 8 викласти в такій редакції: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“затверджує перелік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здійснює заходи щодо реалізації пріоритетних напрямів наукової, науково-технічної та інноваційної діяльності та їх коригування за результатами реалізації;”;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статті 9:</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в абзаці четвертому частини першої слова “стратегічних пріоритетних напрямів інноваційної діяльності, середньострокових пріоритетних напрямів інноваційної діяльності загальнодержавного рівня,” виключити;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абзац другий частини другої викласти в такій редакції: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“готує та подає на розгляд Кабінету Міністрів України пропозиції щодо переліку пріоритетних напрямів наукової, науково-технічної та інноваційної діяльності, забезпечує моніторинг їх реалізації та підготовку пропозицій щодо їх коригування за результатами реалізації;”;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частині третій:</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абзац третій викласти в такій редакції: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“беруть участь у визначенні пріоритетних напрямів наукової, науково-технічної та інноваційної діяльності в Україні та їх коригуванні за результатами їх реалізації;”;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в абзаці четвертому слова “, що реалізуються в рамках середньострокових пріоритетних напрямів галузевого рівня,” виключити;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абзац другий частини першої статті 10 виключити;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абзац другий частини шостої статті 13 викласти в такій редакції: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“Інноваційні проекти, що реалізуються в рамках пріоритетних напрямів наукової, науково-технічної та інноваційної діяльності, визнаються центральним органом виконавчої влади, що реалізує державну політику у сфері інноваційної діяльності, пріоритетними інноваційними проектами.”;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3) у Законі України “Про спеціальний режим інноваційної діяльності технологічних парків” (Відомості Верховної Ради України, 2006 р., № 22, ст. 182):</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пункті 8 статті 1 слова “науково-технічним та інноваційним пріоритетам” замінити словами “пріоритетним напрямам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частині другій статті 5 слова “законів   України  “Про пріоритетні напрями розвитку науки і техніки” та  “Про пріоритетні напрями інноваційної діяльності в Україні” замінити словами “визначених законодавством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4) в абзаці восьмому статті 1 Закону України “Про наукові парки” (Відомості Верховної Ради України, 2009 р., № 51, ст. 757; із змінами, внесеними Законом України від 7 вересня 2021 року № 1714-IX) слово “законами” замінити словами “відповідно до Закону України “Про систему пріоритетних напрямів наукової, науково-технічної та інноваційної діяльності в Україні” та інших законодавчих актів”.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5) у Законі України “Про державне регулювання діяльності у сфері трансферу технологій” (Відомості Верховної Ради України, 2013 р., № 47, ст. 644):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статті 2 слова “законах України “Про зовнішньоекономічну діяльність”, “Про пріоритетні напрями розвитку науки і техніки”, “Про пріоритетні напрями інноваційної діяльності в Україні” замінити словами “Законах України “Про зовнішньоекономічну діяльність”, “Про систему пріоритетних напрямів наукової, науково-технічної та інноваційної діяльності в Україні”;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частину другу статті 24 виключити;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6) у Законі України “Про наукову і науково-технічну діяльність” (Відомості Верховної Ради України, 2016 р., № 3, ст. 25):</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пункті 1 частини другої статті 13 слова “пріоритетними</w:t>
      </w:r>
      <w:r>
        <w:rPr>
          <w:rFonts w:ascii="Times New Roman" w:hAnsi="Times New Roman"/>
          <w:i w:val="1"/>
          <w:sz w:val="28"/>
          <w:szCs w:val="28"/>
        </w:rPr>
        <w:t xml:space="preserve"> </w:t>
      </w:r>
      <w:r>
        <w:rPr>
          <w:rFonts w:ascii="Times New Roman" w:hAnsi="Times New Roman"/>
          <w:sz w:val="28"/>
          <w:szCs w:val="28"/>
        </w:rPr>
        <w:t>тематичними напрямами наукових досліджень і науково-технічних розробок” замінити словами “Кабінетом Міністрів України пріоритетними напрямами наукової, науково-технічної та інноваційної діяльності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частині першій статті 14 слова “найбільш важливих та актуальних для держави напрямів розвитку науки і техніки та (або) інноваційної діяльності” замінити словами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пункті 1 частини другої статті 17 слова “розвитку науки і техніки” замінити словами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частині третій статті 18 слова “державними пріоритетами” замінити словами “пріоритетними напрямами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пункт 2 частини сьомої статті 20 викласти в такій редакції: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“2) участь у підготовці пропозицій щодо пріоритетних напрямів наукової, науково-технічної та інноваційної діяльності, а також пропозицій щодо їх коригування;”;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пункт 3 частини першої статті 39 викласти в такій редакції: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“3) визначає основні засади формування та реалізації пріоритетних напрямів наукової, науково-технічної та інноваційної діяльності, їх поділ на тематичні підгрупи, затверджує загальнодержавні програми науково-технічного розвитку України;”;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пункт 3 частини першої статті 41 викласти в такій редакції: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“3) затверджує перелік пріоритетних напрямів наукової, науково-технічної та інноваційної діяльності, здійснює заходи щодо реалізації пріоритетних напрямів наукової, науково-технічної та інноваційної діяльності та їх коригування за результатами реалізації;”;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пункт 4 частини першої статті 42 викласти в такій редакції: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“4) забезпечує у встановленому законодавством порядку підготовку пропозицій щодо переліку пріоритетних напрямів наукової, науково-технічної та інноваційної діяльності, моніторинг їх реалізації та підготовку пропозицій щодо коригування  пріоритетних напрямів наукової, науково-технічної та інноваційної діяльності за результатами їх реалізації, подає відповідні пропозиції на розгляд Кабінету Міністрів України;”;</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статтю 43 доповнити новою частиною першою такого змісту: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“1. Центральний орган виконавчої влади, що забезпечує формування та реалізує державну інноваційну політику в реальному секторі економіки, </w:t>
      </w:r>
      <w:r>
        <w:t xml:space="preserve">     </w:t>
      </w:r>
      <w:r>
        <w:rPr>
          <w:rFonts w:ascii="Times New Roman" w:hAnsi="Times New Roman"/>
          <w:sz w:val="28"/>
          <w:szCs w:val="28"/>
        </w:rPr>
        <w:t>центральний орган виконавчої влади, що забезпечує формування та реалізує державну промислову політику, державну військово-промислову політику, та центральний орган виконавчої влади, що забезпечує формування та реалізує державну політику з питань національної безпеки у воєнній сфері погоджують пропозиції щодо пріоритетних напрямів наукової, науково-технічної та інноваційної діяльності та пропозиції щодо коригування пріоритетних напрямів наукової, науково-технічної та інноваційної діяльності, підготовлені центральним органом виконавчої влади, що забезпечує формування та реалізує державну політику у сфері наукової та науково-технічної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 xml:space="preserve">У зв’язку з цим частину першу вважати частиною другою;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частину другу статті 49 викласти в такій редакції: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“2. Національний фонд досліджень України є державною бюджетною установою, основним завданням якої є грантова підтримка наукових досліджень і науково-технічних (експериментальних) розробок за пріоритетними напрямами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у тексті Закону слова “пріоритетних напрямів розвитку науки і техніки” замінити словами “пріоритетних напрямів наукової, науково-технічної та інноваційної діяльності”.</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4. Кабінету Міністрів України протягом трьох місяців з дня прийняття цього Закону: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прийняти нормативно-правові акти, необхідні для реалізації положень цього Закону, та забезпечити набрання ними чинності одночасно з введенням у дію відповідних положень цього Закону;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привести власні нормативно-правові акти у відповідність із цим Законом;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r>
        <w:rPr>
          <w:rFonts w:ascii="Times New Roman" w:hAnsi="Times New Roman"/>
          <w:sz w:val="28"/>
          <w:szCs w:val="28"/>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120" w:beforeAutospacing="0" w:afterAutospacing="0"/>
        <w:ind w:firstLine="567"/>
        <w:jc w:val="both"/>
        <w:rPr>
          <w:rFonts w:ascii="Times New Roman" w:hAnsi="Times New Roman"/>
          <w:sz w:val="28"/>
          <w:szCs w:val="28"/>
        </w:rPr>
      </w:pPr>
    </w:p>
    <w:p>
      <w:pPr>
        <w:spacing w:before="720" w:beforeAutospacing="0" w:afterAutospacing="0"/>
        <w:rPr>
          <w:rFonts w:ascii="Times New Roman" w:hAnsi="Times New Roman"/>
          <w:b w:val="1"/>
          <w:sz w:val="28"/>
          <w:szCs w:val="28"/>
        </w:rPr>
      </w:pPr>
      <w:bookmarkStart w:id="2" w:name="_heading=h.30j0zll"/>
      <w:bookmarkEnd w:id="2"/>
      <w:r>
        <w:rPr>
          <w:rFonts w:ascii="Times New Roman" w:hAnsi="Times New Roman"/>
          <w:b w:val="1"/>
          <w:sz w:val="28"/>
          <w:szCs w:val="28"/>
        </w:rPr>
        <w:t xml:space="preserve">              Голова </w:t>
        <w:br w:type="textWrapping"/>
        <w:t>Верховної Ради України</w:t>
      </w:r>
    </w:p>
    <w:p/>
    <w:p/>
    <w:p/>
    <w:sectPr>
      <w:headerReference xmlns:r="http://schemas.openxmlformats.org/officeDocument/2006/relationships" w:type="default" r:id="RelHdr1"/>
      <w:headerReference xmlns:r="http://schemas.openxmlformats.org/officeDocument/2006/relationships" w:type="even" r:id="RelHdr2"/>
      <w:footnotePr/>
      <w:endnotePr/>
      <w:type w:val="nextPage"/>
      <w:pgSz w:w="11906" w:h="16838" w:code="0"/>
      <w:pgMar w:left="1701" w:right="1134" w:top="1134" w:bottom="1134" w:header="567" w:footer="567" w:gutter="0"/>
      <w:pgNumType w:start="1" w:chapSep="period"/>
      <w:cols w:equalWidth="1" w:space="72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jc w:val="center"/>
    </w:pPr>
    <w:r>
      <w:fldChar w:fldCharType="begin"/>
    </w:r>
    <w:r>
      <w:instrText>PAGE</w:instrText>
    </w:r>
    <w:r>
      <w:fldChar w:fldCharType="separate"/>
    </w:r>
    <w:r>
      <w:t>#</w:t>
    </w:r>
    <w:r>
      <w:fldChar w:fldCharType="end"/>
    </w:r>
  </w:p>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jc w:val="center"/>
    </w:pPr>
    <w:r>
      <w:fldChar w:fldCharType="begin"/>
    </w:r>
    <w:r>
      <w:instrText>PAGE</w:instrText>
    </w:r>
    <w:r>
      <w:fldChar w:fldCharType="separate"/>
    </w:r>
    <w:r>
      <w:t>#</w:t>
    </w:r>
    <w:r>
      <w:fldChar w:fldCharType="end"/>
    </w:r>
  </w:p>
  <w:p/>
</w:hdr>
</file>

<file path=word/numbering.xml><?xml version="1.0" encoding="utf-8"?>
<w:numbering xmlns:w="http://schemas.openxmlformats.org/wordprocessingml/2006/main">
  <w:abstractNum w:abstractNumId="0">
    <w:nsid w:val="28770A6B"/>
    <w:multiLevelType w:val="multilevel"/>
    <w:lvl w:ilvl="0">
      <w:start w:val="1"/>
      <w:numFmt w:val="bullet"/>
      <w:suff w:val="tab"/>
      <w:lvlText w:val=""/>
      <w:lvlJc w:val="left"/>
      <w:pPr>
        <w:ind w:hanging="360" w:left="720"/>
        <w:tabs>
          <w:tab w:val="num" w:pos="720" w:leader="none"/>
        </w:tabs>
      </w:pPr>
      <w:rPr>
        <w:rFonts w:ascii="Symbol" w:hAnsi="Symbol"/>
        <w:sz w:val="20"/>
      </w:rPr>
    </w:lvl>
    <w:lvl w:ilvl="1">
      <w:start w:val="1"/>
      <w:numFmt w:val="bullet"/>
      <w:suff w:val="tab"/>
      <w:lvlText w:val="o"/>
      <w:lvlJc w:val="left"/>
      <w:pPr>
        <w:ind w:hanging="360" w:left="1440"/>
        <w:tabs>
          <w:tab w:val="num" w:pos="1440" w:leader="none"/>
        </w:tabs>
      </w:pPr>
      <w:rPr>
        <w:rFonts w:ascii="Courier New" w:hAnsi="Courier New"/>
        <w:sz w:val="20"/>
      </w:rPr>
    </w:lvl>
    <w:lvl w:ilvl="2">
      <w:start w:val="1"/>
      <w:numFmt w:val="bullet"/>
      <w:suff w:val="tab"/>
      <w:lvlText w:val=""/>
      <w:lvlJc w:val="left"/>
      <w:pPr>
        <w:ind w:hanging="360" w:left="2160"/>
        <w:tabs>
          <w:tab w:val="num" w:pos="2160" w:leader="none"/>
        </w:tabs>
      </w:pPr>
      <w:rPr>
        <w:rFonts w:ascii="Wingdings" w:hAnsi="Wingdings"/>
        <w:sz w:val="20"/>
      </w:rPr>
    </w:lvl>
    <w:lvl w:ilvl="3">
      <w:start w:val="1"/>
      <w:numFmt w:val="bullet"/>
      <w:suff w:val="tab"/>
      <w:lvlText w:val=""/>
      <w:lvlJc w:val="left"/>
      <w:pPr>
        <w:ind w:hanging="360" w:left="2880"/>
        <w:tabs>
          <w:tab w:val="num" w:pos="2880" w:leader="none"/>
        </w:tabs>
      </w:pPr>
      <w:rPr>
        <w:rFonts w:ascii="Wingdings" w:hAnsi="Wingdings"/>
        <w:sz w:val="20"/>
      </w:rPr>
    </w:lvl>
    <w:lvl w:ilvl="4">
      <w:start w:val="1"/>
      <w:numFmt w:val="bullet"/>
      <w:suff w:val="tab"/>
      <w:lvlText w:val=""/>
      <w:lvlJc w:val="left"/>
      <w:pPr>
        <w:ind w:hanging="360" w:left="3600"/>
        <w:tabs>
          <w:tab w:val="num" w:pos="3600" w:leader="none"/>
        </w:tabs>
      </w:pPr>
      <w:rPr>
        <w:rFonts w:ascii="Wingdings" w:hAnsi="Wingdings"/>
        <w:sz w:val="20"/>
      </w:rPr>
    </w:lvl>
    <w:lvl w:ilvl="5">
      <w:start w:val="1"/>
      <w:numFmt w:val="bullet"/>
      <w:suff w:val="tab"/>
      <w:lvlText w:val=""/>
      <w:lvlJc w:val="left"/>
      <w:pPr>
        <w:ind w:hanging="360" w:left="4320"/>
        <w:tabs>
          <w:tab w:val="num" w:pos="4320" w:leader="none"/>
        </w:tabs>
      </w:pPr>
      <w:rPr>
        <w:rFonts w:ascii="Wingdings" w:hAnsi="Wingdings"/>
        <w:sz w:val="20"/>
      </w:rPr>
    </w:lvl>
    <w:lvl w:ilvl="6">
      <w:start w:val="1"/>
      <w:numFmt w:val="bullet"/>
      <w:suff w:val="tab"/>
      <w:lvlText w:val=""/>
      <w:lvlJc w:val="left"/>
      <w:pPr>
        <w:ind w:hanging="360" w:left="5040"/>
        <w:tabs>
          <w:tab w:val="num" w:pos="5040" w:leader="none"/>
        </w:tabs>
      </w:pPr>
      <w:rPr>
        <w:rFonts w:ascii="Wingdings" w:hAnsi="Wingdings"/>
        <w:sz w:val="20"/>
      </w:rPr>
    </w:lvl>
    <w:lvl w:ilvl="7">
      <w:start w:val="1"/>
      <w:numFmt w:val="bullet"/>
      <w:suff w:val="tab"/>
      <w:lvlText w:val=""/>
      <w:lvlJc w:val="left"/>
      <w:pPr>
        <w:ind w:hanging="360" w:left="5760"/>
        <w:tabs>
          <w:tab w:val="num" w:pos="5760" w:leader="none"/>
        </w:tabs>
      </w:pPr>
      <w:rPr>
        <w:rFonts w:ascii="Wingdings" w:hAnsi="Wingdings"/>
        <w:sz w:val="20"/>
      </w:rPr>
    </w:lvl>
    <w:lvl w:ilvl="8">
      <w:start w:val="1"/>
      <w:numFmt w:val="bullet"/>
      <w:suff w:val="tab"/>
      <w:lvlText w:val=""/>
      <w:lvlJc w:val="left"/>
      <w:pPr>
        <w:ind w:hanging="360" w:left="6480"/>
        <w:tabs>
          <w:tab w:val="num" w:pos="6480" w:leader="none"/>
        </w:tabs>
      </w:pPr>
      <w:rPr>
        <w:rFonts w:ascii="Wingdings" w:hAnsi="Wingdings"/>
        <w:sz w:val="20"/>
      </w:rPr>
    </w:lvl>
  </w:abstractNum>
  <w:abstractNum w:abstractNumId="1">
    <w:nsid w:val="386413BB"/>
    <w:multiLevelType w:val="multilevel"/>
    <w:lvl w:ilvl="0">
      <w:start w:val="1"/>
      <w:numFmt w:val="decimal"/>
      <w:suff w:val="tab"/>
      <w:lvlText w:val="%1)"/>
      <w:lvlJc w:val="left"/>
      <w:pPr>
        <w:ind w:hanging="360" w:left="1580"/>
      </w:pPr>
      <w:rPr/>
    </w:lvl>
    <w:lvl w:ilvl="1">
      <w:start w:val="1"/>
      <w:numFmt w:val="lowerLetter"/>
      <w:suff w:val="tab"/>
      <w:lvlText w:val="%2."/>
      <w:lvlJc w:val="left"/>
      <w:pPr>
        <w:ind w:hanging="360" w:left="2300"/>
      </w:pPr>
      <w:rPr/>
    </w:lvl>
    <w:lvl w:ilvl="2">
      <w:start w:val="1"/>
      <w:numFmt w:val="lowerRoman"/>
      <w:suff w:val="tab"/>
      <w:lvlText w:val="%3."/>
      <w:lvlJc w:val="right"/>
      <w:pPr>
        <w:ind w:hanging="180" w:left="3020"/>
      </w:pPr>
      <w:rPr/>
    </w:lvl>
    <w:lvl w:ilvl="3">
      <w:start w:val="1"/>
      <w:numFmt w:val="decimal"/>
      <w:suff w:val="tab"/>
      <w:lvlText w:val="%4."/>
      <w:lvlJc w:val="left"/>
      <w:pPr>
        <w:ind w:hanging="360" w:left="3740"/>
      </w:pPr>
      <w:rPr/>
    </w:lvl>
    <w:lvl w:ilvl="4">
      <w:start w:val="1"/>
      <w:numFmt w:val="lowerLetter"/>
      <w:suff w:val="tab"/>
      <w:lvlText w:val="%5."/>
      <w:lvlJc w:val="left"/>
      <w:pPr>
        <w:ind w:hanging="360" w:left="4460"/>
      </w:pPr>
      <w:rPr/>
    </w:lvl>
    <w:lvl w:ilvl="5">
      <w:start w:val="1"/>
      <w:numFmt w:val="lowerRoman"/>
      <w:suff w:val="tab"/>
      <w:lvlText w:val="%6."/>
      <w:lvlJc w:val="right"/>
      <w:pPr>
        <w:ind w:hanging="180" w:left="5180"/>
      </w:pPr>
      <w:rPr/>
    </w:lvl>
    <w:lvl w:ilvl="6">
      <w:start w:val="1"/>
      <w:numFmt w:val="decimal"/>
      <w:suff w:val="tab"/>
      <w:lvlText w:val="%7."/>
      <w:lvlJc w:val="left"/>
      <w:pPr>
        <w:ind w:hanging="360" w:left="5900"/>
      </w:pPr>
      <w:rPr/>
    </w:lvl>
    <w:lvl w:ilvl="7">
      <w:start w:val="1"/>
      <w:numFmt w:val="lowerLetter"/>
      <w:suff w:val="tab"/>
      <w:lvlText w:val="%8."/>
      <w:lvlJc w:val="left"/>
      <w:pPr>
        <w:ind w:hanging="360" w:left="6620"/>
      </w:pPr>
      <w:rPr/>
    </w:lvl>
    <w:lvl w:ilvl="8">
      <w:start w:val="1"/>
      <w:numFmt w:val="lowerRoman"/>
      <w:suff w:val="tab"/>
      <w:lvlText w:val="%9."/>
      <w:lvlJc w:val="right"/>
      <w:pPr>
        <w:ind w:hanging="180" w:left="7340"/>
      </w:pPr>
      <w:rPr/>
    </w:lvl>
  </w:abstractNum>
  <w:num w:numId="1">
    <w:abstractNumId w:val="1"/>
  </w:num>
  <w:num w:numId="2">
    <w:abstractNumId w:val="0"/>
  </w:num>
</w:numbering>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Antiqua" w:hAnsi="Antiqua"/>
        <w:sz w:val="26"/>
        <w:szCs w:val="26"/>
        <w:lang w:val="uk-UA" w:bidi="ar-SA" w:eastAsia="uk-UA"/>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lang w:eastAsia="ru-RU"/>
    </w:rPr>
  </w:style>
  <w:style w:type="paragraph" w:styleId="P1">
    <w:name w:val="heading 1"/>
    <w:basedOn w:val="P0"/>
    <w:next w:val="P0"/>
    <w:pPr>
      <w:keepNext w:val="1"/>
      <w:keepLines w:val="1"/>
      <w:spacing w:before="480" w:after="120" w:beforeAutospacing="0" w:afterAutospacing="0"/>
      <w:outlineLvl w:val="0"/>
    </w:pPr>
    <w:rPr>
      <w:b w:val="1"/>
      <w:sz w:val="48"/>
      <w:szCs w:val="48"/>
    </w:rPr>
  </w:style>
  <w:style w:type="paragraph" w:styleId="P2">
    <w:name w:val="heading 2"/>
    <w:basedOn w:val="P0"/>
    <w:next w:val="P0"/>
    <w:pPr>
      <w:keepNext w:val="1"/>
      <w:keepLines w:val="1"/>
      <w:spacing w:before="360" w:after="80" w:beforeAutospacing="0" w:afterAutospacing="0"/>
      <w:outlineLvl w:val="1"/>
    </w:pPr>
    <w:rPr>
      <w:b w:val="1"/>
      <w:sz w:val="36"/>
      <w:szCs w:val="36"/>
    </w:rPr>
  </w:style>
  <w:style w:type="paragraph" w:styleId="P3">
    <w:name w:val="heading 3"/>
    <w:basedOn w:val="P0"/>
    <w:next w:val="P0"/>
    <w:pPr>
      <w:keepNext w:val="1"/>
      <w:keepLines w:val="1"/>
      <w:spacing w:before="280" w:after="80" w:beforeAutospacing="0" w:afterAutospacing="0"/>
      <w:outlineLvl w:val="2"/>
    </w:pPr>
    <w:rPr>
      <w:b w:val="1"/>
      <w:sz w:val="28"/>
      <w:szCs w:val="28"/>
    </w:rPr>
  </w:style>
  <w:style w:type="paragraph" w:styleId="P4">
    <w:name w:val="heading 4"/>
    <w:basedOn w:val="P0"/>
    <w:next w:val="P0"/>
    <w:pPr>
      <w:keepNext w:val="1"/>
      <w:keepLines w:val="1"/>
      <w:spacing w:before="240" w:after="40" w:beforeAutospacing="0" w:afterAutospacing="0"/>
      <w:outlineLvl w:val="3"/>
    </w:pPr>
    <w:rPr>
      <w:b w:val="1"/>
      <w:sz w:val="24"/>
      <w:szCs w:val="24"/>
    </w:rPr>
  </w:style>
  <w:style w:type="paragraph" w:styleId="P5">
    <w:name w:val="heading 5"/>
    <w:basedOn w:val="P0"/>
    <w:next w:val="P0"/>
    <w:pPr>
      <w:keepNext w:val="1"/>
      <w:keepLines w:val="1"/>
      <w:spacing w:before="220" w:after="40" w:beforeAutospacing="0" w:afterAutospacing="0"/>
      <w:outlineLvl w:val="4"/>
    </w:pPr>
    <w:rPr>
      <w:b w:val="1"/>
      <w:sz w:val="22"/>
      <w:szCs w:val="22"/>
    </w:rPr>
  </w:style>
  <w:style w:type="paragraph" w:styleId="P6">
    <w:name w:val="heading 6"/>
    <w:basedOn w:val="P0"/>
    <w:next w:val="P0"/>
    <w:pPr>
      <w:keepNext w:val="1"/>
      <w:keepLines w:val="1"/>
      <w:spacing w:before="200" w:after="40" w:beforeAutospacing="0" w:afterAutospacing="0"/>
      <w:outlineLvl w:val="5"/>
    </w:pPr>
    <w:rPr>
      <w:b w:val="1"/>
      <w:sz w:val="20"/>
      <w:szCs w:val="20"/>
    </w:rPr>
  </w:style>
  <w:style w:type="paragraph" w:styleId="P7">
    <w:name w:val="Title"/>
    <w:basedOn w:val="P0"/>
    <w:next w:val="P0"/>
    <w:pPr>
      <w:keepNext w:val="1"/>
      <w:keepLines w:val="1"/>
      <w:spacing w:before="480" w:after="120" w:beforeAutospacing="0" w:afterAutospacing="0"/>
    </w:pPr>
    <w:rPr>
      <w:b w:val="1"/>
      <w:sz w:val="72"/>
      <w:szCs w:val="72"/>
    </w:rPr>
  </w:style>
  <w:style w:type="paragraph" w:styleId="P8">
    <w:name w:val="Нормальний текст"/>
    <w:basedOn w:val="P0"/>
    <w:pPr>
      <w:spacing w:before="120" w:beforeAutospacing="0" w:afterAutospacing="0"/>
      <w:ind w:firstLine="567"/>
      <w:jc w:val="both"/>
    </w:pPr>
    <w:rPr/>
  </w:style>
  <w:style w:type="paragraph" w:styleId="P9">
    <w:name w:val="Установа"/>
    <w:basedOn w:val="P0"/>
    <w:pPr>
      <w:keepNext w:val="1"/>
      <w:keepLines w:val="1"/>
      <w:spacing w:before="120" w:beforeAutospacing="0" w:afterAutospacing="0"/>
      <w:jc w:val="center"/>
    </w:pPr>
    <w:rPr>
      <w:b w:val="1"/>
      <w:i w:val="1"/>
      <w:caps w:val="1"/>
      <w:sz w:val="48"/>
    </w:rPr>
  </w:style>
  <w:style w:type="paragraph" w:styleId="P10">
    <w:name w:val="Вид документа"/>
    <w:basedOn w:val="P9"/>
    <w:next w:val="P0"/>
    <w:pPr>
      <w:spacing w:before="0" w:after="240" w:beforeAutospacing="0" w:afterAutospacing="0"/>
      <w:jc w:val="right"/>
    </w:pPr>
    <w:rPr>
      <w:b w:val="0"/>
      <w:i w:val="0"/>
      <w:caps w:val="0"/>
      <w:sz w:val="26"/>
      <w:spacing w:val="20"/>
    </w:rPr>
  </w:style>
  <w:style w:type="paragraph" w:styleId="P11">
    <w:name w:val="Назва документа"/>
    <w:basedOn w:val="P0"/>
    <w:next w:val="P8"/>
    <w:pPr>
      <w:keepNext w:val="1"/>
      <w:keepLines w:val="1"/>
      <w:spacing w:before="360" w:after="360" w:beforeAutospacing="0" w:afterAutospacing="0"/>
      <w:jc w:val="center"/>
    </w:pPr>
    <w:rPr>
      <w:b w:val="1"/>
    </w:rPr>
  </w:style>
  <w:style w:type="paragraph" w:styleId="P12">
    <w:name w:val="footer"/>
    <w:basedOn w:val="P0"/>
    <w:pPr>
      <w:tabs>
        <w:tab w:val="center" w:pos="4819" w:leader="none"/>
        <w:tab w:val="right" w:pos="9639" w:leader="none"/>
      </w:tabs>
    </w:pPr>
    <w:rPr/>
  </w:style>
  <w:style w:type="paragraph" w:styleId="P13">
    <w:name w:val="header"/>
    <w:basedOn w:val="P0"/>
    <w:pPr>
      <w:tabs>
        <w:tab w:val="center" w:pos="4819" w:leader="none"/>
        <w:tab w:val="right" w:pos="9639" w:leader="none"/>
      </w:tabs>
    </w:pPr>
    <w:rPr/>
  </w:style>
  <w:style w:type="paragraph" w:styleId="P14">
    <w:name w:val="Subtitle"/>
    <w:basedOn w:val="P0"/>
    <w:next w:val="P0"/>
    <w:pPr>
      <w:keepNext w:val="1"/>
      <w:keepLines w:val="1"/>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before="360" w:after="80" w:beforeAutospacing="0" w:afterAutospacing="0"/>
    </w:pPr>
    <w:rPr>
      <w:rFonts w:ascii="Georgia" w:hAnsi="Georgia"/>
      <w:i w:val="1"/>
      <w:color w:val="666666"/>
      <w:sz w:val="48"/>
      <w:szCs w:val="48"/>
    </w:rPr>
  </w:style>
  <w:style w:type="paragraph" w:styleId="P15">
    <w:name w:val="annotation text"/>
    <w:basedOn w:val="P0"/>
    <w:link w:val="C4"/>
    <w:semiHidden/>
    <w:pPr/>
    <w:rPr>
      <w:sz w:val="20"/>
      <w:szCs w:val="20"/>
    </w:rPr>
  </w:style>
  <w:style w:type="paragraph" w:styleId="P16">
    <w:name w:val="Balloon Text"/>
    <w:basedOn w:val="P0"/>
    <w:link w:val="C6"/>
    <w:semiHidden/>
    <w:pPr/>
    <w:rPr>
      <w:rFonts w:ascii="Segoe UI" w:hAnsi="Segoe UI"/>
      <w:sz w:val="18"/>
      <w:szCs w:val="18"/>
    </w:rPr>
  </w:style>
  <w:style w:type="paragraph" w:styleId="P17">
    <w:name w:val="footnote text"/>
    <w:link w:val="C8"/>
    <w:semiHidden/>
    <w:pPr/>
    <w:rPr>
      <w:sz w:val="20"/>
      <w:szCs w:val="20"/>
    </w:rPr>
  </w:style>
  <w:style w:type="paragraph" w:styleId="P18">
    <w:name w:val="endnote text"/>
    <w:link w:val="C10"/>
    <w:semiHidden/>
    <w:pPr/>
    <w:rPr>
      <w:sz w:val="20"/>
      <w:szCs w:val="20"/>
    </w:rPr>
  </w:style>
  <w:style w:type="paragraph" w:styleId="P19">
    <w:name w:val="List Paragraph"/>
    <w:basedOn w:val="P0"/>
    <w:qFormat/>
    <w:pPr>
      <w:ind w:left="720"/>
      <w:contextualSpacing w:val="1"/>
    </w:pPr>
    <w:rPr/>
  </w:style>
  <w:style w:type="paragraph" w:styleId="P20">
    <w:name w:val="annotation subject"/>
    <w:basedOn w:val="P15"/>
    <w:next w:val="P15"/>
    <w:link w:val="C11"/>
    <w:semiHidden/>
    <w:pPr/>
    <w:rPr>
      <w:b w:val="1"/>
      <w:bCs w:val="1"/>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line number"/>
    <w:basedOn w:val="C0"/>
    <w:semiHidden/>
    <w:rPr/>
  </w:style>
  <w:style w:type="character" w:styleId="C4">
    <w:name w:val="Текст примітки Знак"/>
    <w:basedOn w:val="C0"/>
    <w:link w:val="P15"/>
    <w:semiHidden/>
    <w:rPr>
      <w:sz w:val="20"/>
      <w:szCs w:val="20"/>
      <w:lang w:eastAsia="ru-RU"/>
    </w:rPr>
  </w:style>
  <w:style w:type="character" w:styleId="C5">
    <w:name w:val="annotation reference"/>
    <w:basedOn w:val="C0"/>
    <w:semiHidden/>
    <w:rPr>
      <w:sz w:val="16"/>
      <w:szCs w:val="16"/>
    </w:rPr>
  </w:style>
  <w:style w:type="character" w:styleId="C6">
    <w:name w:val="Текст у виносці Знак"/>
    <w:basedOn w:val="C0"/>
    <w:link w:val="P16"/>
    <w:semiHidden/>
    <w:rPr>
      <w:rFonts w:ascii="Segoe UI" w:hAnsi="Segoe UI"/>
      <w:sz w:val="18"/>
      <w:szCs w:val="18"/>
      <w:lang w:eastAsia="ru-RU"/>
    </w:rPr>
  </w:style>
  <w:style w:type="character" w:styleId="C7">
    <w:name w:val="footnote reference"/>
    <w:semiHidden/>
    <w:rPr>
      <w:vertAlign w:val="superscript"/>
    </w:rPr>
  </w:style>
  <w:style w:type="character" w:styleId="C8">
    <w:name w:val="Текст виноски Знак"/>
    <w:link w:val="P17"/>
    <w:semiHidden/>
    <w:rPr>
      <w:sz w:val="20"/>
      <w:szCs w:val="20"/>
    </w:rPr>
  </w:style>
  <w:style w:type="character" w:styleId="C9">
    <w:name w:val="endnote reference"/>
    <w:semiHidden/>
    <w:rPr>
      <w:vertAlign w:val="superscript"/>
    </w:rPr>
  </w:style>
  <w:style w:type="character" w:styleId="C10">
    <w:name w:val="Текст кінцевої виноски Знак"/>
    <w:link w:val="P18"/>
    <w:semiHidden/>
    <w:rPr>
      <w:sz w:val="20"/>
      <w:szCs w:val="20"/>
    </w:rPr>
  </w:style>
  <w:style w:type="character" w:styleId="C11">
    <w:name w:val="Тема примітки Знак"/>
    <w:basedOn w:val="C4"/>
    <w:link w:val="P20"/>
    <w:semiHidden/>
    <w:rPr>
      <w:b w:val="1"/>
      <w:bCs w:val="1"/>
      <w:sz w:val="20"/>
      <w:szCs w:val="20"/>
      <w:lang w:eastAsia="ru-RU"/>
    </w:rPr>
  </w:style>
  <w:style w:type="character" w:styleId="C12">
    <w:name w:val="Footnote Text Char"/>
    <w:semiHidden/>
    <w:rPr>
      <w:sz w:val="20"/>
      <w:szCs w:val="20"/>
    </w:rPr>
  </w:style>
  <w:style w:type="character" w:styleId="C13">
    <w:name w:val="Endnote Text Char"/>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table" w:styleId="T2">
    <w:name w:val="Table Normal"/>
    <w:tblPr>
      <w:tblCellMar>
        <w:top w:w="0" w:type="dxa"/>
        <w:left w:w="0" w:type="dxa"/>
        <w:bottom w:w="0" w:type="dxa"/>
        <w:right w:w="0"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Hdr2" Type="http://schemas.openxmlformats.org/officeDocument/2006/relationships/header" Target="head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 Id="RelItem2" Type="http://schemas.openxmlformats.org/officeDocument/2006/relationships/customXml" Target="../customXml/item2.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_rels/header2.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CxggY/KAiQsy4RyXaYspYsCgxQ==">CgMxLjAyCWguMWZvYjl0ZTIIaC5namRneHMyCWguMzBqMHpsbDgAciExWW5sR2VCZmRrUWlxT1FhaU5RNVBiRFllZUs3R2RTMnA=</go:docsCustomData>
</go:gDocsCustomXmlDataStorage>
</file>

<file path=customXml/itemProps1.xml><?xml version="1.0" encoding="utf-8"?>
<ds:datastoreItem xmlns:ds="http://schemas.openxmlformats.org/officeDocument/2006/customXml" ds:itemID="{8349cb8c-6b90-41d9-a309-69ea4921b773}">
  <ds:schemaRefs>
    <ds:schemaRef ds:uri="http://schemas.microsoft.com/vsto/samples"/>
  </ds:schemaRefs>
</ds:datastoreItem>
</file>

<file path=customXml/itemProps2.xml><?xml version="1.0" encoding="utf-8"?>
<ds:datastoreItem xmlns:ds="http://schemas.openxmlformats.org/officeDocument/2006/customXml" ds:itemID="{11111111-1234-1234-1234-123412341234}">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Vlasova-T-P</dc:creator>
  <dcterms:created xsi:type="dcterms:W3CDTF">2023-08-21T11:03:00Z</dcterms:created>
  <cp:lastModifiedBy>erp_adm</cp:lastModifiedBy>
  <dcterms:modified xsi:type="dcterms:W3CDTF">2023-08-21T13:38:44Z</dcterms:modified>
  <cp:revision>13</cp:revision>
</cp:coreProperties>
</file>