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04" w:rsidRDefault="0024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a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7"/>
        <w:gridCol w:w="5103"/>
      </w:tblGrid>
      <w:tr w:rsidR="00244804">
        <w:trPr>
          <w:trHeight w:val="1056"/>
        </w:trPr>
        <w:tc>
          <w:tcPr>
            <w:tcW w:w="4957" w:type="dxa"/>
          </w:tcPr>
          <w:p w:rsidR="00244804" w:rsidRDefault="00244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244804" w:rsidRDefault="006F2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освіти і науки України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«____»_____2023 р. №___</w:t>
            </w:r>
          </w:p>
        </w:tc>
      </w:tr>
    </w:tbl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СТАНДАРТ ВИЩОЇ ОСВІТИ УКРАЇНИ</w:t>
      </w: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ВИЩОЇ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Другий (магістерський) рівень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</w:p>
    <w:p w:rsidR="00244804" w:rsidRDefault="0024480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СТУПІНЬ ВИЩОЇ ОСВІТИ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Магістр</w:t>
      </w:r>
    </w:p>
    <w:p w:rsidR="00244804" w:rsidRDefault="0024480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ГАЛУЗЬ ЗНАНЬ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07 – Управління та адміністрування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СПЕЦІАЛЬНІСТЬ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072 – Фінанси, банківська справа, </w:t>
      </w: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страхування та фондовий ринок</w:t>
      </w:r>
    </w:p>
    <w:p w:rsidR="00244804" w:rsidRDefault="0024480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4804" w:rsidRDefault="0024480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Видання офіційне</w:t>
      </w: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 ОСВІТИ  І  НАУКИ  УКРАЇНИ</w:t>
      </w:r>
    </w:p>
    <w:p w:rsidR="00244804" w:rsidRDefault="0024480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24480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</w:t>
      </w: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 Преамбула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вищої освіти України: другий (магістерський) рівень, галузь знань 07 – Управління та адміністрування, спеціальність 072 – Фінанси, банківська справа, страхування та фондовий ринок.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Затверджений і введений в дію наказом Міністерства освіти і науки України від __________2023 р. № _____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розроблено членами підкомісії зі спеціальності 072 «Фінанси, банківська справа та страхування» Науково-методичної комісії № 5 з бізнесу, управ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ління та права сектору вищої освіти Науково-методичної ради Міністерства освіти і науки України: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Розробники стандарту:</w:t>
      </w:r>
    </w:p>
    <w:tbl>
      <w:tblPr>
        <w:tblStyle w:val="affb"/>
        <w:tblW w:w="9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7405"/>
      </w:tblGrid>
      <w:tr w:rsidR="00244804">
        <w:trPr>
          <w:trHeight w:val="339"/>
        </w:trPr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голова комісії</w:t>
            </w:r>
          </w:p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 Інна Олександрівна</w:t>
            </w:r>
          </w:p>
        </w:tc>
        <w:tc>
          <w:tcPr>
            <w:tcW w:w="7405" w:type="dxa"/>
          </w:tcPr>
          <w:p w:rsidR="00244804" w:rsidRDefault="00244804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професор кафедри фінансових технологій та підприємництва Сумського державного університету</w:t>
            </w:r>
          </w:p>
        </w:tc>
      </w:tr>
      <w:tr w:rsidR="00244804">
        <w:trPr>
          <w:trHeight w:val="339"/>
        </w:trPr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секретар комісії</w:t>
            </w:r>
          </w:p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Любкіна Олена Вікторівна</w:t>
            </w:r>
          </w:p>
          <w:p w:rsidR="00244804" w:rsidRDefault="00244804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5" w:type="dxa"/>
          </w:tcPr>
          <w:p w:rsidR="00244804" w:rsidRDefault="00244804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заступник декана економічного факультету Київськог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національного університету імені Тараса Шевченка</w:t>
            </w:r>
          </w:p>
        </w:tc>
      </w:tr>
      <w:tr w:rsidR="00244804">
        <w:trPr>
          <w:trHeight w:val="339"/>
        </w:trPr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Ганна</w:t>
            </w:r>
          </w:p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економіки та менеджменту Харківського національного університету імені В. Н. Каразіна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Єрмошкіна Олена Вячеславівна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економічних наук, професор, професор кафедри економічного аналізу і фінансів Національного технічного університету «Дніпровська політехніка»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Жердецька Лілія Вікторівна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доцент, завідувач кафедри банківської справи Одеського національного економічного університету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Кнейслер Ольга Володимирівна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фінансових технологій та банківського бізнесу Західно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 національного університету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Колодізєв Олег Миколайович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професор кафедри митної справи і фінансових послуг Харківського національного економічного університету імені Семена Кузнеця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Копилюк Оксана Іванівна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 економічних наук, професор, завідувач кафедри фінансів, економічної безпеки, банківської справи та страхового бізнесу, Львівський торговельно-економічний університет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Олена Володимирівна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економічних наук, доцент, доцент кафедри страхування, заступник декана фінансово-економічного факультету, Державний вищий навчальний заклад «Київський наці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ональний економічний університет імені Вадима Гетьмана»</w:t>
            </w:r>
          </w:p>
        </w:tc>
      </w:tr>
      <w:tr w:rsidR="00244804">
        <w:tc>
          <w:tcPr>
            <w:tcW w:w="2444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Сіренко Наталя Миколаївна</w:t>
            </w:r>
          </w:p>
        </w:tc>
        <w:tc>
          <w:tcPr>
            <w:tcW w:w="7405" w:type="dxa"/>
          </w:tcPr>
          <w:p w:rsidR="00244804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економічних наук, професор, завідувач кафедри фінансів, банківської справи та страхування Миколаївського національного аграрного університету</w:t>
            </w:r>
          </w:p>
        </w:tc>
      </w:tr>
    </w:tbl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розглянуто та схвалено на засіданні підкомісії за спеціальністю 072 «Фінанси, банківська справа та страхування» Науково-методичної комісії № 5 з бізнесу, управління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права сектору вищої освіти Науково-методичної ради Міністерства освіти і науки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України (протокол № _ від ____2023 р.).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розглянуто на засіданні сектору вищої освіти Науково-методичної ради Міністерства освіти і науки України (протокол № ___ від ________). 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Фахову експертизу проводили:</w:t>
      </w:r>
    </w:p>
    <w:tbl>
      <w:tblPr>
        <w:tblStyle w:val="affc"/>
        <w:tblW w:w="9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6655"/>
      </w:tblGrid>
      <w:tr w:rsidR="00244804">
        <w:tc>
          <w:tcPr>
            <w:tcW w:w="2972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804">
        <w:tc>
          <w:tcPr>
            <w:tcW w:w="2972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244804" w:rsidRDefault="00244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4804">
        <w:tc>
          <w:tcPr>
            <w:tcW w:w="2972" w:type="dxa"/>
          </w:tcPr>
          <w:p w:rsidR="00244804" w:rsidRDefault="00244804">
            <w:pPr>
              <w:shd w:val="clear" w:color="auto" w:fill="FFFFFF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5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Методичну експертизу проводили:</w:t>
      </w:r>
    </w:p>
    <w:tbl>
      <w:tblPr>
        <w:tblStyle w:val="affd"/>
        <w:tblW w:w="9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2"/>
        <w:gridCol w:w="6655"/>
      </w:tblGrid>
      <w:tr w:rsidR="00244804">
        <w:tc>
          <w:tcPr>
            <w:tcW w:w="2972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44804">
        <w:tc>
          <w:tcPr>
            <w:tcW w:w="2972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244804" w:rsidRDefault="00244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4804">
        <w:tc>
          <w:tcPr>
            <w:tcW w:w="2972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55" w:type="dxa"/>
          </w:tcPr>
          <w:p w:rsidR="00244804" w:rsidRDefault="0024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</w:t>
      </w:r>
      <w:r w:rsidRPr="001F2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розглянуто </w:t>
      </w:r>
      <w:r w:rsidRPr="001F2FC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Федерацією роботодавців України.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розглянуто після надходження всіх зауважень та пропозицій та схвалено на засіданні підкомісії зі спеціальності 072 «Фінанси, банківська справа та страхування» Науково-методичної комісії № 5 з бізнесу, управління та права Науково-методичної ради 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ністерства освіти і науки України (протокол № _ від _____2023 р.).</w:t>
      </w:r>
    </w:p>
    <w:p w:rsidR="00244804" w:rsidRDefault="0024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shd w:val="clear" w:color="auto" w:fill="FFFFFF"/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погоджено рішенням Національного агентства із забезпечення якості вищої освіти від ______2023 р. № ___.</w:t>
      </w:r>
    </w:p>
    <w:p w:rsidR="00244804" w:rsidRDefault="0024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04" w:rsidRDefault="0024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44804" w:rsidSect="001F2FC3">
          <w:pgSz w:w="11906" w:h="16838"/>
          <w:pgMar w:top="851" w:right="851" w:bottom="1134" w:left="1418" w:header="709" w:footer="709" w:gutter="0"/>
          <w:pgNumType w:start="1"/>
          <w:cols w:space="720"/>
        </w:sectPr>
      </w:pPr>
    </w:p>
    <w:p w:rsidR="00244804" w:rsidRDefault="006F25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ІІ Загальна характеристика</w:t>
      </w:r>
    </w:p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e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7500"/>
      </w:tblGrid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7500" w:type="dxa"/>
          </w:tcPr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Другий (магістерський) рівень</w:t>
            </w:r>
          </w:p>
        </w:tc>
      </w:tr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</w:p>
        </w:tc>
        <w:tc>
          <w:tcPr>
            <w:tcW w:w="7500" w:type="dxa"/>
          </w:tcPr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244804">
        <w:trPr>
          <w:trHeight w:val="30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 знань</w:t>
            </w:r>
          </w:p>
        </w:tc>
        <w:tc>
          <w:tcPr>
            <w:tcW w:w="75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Управління та адміністрування</w:t>
            </w:r>
          </w:p>
        </w:tc>
      </w:tr>
      <w:tr w:rsidR="00244804"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75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 Фінанси, банківська справа, страхування та фондовий ринок</w:t>
            </w:r>
          </w:p>
        </w:tc>
      </w:tr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  навчання</w:t>
            </w:r>
          </w:p>
        </w:tc>
        <w:tc>
          <w:tcPr>
            <w:tcW w:w="7500" w:type="dxa"/>
          </w:tcPr>
          <w:p w:rsidR="00244804" w:rsidRDefault="006F25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 (денна, вечірня), заочна, дистанційна. Дуальна.</w:t>
            </w:r>
          </w:p>
        </w:tc>
      </w:tr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75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магістр фінансів, банківської справи, страхування та фондового ринку за спеціалізацією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(зазначити назву спеціалізації за наявності)</w:t>
            </w:r>
          </w:p>
        </w:tc>
      </w:tr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Професійна кваліфікація</w:t>
            </w:r>
          </w:p>
        </w:tc>
        <w:tc>
          <w:tcPr>
            <w:tcW w:w="7500" w:type="dxa"/>
          </w:tcPr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7500" w:type="dxa"/>
          </w:tcPr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вищої освіти – Магістр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 – 072 Фінанси, банківська справа, страхування та фондовий ринок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Спеціалізація – (зазначити назву спеціалізації за наявності)</w:t>
            </w:r>
          </w:p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 програма – (зазначити назву)</w:t>
            </w:r>
          </w:p>
        </w:tc>
      </w:tr>
      <w:tr w:rsidR="00244804">
        <w:trPr>
          <w:trHeight w:val="151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предметної області</w:t>
            </w:r>
          </w:p>
        </w:tc>
        <w:tc>
          <w:tcPr>
            <w:tcW w:w="7500" w:type="dxa"/>
          </w:tcPr>
          <w:p w:rsidR="00244804" w:rsidRDefault="006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Об’єкти вивчення та діяльності: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устрій, принципи, механізми функціонування та розвитку фінансових систем.</w:t>
            </w:r>
          </w:p>
          <w:p w:rsidR="00244804" w:rsidRDefault="006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32"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Цілі навчання: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Підготовка фахівців, здатних розв’язувати задачі дослідницького та/або інноваційного характеру у сфері фінансів, банківської справи, страхування та фондового ринку.</w:t>
            </w:r>
          </w:p>
          <w:p w:rsidR="00244804" w:rsidRDefault="006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 складають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поняття, категорії, теорії і концепції фіна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нсової науки, які визначають тенденції і закономірності функціонування й розвитку фінансів,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банківської справи, страхування та фондового ринку.</w:t>
            </w:r>
          </w:p>
          <w:p w:rsidR="00244804" w:rsidRDefault="006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Методи, методики та технології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фінансової науки і практики.</w:t>
            </w:r>
          </w:p>
          <w:p w:rsidR="00244804" w:rsidRDefault="006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Інструменти та обладнання: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сучасні інформаційно-аналітичні системи та стандартні, спеціальні й галузеві програмні продукти.</w:t>
            </w:r>
          </w:p>
        </w:tc>
      </w:tr>
      <w:tr w:rsidR="00244804">
        <w:trPr>
          <w:trHeight w:val="713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75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продовжити навчання за освітньою програмою третього освітньо-наукового рівня вищої освіти (доктора філософії) та набувати додаткові кваліфікації в системі освіти дорослих.</w:t>
            </w:r>
          </w:p>
        </w:tc>
      </w:tr>
      <w:tr w:rsidR="00244804">
        <w:trPr>
          <w:trHeight w:val="713"/>
        </w:trPr>
        <w:tc>
          <w:tcPr>
            <w:tcW w:w="24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Працевлаштування випускників</w:t>
            </w:r>
          </w:p>
        </w:tc>
        <w:tc>
          <w:tcPr>
            <w:tcW w:w="7500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Працевлаштування на посади відповідно до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ціонального класифікатора України: класифікатор професій (ДК 003:2010), які потребують наявності вищої освіти зі спеціальності 072 Фінанси, банківська справа, страхування та фондовий ринок.</w:t>
            </w:r>
          </w:p>
        </w:tc>
      </w:tr>
    </w:tbl>
    <w:p w:rsidR="00244804" w:rsidRDefault="0024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ІІІ - Вимоги до рівня освіти осіб, які можуть розпочати навчання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освітніми програмами спеціальності 072 Фінанси, банківська справа, страхування та фондовий ринок, та їх результатів навчання </w:t>
      </w:r>
    </w:p>
    <w:p w:rsidR="00244804" w:rsidRDefault="0024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04" w:rsidRDefault="006F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здобуття освітнього </w:t>
      </w:r>
      <w:r w:rsidR="001F2FC3">
        <w:rPr>
          <w:rFonts w:ascii="Times New Roman" w:eastAsia="Times New Roman" w:hAnsi="Times New Roman" w:cs="Times New Roman"/>
          <w:sz w:val="24"/>
          <w:szCs w:val="24"/>
        </w:rPr>
        <w:t>ступеня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«магістр» можуть вступати особи, які здобули освітній </w:t>
      </w:r>
      <w:r w:rsidR="001F2FC3">
        <w:rPr>
          <w:rFonts w:ascii="Times New Roman" w:eastAsia="Times New Roman" w:hAnsi="Times New Roman" w:cs="Times New Roman"/>
          <w:sz w:val="24"/>
          <w:szCs w:val="24"/>
        </w:rPr>
        <w:t>ступінь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«бакалавр».</w:t>
      </w:r>
    </w:p>
    <w:p w:rsidR="00244804" w:rsidRDefault="0024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ІV - Обсяг кредитів ЄКТС, необхідний для здобуття другого (магістерського) ступеня вищої освіти</w:t>
      </w: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tabs>
          <w:tab w:val="left" w:pos="284"/>
          <w:tab w:val="left" w:pos="9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Обсяг освітньо-професійної програми становить 90 кредитів ЄКТС. </w:t>
      </w:r>
    </w:p>
    <w:p w:rsidR="00244804" w:rsidRDefault="006F25C8">
      <w:pPr>
        <w:tabs>
          <w:tab w:val="left" w:pos="284"/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Обсяг освітньо-наукової програми становить 120 кредитів ЄКТС, з них обсяг дослідницької (наукової) компоненти обов’язково складає не менше 30%.</w:t>
      </w:r>
    </w:p>
    <w:p w:rsidR="00244804" w:rsidRDefault="006F25C8">
      <w:pPr>
        <w:tabs>
          <w:tab w:val="left" w:pos="284"/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Мінімум 35 % обсягу освітньої програми має бути спрямовано на забезпечення результатів навчання за спеціальністю</w:t>
      </w:r>
      <w:r>
        <w:rPr>
          <w:rFonts w:ascii="Times New Roman" w:eastAsia="Times New Roman" w:hAnsi="Times New Roman" w:cs="Times New Roman"/>
          <w:sz w:val="24"/>
          <w:szCs w:val="24"/>
        </w:rPr>
        <w:t>, визначених цим Стандартом вищої освіти.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освітньо-наукових програм обсяг кредитів ЄКТС, призначених для практики становить мінімум 10 кредитів ЄКТС і мінімум 5 кредитів для науково-дослідницької практики.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освітньо-професійних програм мінімальний о</w:t>
      </w:r>
      <w:r>
        <w:rPr>
          <w:rFonts w:ascii="Times New Roman" w:eastAsia="Times New Roman" w:hAnsi="Times New Roman" w:cs="Times New Roman"/>
          <w:sz w:val="24"/>
          <w:szCs w:val="24"/>
        </w:rPr>
        <w:t>бсяг кредитів ЄКТС, призначених для практики становить 10 кредитів.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 вищої освіти має право визнати та перезарахувати кредити ЄКТС, отримані за попередньою освітньою програмою підготовки магістра (спеціаліста) за іншою спеціальністю. Максимальний обс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 кредитів ЄКТС, що може бути перезарахований, не може перевищувати 25 % від загального обсягу освітньої програми.</w:t>
      </w:r>
    </w:p>
    <w:p w:rsidR="00244804" w:rsidRDefault="0024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– Перелік обов’язкових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компетентностей випускника</w:t>
      </w:r>
    </w:p>
    <w:p w:rsidR="00244804" w:rsidRDefault="00244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513"/>
      </w:tblGrid>
      <w:tr w:rsidR="00244804">
        <w:trPr>
          <w:trHeight w:val="151"/>
        </w:trPr>
        <w:tc>
          <w:tcPr>
            <w:tcW w:w="2381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513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розв’язувати  задачі дослідницького та/або інноваційного характеру у сфері фінансів, банківської справи, страхування та фондового ринку.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4804">
        <w:trPr>
          <w:trHeight w:val="151"/>
        </w:trPr>
        <w:tc>
          <w:tcPr>
            <w:tcW w:w="2381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</w:tc>
        <w:tc>
          <w:tcPr>
            <w:tcW w:w="7513" w:type="dxa"/>
          </w:tcPr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ЗК1. Здатність до абстрактного мислення, аналізу та синтезу.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ЗК2. Здатність проводи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дослідження на відповідному рівні.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ЗК3. Вміння виявляти, ставити та вирішувати проблеми.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ЗК4. Здатність приймати обґрунтовані рішення.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ЗК5. Навички міжособистісної взаємодії.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ЗК6. Здатність мотивувати людей та рухатися до спільної мети.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ЗК7. Здатність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рацювати в міжнародному контексті.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ЗК8. Здатність діяти на основі етичних міркувань (мотивів).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Додатково для освітньо-наукової програми:</w:t>
            </w:r>
          </w:p>
          <w:p w:rsidR="00244804" w:rsidRDefault="006F2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ЗК9*. Здатність генерувати нові ідеї (креативність). </w:t>
            </w:r>
          </w:p>
          <w:p w:rsidR="00244804" w:rsidRDefault="002448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804">
        <w:trPr>
          <w:trHeight w:val="151"/>
        </w:trPr>
        <w:tc>
          <w:tcPr>
            <w:tcW w:w="2381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 (фахові) компетентності</w:t>
            </w:r>
          </w:p>
        </w:tc>
        <w:tc>
          <w:tcPr>
            <w:tcW w:w="7513" w:type="dxa"/>
          </w:tcPr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СК1. Здатність використовувати фундаментальні закономірності розвитку фінансів, банківської справи,  страхування та фондового ринку у поєднанні з дослідницькими і управлінськими інструментами для здійснення професійної та наукової діяльності. 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СК2. Здатніс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використовувати теоретичний та методичний інструментарій для діагностики і моделювання стану фінансових систем на макро- та мікрорівнях.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СК3. Здатність приймати обґрунтовані управлінські рішення у сфері фінансів, банківської справи, страхування та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СК4. Здатність використовувати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науковий, аналітичний і методичний інструментарій для обґрунтування управлінських рішень у сфері фінансів, банківської справи, страхування та фондового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СК5. Здатність застосовувати міждисциплінарні підходи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розв’язанні складних задач і проблем у сфері фінансів, банківської справи, страхування та фондового ринку. 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СК6. Здатність до критичного осмислення та інтерпретації інформації, необхідної для вирішення професійних і наукових завдань в сфері фінансів,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банківської справи,  страхування та фондового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СК7. Здатність застосовувати інноваційні інструменти та технології у сфері фінансів, банківської справи, страхування та фондового ринку. 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СК8. Здатність зрозуміло і недвозначно доносити власні висновки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питань функціонування сфери фінансів, банківської справи, страхування та фондового ринку, а також знання та пояснення, що їх обґрунтовують до фахівців і нефахівців.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Додатково для освітньо-наукової програми: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СК9**. Здатність виконувати наукові дослідження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сфері фінансів, банківської справи, страхування та фондового ринку з урахуванням поставлених завдань. </w:t>
            </w:r>
          </w:p>
        </w:tc>
      </w:tr>
    </w:tbl>
    <w:p w:rsidR="001F2FC3" w:rsidRDefault="001F2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 - Нормативний зміст підготовки здобувачів вищої освіти, сформульований у термінах результатів навчання</w:t>
      </w:r>
    </w:p>
    <w:tbl>
      <w:tblPr>
        <w:tblStyle w:val="afff0"/>
        <w:tblW w:w="988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5"/>
      </w:tblGrid>
      <w:tr w:rsidR="00244804">
        <w:tc>
          <w:tcPr>
            <w:tcW w:w="9885" w:type="dxa"/>
          </w:tcPr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РН1. Використовувати фундаментальні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ірності розвитку фінансів, банківської справи, страхування та фондового ринку у поєднанні з дослідницькими і управлінськими інструментами для здійснення професійної та наукової діяльності.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РН2. Знати на рівні новітніх досягнень основні концепції і методоло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гії наукового пізнання у сфері фінансів, банківської справи, страхування та фондового ринку, а також дотичних до неї міждисциплінарних напрямах.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РН3. Систематизувати, критично осмислювати та інтерпретувати інформацію, необхідну для вирішення професійних та наукових завдань в сфері фінансів, банківської справи, страхування та фондового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РН4. Доступно і аргументовано, усно і письмово представля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результати досліджень фахівцям і нефахівцям, брати участь у фахових дискусіях, в т.ч. в міжнародному середовищі.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РН5. Вирішувати етичні дилеми з опорою на норми закону, етичні принципи та загальнолюдські цінності.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РН6. Вміти використовувати інноваційні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 та технології у сфері фінансів, банківської справи, страхування та фондового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РН7. Застосовувати управлінські навички у сфері фінансів, банківської справи, страхування та фондового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РН8. Здійснювати діагностику і моделювання стану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інансових систем на макро- та мікрорівнях.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РН9. Застосовувати науковий, аналітичний і методичний інструментарій для обґрунтування управлінських рішень у сфері фінансів, банківської справи, страхування та фондового ринку.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Додатково для освітньо-наукової про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грами: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РН10. Обґрунтовувати актуальність досліджень, продукувати нові ідеї,  висувати гіпотези, аргументувати висновки за результатами досліджень.</w:t>
            </w:r>
          </w:p>
          <w:p w:rsidR="00244804" w:rsidRDefault="006F25C8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РН11. Презентувати результати власних досліджень, зокрема, шляхом підготовки наукових публікацій і виступів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наукових заходах. </w:t>
            </w:r>
          </w:p>
          <w:p w:rsidR="00244804" w:rsidRPr="001F2FC3" w:rsidRDefault="006F25C8" w:rsidP="001F2FC3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РН12. Здійснювати адаптацію та модифікацію існуючих наукових підходів і методів до конкретних ситуацій професійної діяльності.</w:t>
            </w:r>
          </w:p>
        </w:tc>
      </w:tr>
    </w:tbl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04" w:rsidRDefault="00244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2448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VІІ - Форми атестації здобувачів вищої освіти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7242"/>
      </w:tblGrid>
      <w:tr w:rsidR="00244804">
        <w:trPr>
          <w:trHeight w:val="151"/>
        </w:trPr>
        <w:tc>
          <w:tcPr>
            <w:tcW w:w="2256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242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Атестація здобувачів здійснюється у формі публічного захисту кваліфікаційної роботи.</w:t>
            </w:r>
          </w:p>
        </w:tc>
      </w:tr>
      <w:tr w:rsidR="00244804">
        <w:trPr>
          <w:trHeight w:val="151"/>
        </w:trPr>
        <w:tc>
          <w:tcPr>
            <w:tcW w:w="2256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Вимоги до кваліфікаційної роботи </w:t>
            </w:r>
          </w:p>
        </w:tc>
        <w:tc>
          <w:tcPr>
            <w:tcW w:w="7242" w:type="dxa"/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Кваліфікаційна робота передбачає розв’язання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задачі або проблеми дослідницького та/або інноваційного характеру у сфері фінансів, банківс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ької справи, страхування та фондового ринку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кваліфікаційній роботі не може бути академічного плагіату, фабрикації та фальсифікації та інших видів академічної недоброчесності.</w:t>
            </w:r>
          </w:p>
          <w:p w:rsidR="00244804" w:rsidRDefault="006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Кваліфікаційна робота має бути оприлюднена на офіційному сайті закладу вищої освіти або його підрозділу, або у репозитарії закладу вищої освіти.</w:t>
            </w:r>
          </w:p>
        </w:tc>
      </w:tr>
    </w:tbl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804" w:rsidRDefault="006F25C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VIІІ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Вимоги до створення освітніх програм підготовки за галуззю знань або групою спеціальностей міждисциплі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нарних освітньо-наукових програм</w:t>
      </w:r>
    </w:p>
    <w:p w:rsidR="00244804" w:rsidRDefault="0024480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4804" w:rsidRDefault="006F25C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міждисциплінарних освітньо-наукових програм для зазначення спеціальності 072 Фінанси, банківська справа, страхування та фондовий ринок  в освітній кваліфікації необхідно забезпечити опанування здобувачами другого (магістерського) рівня вищої освіти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менше 30% спеціальних компетентностей та результатів навчання.</w:t>
      </w:r>
    </w:p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04" w:rsidRDefault="006F25C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 Вимоги професійних стандартів</w:t>
      </w:r>
    </w:p>
    <w:p w:rsidR="00244804" w:rsidRDefault="006F25C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Професійні стандарти відсутні.</w:t>
      </w:r>
    </w:p>
    <w:p w:rsidR="00244804" w:rsidRDefault="0024480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 – Перелік нормативних документів, на яких базується Стандарт вищої освіти</w:t>
      </w:r>
    </w:p>
    <w:p w:rsidR="00244804" w:rsidRDefault="006F25C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вищу освіту. Закон України від 1 липня 2014 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1556–VII. Режим доступу : </w:t>
      </w:r>
      <w:hyperlink r:id="rId8" w:anchor="Text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https://zakon.rada.gov.ua/laws/show/1556-18#Text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44804" w:rsidRDefault="006F25C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Національний класифікатор України. Класифікатор професій ДК 003:2010. Режим доступу: </w:t>
      </w:r>
      <w:hyperlink r:id="rId9" w:anchor="Text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https://zakon.rada.gov.ua/rada/show/va327609-10#Text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4804" w:rsidRDefault="006F25C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Національної рамки кваліфікацій. Постанова Кабінету міністрів України від 23 листопада 2011 р. № 1341. Режим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доступу: </w:t>
      </w:r>
      <w:hyperlink r:id="rId10" w:anchor="Text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https://zakon.rada.gov.ua/laws/show/1341-2011-%D0%BF#Text</w:t>
        </w:r>
      </w:hyperlink>
    </w:p>
    <w:p w:rsidR="00244804" w:rsidRDefault="006F25C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затвердження переліку галузей знань і спеціальностей, за якими здійснюється підготовка здобувачів вищої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освіти. Постанова Кабінету міністрів України від 29 квітня 2015 р. № 266. Режим доступу: </w:t>
      </w:r>
      <w:hyperlink r:id="rId11" w:anchor="Text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https://zakon.rada.gov.ua/laws/show/266-2015-%D0%BF#Text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804" w:rsidRDefault="006F25C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244804" w:rsidSect="001F2FC3">
          <w:headerReference w:type="default" r:id="rId12"/>
          <w:pgSz w:w="11906" w:h="16838"/>
          <w:pgMar w:top="851" w:right="851" w:bottom="709" w:left="1418" w:header="454" w:footer="454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Про унесення змін до Методичних рекомендацій щодо розроблення стандартів вищої освіти. Наказ Міністерства освіти і науки України від 30 квітня 2020 р. № 584.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ежим доступу: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https://mon.gov.ua/ua/osvita/visha-osvita/naukovo-metodichna-rada-ministerstva-osviti-i-nauk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i-ukrayini/metodichni-rekomendaciyi-vo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804" w:rsidRDefault="006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Пояснювальна записка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вищої освіти містить вимоги до освітніх програм підготовки магістрів за спеціальністю 072 Фінанси, банківська справа, страхування та фондовий ринок стосовно: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обсягу кредитів ЄКТС, необхідного для здобуття освітнього ступеня «магістр» зі спеціальності 072 Фінанси, банківська справа, страхування та фондовий ринок;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рівня освіти осіб, які можуть розпочати навчання за відповідною освітньою програмою, та результатів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 навчання;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переліку обов’язкових компетентностей випускника;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нормативного змісту підготовки здобувачів вищої освіти, сформульованого у термінах результатів навчання;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атестації здобувачів вищої освіти.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Вимоги до компетентностей та результатів навчан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узгоджені між собою та відповідають дескрипторам Національної рамки кваліфікацій.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Заклади вищої освіти самостійно визначають перелік дисциплін, практик та інших освітніх компонентів, необхідний для набуття визначених Стандартом компетентностей.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у Стандарті перелік компетентностей і результатів навчання не є вичерпним. Заклади вищої освіти при формуванні освітніх програм можуть зазначати додаткові вимоги до компетентностей і програмних результатів навчання, а також запроваджувати додаткові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атестації здобувачів вищої освіти. 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застосовується для визначення й оцінювання якості змісту та результатів освітньої діяльності закладів вищої освіти.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 порядку оцінювання результатів навчання проводиться закладом вищої освіти відп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овідно до вимог правових актів.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оцінювання результатів навчання повинна базуватись на таких основних принципах: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обґрунтованість – оцінка повинна бути співмірною рівню результатів навчання;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неупередженість – результати оцінювання мають бути об’єктивними і не залежати від суб’єктивної позиції того, хто оцінює, а критерії та методи оцінювання – єдиними для всіх, хто оцінюється;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зрозумілість – система оцінювання повинна бути чіткою і абсолютно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изначеною наперед як для тих, хто оцінює, так і тих, кого оцінюють;</w:t>
      </w:r>
    </w:p>
    <w:p w:rsidR="00244804" w:rsidRDefault="006F25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корисність – оцінювання повинно позитивно сприйматись тими, кого оцінюють, і бути внеском у здійснення завдань освітньо-професійної програми.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навчання мають співвідноситися з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омпетентностями випускника. 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44804" w:rsidSect="001F2FC3">
          <w:pgSz w:w="11906" w:h="16838"/>
          <w:pgMar w:top="851" w:right="851" w:bottom="1134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Матриця відповідності визначених Стандартом компетентностей дескрипторам НРК та матриця відповідності визначених Стандартом результатів навчання та компетентностей представлені в Таблицях 1 і 2.</w:t>
      </w:r>
    </w:p>
    <w:p w:rsidR="00244804" w:rsidRPr="001F2FC3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1F2F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Таблиця 1</w:t>
      </w:r>
    </w:p>
    <w:p w:rsidR="00244804" w:rsidRPr="001F2FC3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C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Матриця відповідності визначених Стандартом компетентностей дескрипторам НРК.</w:t>
      </w:r>
    </w:p>
    <w:tbl>
      <w:tblPr>
        <w:tblStyle w:val="afff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884"/>
        <w:gridCol w:w="1745"/>
        <w:gridCol w:w="2364"/>
        <w:gridCol w:w="1620"/>
        <w:gridCol w:w="2014"/>
      </w:tblGrid>
      <w:tr w:rsidR="001F2FC3" w:rsidTr="001F2FC3">
        <w:trPr>
          <w:trHeight w:val="4179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Класифікація компетентностей (результатів навчання) за НРК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44804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Знання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Критичне осмислення проблем у галузі та на межі галузей знань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44804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іння/Навички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Здатність інтегрувати знання та розв’язувати складні задачі у ши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роких або мультидисциплінарних контекстах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Ум3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44804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Комунікація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Зрозуміле і недвоз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начне донесення власних знань, висновків та аргументації до фахівців і нефахівців, зокрема до осіб, які навчаються 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Використання іноземних мов у професійній діяльності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44804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 автономія</w:t>
            </w:r>
          </w:p>
          <w:p w:rsidR="00244804" w:rsidRDefault="00244804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Управління робочими або навчальними процесами, які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є складними, непередбачуваними та потребують нових стратегічних підходів 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Відповідальність за внесок до професійних знань і практики та/або оцінювання результатів діяльності команд та колективів </w:t>
            </w:r>
          </w:p>
          <w:p w:rsidR="00244804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Здатність продовжувати навчання з високим ступенем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автономії</w:t>
            </w:r>
          </w:p>
        </w:tc>
      </w:tr>
      <w:tr w:rsidR="00244804" w:rsidTr="001F2FC3">
        <w:trPr>
          <w:trHeight w:val="57"/>
          <w:tblHeader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244804" w:rsidRDefault="006F25C8" w:rsidP="001F2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Загальні компетентності</w:t>
            </w: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Ум3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ЗК2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Ум1, Ум2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АВ3</w:t>
            </w: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ЗК3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ЗК4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АВ1, АВ2</w:t>
            </w: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ЗК5</w:t>
            </w:r>
          </w:p>
        </w:tc>
        <w:tc>
          <w:tcPr>
            <w:tcW w:w="0" w:type="auto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АВ2</w:t>
            </w: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ЗК6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К1, К2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АВ2, АВ3</w:t>
            </w: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ЗК7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Ум2, Ум3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АВ2, АВ3</w:t>
            </w: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ЗК8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Ум3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804" w:rsidRPr="001F2FC3" w:rsidTr="001F2FC3">
        <w:trPr>
          <w:trHeight w:val="57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ЗК9*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Зн1, 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Ум1, Ум2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АВ2, АВ3</w:t>
            </w:r>
          </w:p>
        </w:tc>
      </w:tr>
      <w:tr w:rsidR="00244804" w:rsidRPr="001F2FC3" w:rsidTr="001F2FC3">
        <w:trPr>
          <w:trHeight w:val="99"/>
          <w:tblHeader/>
        </w:trPr>
        <w:tc>
          <w:tcPr>
            <w:tcW w:w="0" w:type="auto"/>
            <w:gridSpan w:val="5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FC3">
              <w:rPr>
                <w:rFonts w:ascii="Times New Roman" w:eastAsia="Times New Roman" w:hAnsi="Times New Roman" w:cs="Times New Roman"/>
              </w:rPr>
              <w:t>Спеціальні (фахові) компетентності</w:t>
            </w: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Ум1, Ум3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АВ1</w:t>
            </w: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Ум1,Ум2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804" w:rsidRPr="001F2FC3" w:rsidTr="001F2FC3">
        <w:trPr>
          <w:trHeight w:val="230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СК3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АВ1, АВ2</w:t>
            </w: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СК4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Зн1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АВ1, АВ2</w:t>
            </w: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СК5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Ум1, Ум2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804" w:rsidRPr="001F2FC3" w:rsidTr="001F2FC3">
        <w:trPr>
          <w:trHeight w:val="230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СК6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Ум2</w:t>
            </w: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СК7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Ум3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АВ3</w:t>
            </w: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СК8</w:t>
            </w:r>
          </w:p>
        </w:tc>
        <w:tc>
          <w:tcPr>
            <w:tcW w:w="0" w:type="auto"/>
            <w:vAlign w:val="center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АВ2</w:t>
            </w:r>
          </w:p>
        </w:tc>
      </w:tr>
      <w:tr w:rsidR="00244804" w:rsidRPr="001F2FC3" w:rsidTr="001F2FC3">
        <w:trPr>
          <w:trHeight w:val="231"/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244804" w:rsidRPr="001F2FC3" w:rsidRDefault="006F25C8" w:rsidP="001F2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СК9**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Зн2</w:t>
            </w:r>
          </w:p>
        </w:tc>
        <w:tc>
          <w:tcPr>
            <w:tcW w:w="0" w:type="auto"/>
          </w:tcPr>
          <w:p w:rsidR="00244804" w:rsidRPr="001F2FC3" w:rsidRDefault="006F25C8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3">
              <w:rPr>
                <w:rFonts w:ascii="Times New Roman" w:eastAsia="Times New Roman" w:hAnsi="Times New Roman" w:cs="Times New Roman"/>
                <w:sz w:val="20"/>
                <w:szCs w:val="20"/>
              </w:rPr>
              <w:t>Ум1</w:t>
            </w:r>
          </w:p>
        </w:tc>
        <w:tc>
          <w:tcPr>
            <w:tcW w:w="0" w:type="auto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44804" w:rsidRPr="001F2FC3" w:rsidRDefault="00244804" w:rsidP="001F2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4804" w:rsidRDefault="0024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44804" w:rsidSect="001F2FC3">
          <w:pgSz w:w="11906" w:h="16838" w:code="9"/>
          <w:pgMar w:top="851" w:right="851" w:bottom="1134" w:left="1418" w:header="624" w:footer="709" w:gutter="0"/>
          <w:cols w:space="720"/>
        </w:sectPr>
      </w:pP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Таблиця 2</w:t>
      </w:r>
    </w:p>
    <w:p w:rsidR="00244804" w:rsidRDefault="006F2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Матриця відповідності визначених Стандартом результатів навчання та компетентностей.</w:t>
      </w:r>
    </w:p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3"/>
        <w:tblW w:w="145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516"/>
        <w:gridCol w:w="516"/>
        <w:gridCol w:w="516"/>
        <w:gridCol w:w="516"/>
        <w:gridCol w:w="516"/>
        <w:gridCol w:w="516"/>
        <w:gridCol w:w="516"/>
        <w:gridCol w:w="516"/>
        <w:gridCol w:w="606"/>
        <w:gridCol w:w="551"/>
        <w:gridCol w:w="551"/>
        <w:gridCol w:w="551"/>
        <w:gridCol w:w="551"/>
        <w:gridCol w:w="551"/>
        <w:gridCol w:w="551"/>
        <w:gridCol w:w="551"/>
        <w:gridCol w:w="551"/>
        <w:gridCol w:w="731"/>
      </w:tblGrid>
      <w:tr w:rsidR="00244804" w:rsidTr="001F2FC3">
        <w:trPr>
          <w:trHeight w:val="20"/>
          <w:tblHeader/>
        </w:trPr>
        <w:tc>
          <w:tcPr>
            <w:tcW w:w="4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Програмні результати навчання</w:t>
            </w:r>
          </w:p>
        </w:tc>
        <w:tc>
          <w:tcPr>
            <w:tcW w:w="9873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Компетентності</w:t>
            </w:r>
          </w:p>
        </w:tc>
      </w:tr>
      <w:tr w:rsidR="00244804" w:rsidTr="001F2FC3">
        <w:trPr>
          <w:trHeight w:val="163"/>
          <w:tblHeader/>
        </w:trPr>
        <w:tc>
          <w:tcPr>
            <w:tcW w:w="4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24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3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Інтегральна компетентність</w:t>
            </w:r>
          </w:p>
        </w:tc>
      </w:tr>
      <w:tr w:rsidR="00244804" w:rsidTr="001F2FC3">
        <w:trPr>
          <w:trHeight w:val="20"/>
          <w:tblHeader/>
        </w:trPr>
        <w:tc>
          <w:tcPr>
            <w:tcW w:w="4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24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Загальні компетентності</w:t>
            </w:r>
          </w:p>
        </w:tc>
        <w:tc>
          <w:tcPr>
            <w:tcW w:w="513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Спеціальні (фахові) компетентності</w:t>
            </w:r>
          </w:p>
        </w:tc>
      </w:tr>
      <w:tr w:rsidR="001F2FC3" w:rsidTr="001F2FC3">
        <w:trPr>
          <w:trHeight w:val="231"/>
          <w:tblHeader/>
        </w:trPr>
        <w:tc>
          <w:tcPr>
            <w:tcW w:w="4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24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ЗК9*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СК9**</w:t>
            </w:r>
          </w:p>
        </w:tc>
      </w:tr>
      <w:tr w:rsidR="00244804" w:rsidTr="001F2FC3">
        <w:trPr>
          <w:trHeight w:val="370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РН1. Використовувати фундаментальні закономірності розвитку фінансів, банківської справи, страхування та фондового ринку у поєднанні з дослідницькими і управлінськими інструментами для здійснення професійної та наукової діяльності.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672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РН2. Знати на рівні новітніх досягнень основні концепції і методології наукового пізнання у сфері фінансів, банківської справи, страхування та фондового ринку, а також дотичних до неї міждисциплінарних напрямах.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658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РН3. Систематизувати, критично осмислювати та інтерпретувати інформацію, необхідну для вирішення професійних та наукових завдань в сфері фінансів, банківської справи, страхування та фондового ринку.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744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РН4. Доступно і аргументовано, усно і письмово представляти результати досліджень фахівцям і нефахівцям, брати участь у фахових дискусіях, в т.ч. в міжнародному середовищі.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291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РН5. Вирішувати етичні дилеми з опорою на норми закону, етичні принципи та загальнолюдські цінності.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243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РН6. Вміти використовувати інноваційні інструменти та технології у сфері фінансів, банківської справи, страхування та фондового ринку.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285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РН7. Застосовувати управлінські навички у сфері фінансів, банківської справи, страхування та фондового ринку.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РН8. Здійснювати діагностику і моделювання стану фінансових систем на макро- та мікрорівнях.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1118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РН9. Застосовувати науковий, аналітичний і методичний інструментарій для обґрунтування управлінських рішень у сфері фінансів, банківської справи, страхування та фондового ринку.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225"/>
        </w:trPr>
        <w:tc>
          <w:tcPr>
            <w:tcW w:w="14549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Pr="001F2FC3" w:rsidRDefault="006F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F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Додатково для освітньо-наукової програми:</w:t>
            </w:r>
          </w:p>
        </w:tc>
      </w:tr>
      <w:tr w:rsidR="00244804" w:rsidTr="001F2FC3">
        <w:trPr>
          <w:trHeight w:val="330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РН10. Обґрунтовувати актуальність досліджень, продукувати нові ідеї,  висувати гіпотези, аргументувати висновки за результатами досліджень.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44804" w:rsidTr="001F2FC3">
        <w:trPr>
          <w:trHeight w:val="470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РН11. Презентувати результати власних досліджень, зокрема, шляхом підготовки наукових публікацій і виступів на наукових заходах.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04" w:rsidTr="001F2FC3">
        <w:trPr>
          <w:trHeight w:val="241"/>
        </w:trPr>
        <w:tc>
          <w:tcPr>
            <w:tcW w:w="4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804" w:rsidRDefault="006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РН12. Здійснювати адаптацію та модифікацію існуючих наукових підходів і методів до конкретних ситуацій професійної діяльності.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24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4804" w:rsidRDefault="006F25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244804" w:rsidRDefault="002448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44804" w:rsidSect="001F2FC3">
      <w:pgSz w:w="16838" w:h="11906" w:orient="landscape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C8" w:rsidRDefault="006F25C8">
      <w:pPr>
        <w:spacing w:after="0" w:line="240" w:lineRule="auto"/>
      </w:pPr>
      <w:r>
        <w:separator/>
      </w:r>
    </w:p>
  </w:endnote>
  <w:endnote w:type="continuationSeparator" w:id="0">
    <w:p w:rsidR="006F25C8" w:rsidRDefault="006F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C8" w:rsidRDefault="006F25C8">
      <w:pPr>
        <w:spacing w:after="0" w:line="240" w:lineRule="auto"/>
      </w:pPr>
      <w:r>
        <w:separator/>
      </w:r>
    </w:p>
  </w:footnote>
  <w:footnote w:type="continuationSeparator" w:id="0">
    <w:p w:rsidR="006F25C8" w:rsidRDefault="006F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04" w:rsidRDefault="006F25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F2FC3">
      <w:rPr>
        <w:color w:val="000000"/>
      </w:rPr>
      <w:fldChar w:fldCharType="separate"/>
    </w:r>
    <w:r w:rsidR="001F2FC3">
      <w:rPr>
        <w:noProof/>
        <w:color w:val="000000"/>
      </w:rPr>
      <w:t>11</w:t>
    </w:r>
    <w:r>
      <w:rPr>
        <w:color w:val="000000"/>
      </w:rPr>
      <w:fldChar w:fldCharType="end"/>
    </w:r>
  </w:p>
  <w:p w:rsidR="00244804" w:rsidRDefault="002448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4F3"/>
    <w:multiLevelType w:val="multilevel"/>
    <w:tmpl w:val="A5E61B8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117D13"/>
    <w:multiLevelType w:val="multilevel"/>
    <w:tmpl w:val="44B07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04"/>
    <w:rsid w:val="001F2FC3"/>
    <w:rsid w:val="00244804"/>
    <w:rsid w:val="006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68AC"/>
  <w15:docId w15:val="{243A55D8-8709-4FF6-BD14-E352D66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D7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B48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76F9"/>
    <w:pPr>
      <w:keepNext/>
      <w:spacing w:before="240" w:after="120" w:line="240" w:lineRule="auto"/>
      <w:ind w:firstLine="720"/>
      <w:jc w:val="both"/>
      <w:outlineLvl w:val="2"/>
    </w:pPr>
    <w:rPr>
      <w:rFonts w:ascii="Arial" w:eastAsia="Times New Roman" w:hAnsi="Arial"/>
      <w:b/>
      <w:i/>
      <w:sz w:val="20"/>
      <w:szCs w:val="20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locked/>
    <w:rsid w:val="00DB487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8F76F9"/>
    <w:rPr>
      <w:rFonts w:ascii="Arial" w:hAnsi="Arial"/>
      <w:b/>
      <w:i/>
      <w:lang w:val="uk-UA" w:eastAsia="ru-RU"/>
    </w:rPr>
  </w:style>
  <w:style w:type="paragraph" w:customStyle="1" w:styleId="rvps2">
    <w:name w:val="rvps2"/>
    <w:basedOn w:val="a"/>
    <w:uiPriority w:val="99"/>
    <w:rsid w:val="00196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F76F9"/>
    <w:pPr>
      <w:ind w:left="720"/>
      <w:contextualSpacing/>
    </w:pPr>
  </w:style>
  <w:style w:type="character" w:customStyle="1" w:styleId="rvts0">
    <w:name w:val="rvts0"/>
    <w:basedOn w:val="a0"/>
    <w:uiPriority w:val="99"/>
    <w:rsid w:val="00DF6004"/>
    <w:rPr>
      <w:rFonts w:cs="Times New Roman"/>
    </w:rPr>
  </w:style>
  <w:style w:type="paragraph" w:styleId="a5">
    <w:name w:val="header"/>
    <w:basedOn w:val="a"/>
    <w:link w:val="a6"/>
    <w:uiPriority w:val="99"/>
    <w:rsid w:val="0078088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80881"/>
    <w:rPr>
      <w:rFonts w:ascii="Calibri" w:eastAsia="Times New Roman" w:hAnsi="Calibri"/>
      <w:sz w:val="22"/>
    </w:rPr>
  </w:style>
  <w:style w:type="paragraph" w:styleId="a7">
    <w:name w:val="footer"/>
    <w:basedOn w:val="a"/>
    <w:link w:val="a8"/>
    <w:uiPriority w:val="99"/>
    <w:rsid w:val="0078088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80881"/>
    <w:rPr>
      <w:rFonts w:ascii="Calibri" w:eastAsia="Times New Roman" w:hAnsi="Calibri"/>
      <w:sz w:val="22"/>
    </w:rPr>
  </w:style>
  <w:style w:type="paragraph" w:styleId="a9">
    <w:name w:val="Balloon Text"/>
    <w:basedOn w:val="a"/>
    <w:link w:val="aa"/>
    <w:uiPriority w:val="99"/>
    <w:semiHidden/>
    <w:rsid w:val="007B7F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B7FCB"/>
    <w:rPr>
      <w:rFonts w:ascii="Tahoma" w:eastAsia="Times New Roman" w:hAnsi="Tahoma"/>
      <w:sz w:val="16"/>
    </w:rPr>
  </w:style>
  <w:style w:type="paragraph" w:styleId="ab">
    <w:name w:val="footnote text"/>
    <w:basedOn w:val="a"/>
    <w:link w:val="ac"/>
    <w:uiPriority w:val="99"/>
    <w:semiHidden/>
    <w:rsid w:val="00FF6DD3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FF6DD3"/>
    <w:rPr>
      <w:rFonts w:ascii="Calibri" w:eastAsia="Times New Roman" w:hAnsi="Calibri"/>
      <w:sz w:val="20"/>
    </w:rPr>
  </w:style>
  <w:style w:type="character" w:styleId="ad">
    <w:name w:val="footnote reference"/>
    <w:basedOn w:val="a0"/>
    <w:uiPriority w:val="99"/>
    <w:semiHidden/>
    <w:rsid w:val="00FF6DD3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162319"/>
    <w:rPr>
      <w:rFonts w:cs="Times New Roman"/>
      <w:color w:val="0563C1"/>
      <w:u w:val="single"/>
    </w:rPr>
  </w:style>
  <w:style w:type="table" w:styleId="af">
    <w:name w:val="Table Grid"/>
    <w:basedOn w:val="a1"/>
    <w:uiPriority w:val="99"/>
    <w:rsid w:val="00925ED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C089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BC089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BC0899"/>
    <w:rPr>
      <w:rFonts w:ascii="Calibri" w:hAnsi="Calibri" w:cs="Times New Roman"/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BC08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BC0899"/>
    <w:rPr>
      <w:rFonts w:ascii="Calibri" w:hAnsi="Calibri" w:cs="Times New Roman"/>
      <w:b/>
      <w:bCs/>
      <w:lang w:val="ru-RU" w:eastAsia="en-US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1">
    <w:name w:val="List Paragraph1"/>
    <w:basedOn w:val="a"/>
    <w:rsid w:val="00947DEB"/>
    <w:pPr>
      <w:suppressAutoHyphens/>
      <w:ind w:left="720"/>
    </w:pPr>
    <w:rPr>
      <w:rFonts w:cs="Times New Roman"/>
    </w:r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6-18" TargetMode="External"/><Relationship Id="rId13" Type="http://schemas.openxmlformats.org/officeDocument/2006/relationships/hyperlink" Target="https://mon.gov.ua/ua/osvita/visha-osvita/naukovo-metodichna-rada-ministerstva-osviti-i-nauki-ukrayini/metodichni-rekomendaciyi-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66-2015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341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a327609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pbdmXG5JPljs4NzMjyJ0uNOGw==">CgMxLjAyCWguMzBqMHpsbDIIaC5namRneHM4AHIhMW5hMkw2T0ZOdG84X3Y1Mkg3bGN1NTY5YS1TaHFFS18x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13471</Words>
  <Characters>7680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Школьник Інна Олександрівна</cp:lastModifiedBy>
  <cp:revision>2</cp:revision>
  <dcterms:created xsi:type="dcterms:W3CDTF">2023-06-08T12:54:00Z</dcterms:created>
  <dcterms:modified xsi:type="dcterms:W3CDTF">2023-06-14T08:53:00Z</dcterms:modified>
</cp:coreProperties>
</file>