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jc w:val="center"/>
        <w:rPr>
          <w:rFonts w:ascii="Times New Roman" w:hAnsi="Times New Roman"/>
          <w:sz w:val="28"/>
          <w:szCs w:val="28"/>
        </w:rPr>
      </w:pPr>
      <w:hyperlink xmlns:r="http://schemas.openxmlformats.org/officeDocument/2006/relationships" r:id="R2">
        <w:r>
          <w:rPr>
            <w:rFonts w:ascii="Times New Roman" w:hAnsi="Times New Roman"/>
            <w:b w:val="1"/>
            <w:sz w:val="28"/>
            <w:szCs w:val="28"/>
          </w:rPr>
          <w:t>ПОЯСНЮВАЛЬНА ЗАПИСКА</w:t>
        </w:r>
      </w:hyperlink>
    </w:p>
    <w:tbl>
      <w:tblPr>
        <w:tblStyle w:val="T2"/>
        <w:tblW w:w="10460" w:type="dxa"/>
        <w:jc w:val="center"/>
        <w:tblLayout w:type="fixed"/>
        <w:tblLook w:val="0000"/>
      </w:tblPr>
      <w:tblGrid/>
      <w:tr>
        <w:trPr>
          <w:jc w:val="center"/>
        </w:trPr>
        <w:tc>
          <w:tcPr>
            <w:tcW w:w="10460" w:type="dxa"/>
            <w:shd w:val="clear" w:color="auto" w:fill="FFFFFF"/>
            <w:tcMar>
              <w:top w:w="0" w:type="dxa"/>
              <w:left w:w="0" w:type="dxa"/>
              <w:bottom w:w="0" w:type="dxa"/>
              <w:right w:w="0" w:type="dxa"/>
            </w:tcMar>
            <w:vAlign w:val="center"/>
          </w:tcPr>
          <w:p>
            <w:pPr>
              <w:pStyle w:val="P9"/>
              <w:spacing w:before="300" w:after="460" w:beforeAutospacing="0" w:afterAutospacing="0"/>
              <w:ind w:right="460"/>
              <w:jc w:val="center"/>
              <w:rPr>
                <w:b w:val="1"/>
                <w:sz w:val="28"/>
                <w:szCs w:val="28"/>
                <w:lang w:val="uk"/>
              </w:rPr>
            </w:pPr>
            <w:r>
              <w:rPr>
                <w:b w:val="1"/>
                <w:sz w:val="28"/>
                <w:szCs w:val="28"/>
                <w:lang w:val="uk"/>
              </w:rPr>
              <w:t>до проєкту постанови Кабінету Міністрів України «Про внесення змін до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pPr>
              <w:jc w:val="center"/>
              <w:rPr>
                <w:rFonts w:ascii="Times New Roman" w:hAnsi="Times New Roman"/>
                <w:sz w:val="28"/>
                <w:szCs w:val="28"/>
              </w:rPr>
            </w:pPr>
          </w:p>
        </w:tc>
      </w:tr>
    </w:tbl>
    <w:p>
      <w:pPr>
        <w:numPr>
          <w:ilvl w:val="0"/>
          <w:numId w:val="1"/>
        </w:numPr>
        <w:spacing w:after="150" w:beforeAutospacing="0" w:afterAutospacing="0"/>
        <w:ind w:left="850"/>
        <w:jc w:val="both"/>
        <w:rPr>
          <w:rFonts w:ascii="Times New Roman" w:hAnsi="Times New Roman"/>
          <w:b w:val="1"/>
          <w:sz w:val="28"/>
          <w:szCs w:val="28"/>
        </w:rPr>
      </w:pPr>
      <w:r>
        <w:rPr>
          <w:rFonts w:ascii="Times New Roman" w:hAnsi="Times New Roman"/>
          <w:b w:val="1"/>
          <w:sz w:val="28"/>
          <w:szCs w:val="28"/>
        </w:rPr>
        <w:t>Мета</w:t>
      </w:r>
    </w:p>
    <w:p>
      <w:pPr>
        <w:ind w:firstLine="360"/>
        <w:jc w:val="both"/>
        <w:rPr>
          <w:rFonts w:ascii="Times New Roman" w:hAnsi="Times New Roman"/>
          <w:sz w:val="28"/>
          <w:szCs w:val="28"/>
        </w:rPr>
      </w:pPr>
      <w:r>
        <w:rPr>
          <w:rFonts w:ascii="Times New Roman" w:hAnsi="Times New Roman"/>
          <w:sz w:val="28"/>
          <w:szCs w:val="28"/>
        </w:rPr>
        <w:t xml:space="preserve">Метою прийняття проєкту акта є внесення змін до  процедури проведення Міністерством освіти і науки України конкурсного відбору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в частині граничних обсягів фінансової підтримки, що надається за р</w:t>
      </w:r>
      <w:r>
        <w:rPr>
          <w:rFonts w:ascii="Times New Roman" w:hAnsi="Times New Roman"/>
          <w:smallCaps w:val="0"/>
          <w:sz w:val="28"/>
          <w:szCs w:val="22"/>
          <w:cs w:val="0"/>
          <w:spacing w:val="0"/>
          <w:w w:val="100"/>
          <w:position w:val="0"/>
          <w:snapToGrid w:val="1"/>
        </w:rPr>
        <w:t>е</w:t>
      </w:r>
      <w:r>
        <w:rPr>
          <w:rFonts w:ascii="Times New Roman" w:hAnsi="Times New Roman"/>
          <w:sz w:val="28"/>
          <w:szCs w:val="28"/>
        </w:rPr>
        <w:t>зультатами конкурсного відбору.</w:t>
      </w:r>
    </w:p>
    <w:p>
      <w:pPr>
        <w:ind w:firstLine="708"/>
        <w:jc w:val="both"/>
        <w:rPr>
          <w:rFonts w:ascii="Times New Roman" w:hAnsi="Times New Roman"/>
          <w:sz w:val="28"/>
          <w:szCs w:val="28"/>
        </w:rPr>
      </w:pPr>
    </w:p>
    <w:p>
      <w:pPr>
        <w:numPr>
          <w:ilvl w:val="0"/>
          <w:numId w:val="1"/>
        </w:numPr>
        <w:spacing w:after="150" w:beforeAutospacing="0" w:afterAutospacing="0"/>
        <w:jc w:val="both"/>
        <w:rPr>
          <w:rFonts w:ascii="Times New Roman" w:hAnsi="Times New Roman"/>
          <w:b w:val="1"/>
          <w:sz w:val="28"/>
          <w:szCs w:val="28"/>
        </w:rPr>
      </w:pPr>
      <w:r>
        <w:rPr>
          <w:rFonts w:ascii="Times New Roman" w:hAnsi="Times New Roman"/>
          <w:b w:val="1"/>
          <w:sz w:val="28"/>
          <w:szCs w:val="28"/>
        </w:rPr>
        <w:t>Обґрунтування необхідності прийняття акта</w:t>
      </w:r>
    </w:p>
    <w:p>
      <w:pPr>
        <w:ind w:firstLine="708"/>
        <w:jc w:val="both"/>
        <w:rPr>
          <w:rFonts w:ascii="Times New Roman" w:hAnsi="Times New Roman"/>
          <w:sz w:val="28"/>
          <w:szCs w:val="28"/>
        </w:rPr>
      </w:pPr>
      <w:r>
        <w:rPr>
          <w:rFonts w:ascii="Times New Roman" w:hAnsi="Times New Roman"/>
          <w:sz w:val="28"/>
          <w:szCs w:val="28"/>
        </w:rPr>
        <w:t xml:space="preserve">Проєкт акта відповідає пріоритету 13.5 «Розвиток науки та інновацій» Програми діяльності Кабінету Міністрів України, затвердженої постановою Кабінету Міністрів України від 12 червня 2020 року № 471. </w:t>
      </w:r>
    </w:p>
    <w:p>
      <w:pPr>
        <w:ind w:firstLine="708"/>
        <w:jc w:val="both"/>
        <w:rPr>
          <w:rFonts w:ascii="Times New Roman" w:hAnsi="Times New Roman"/>
          <w:sz w:val="28"/>
          <w:szCs w:val="28"/>
        </w:rPr>
      </w:pPr>
      <w:r>
        <w:rPr>
          <w:rFonts w:ascii="Times New Roman" w:hAnsi="Times New Roman"/>
          <w:sz w:val="28"/>
          <w:szCs w:val="28"/>
        </w:rPr>
        <w:t xml:space="preserve">Доцільність прийняття проєкту акта обумовлена необхідністю розвитку національної інноваційної екосистеми шляхом розширення мережі елементів інноваційної інфраструктури, активного залучення науковців до інноваційної діяльності, поєднання наукового та промислового потенціалу, забезпечення трансферу технологій та комерціалізації наукових результатів, збільшення обсягу інноваційної продукції в загальному обсязі промислової продукції, реалізації продукції із високою прибутковістю, що призведе до відновлення інноваційним шляхом економіки України, яка зазнає суттєвого впливу внаслідок війни та воєнного стану. </w:t>
      </w:r>
    </w:p>
    <w:p>
      <w:pPr>
        <w:ind w:firstLine="708"/>
        <w:jc w:val="both"/>
        <w:rPr>
          <w:rFonts w:ascii="Times New Roman" w:hAnsi="Times New Roman"/>
          <w:sz w:val="28"/>
          <w:szCs w:val="28"/>
        </w:rPr>
      </w:pPr>
    </w:p>
    <w:p>
      <w:pPr>
        <w:spacing w:after="150" w:beforeAutospacing="0" w:afterAutospacing="0"/>
        <w:ind w:firstLine="720"/>
        <w:jc w:val="both"/>
        <w:rPr>
          <w:rFonts w:ascii="Times New Roman" w:hAnsi="Times New Roman"/>
          <w:sz w:val="28"/>
          <w:szCs w:val="28"/>
        </w:rPr>
      </w:pPr>
      <w:r>
        <w:rPr>
          <w:rFonts w:ascii="Times New Roman" w:hAnsi="Times New Roman"/>
          <w:b w:val="1"/>
          <w:sz w:val="28"/>
          <w:szCs w:val="28"/>
        </w:rPr>
        <w:t>3. Основні положення проєкту акта</w:t>
      </w:r>
    </w:p>
    <w:p>
      <w:pPr>
        <w:ind w:firstLine="450"/>
        <w:jc w:val="both"/>
        <w:rPr>
          <w:rFonts w:ascii="Times New Roman" w:hAnsi="Times New Roman"/>
          <w:sz w:val="28"/>
          <w:szCs w:val="28"/>
        </w:rPr>
      </w:pPr>
      <w:r>
        <w:rPr>
          <w:rFonts w:ascii="Times New Roman" w:hAnsi="Times New Roman"/>
          <w:sz w:val="28"/>
          <w:szCs w:val="28"/>
        </w:rPr>
        <w:t>Проєктом акта передбачається внесення змін до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bookmarkStart w:id="0" w:name="_GoBack"/>
      <w:bookmarkEnd w:id="0"/>
      <w:r>
        <w:rPr>
          <w:rFonts w:ascii="Times New Roman" w:hAnsi="Times New Roman"/>
          <w:sz w:val="28"/>
          <w:szCs w:val="28"/>
        </w:rPr>
        <w:t>, затвердженого постановою Кабінету Міністрів України від 20 листопада 2019 р.</w:t>
      </w:r>
      <w:hyperlink xmlns:r="http://schemas.openxmlformats.org/officeDocument/2006/relationships" r:id="R3">
        <w:r>
          <w:rPr>
            <w:rFonts w:ascii="Times New Roman" w:hAnsi="Times New Roman"/>
            <w:sz w:val="28"/>
            <w:szCs w:val="28"/>
          </w:rPr>
          <w:t xml:space="preserve"> № 971</w:t>
        </w:r>
      </w:hyperlink>
      <w:r>
        <w:rPr>
          <w:rFonts w:ascii="Times New Roman" w:hAnsi="Times New Roman"/>
          <w:sz w:val="28"/>
          <w:szCs w:val="28"/>
        </w:rPr>
        <w:t xml:space="preserve"> «Про затвердження Положення про конкурсний відбір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(в редакції постанови Кабінету Міністрів України </w:t>
      </w:r>
      <w:hyperlink xmlns:r="http://schemas.openxmlformats.org/officeDocument/2006/relationships" r:id="R4" w:anchor="n12">
        <w:r>
          <w:rPr>
            <w:rFonts w:ascii="Times New Roman" w:hAnsi="Times New Roman"/>
            <w:sz w:val="28"/>
            <w:szCs w:val="28"/>
          </w:rPr>
          <w:t>від 28 квітня 2021 р. № 419</w:t>
        </w:r>
      </w:hyperlink>
      <w:r>
        <w:rPr>
          <w:rFonts w:ascii="Times New Roman" w:hAnsi="Times New Roman"/>
          <w:sz w:val="28"/>
          <w:szCs w:val="28"/>
        </w:rPr>
        <w:t>), зокрема пропонується внести зміни до граничних обсягів фінансової підтримки, що надається за р</w:t>
      </w:r>
      <w:r>
        <w:rPr>
          <w:rFonts w:ascii="Times New Roman" w:hAnsi="Times New Roman"/>
          <w:smallCaps w:val="0"/>
          <w:sz w:val="28"/>
          <w:szCs w:val="22"/>
          <w:cs w:val="0"/>
          <w:spacing w:val="0"/>
          <w:w w:val="100"/>
          <w:position w:val="0"/>
          <w:snapToGrid w:val="1"/>
        </w:rPr>
        <w:t>е</w:t>
      </w:r>
      <w:r>
        <w:rPr>
          <w:rFonts w:ascii="Times New Roman" w:hAnsi="Times New Roman"/>
          <w:sz w:val="28"/>
          <w:szCs w:val="28"/>
        </w:rPr>
        <w:t xml:space="preserve">зультатами конкурсного відбору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w:t>
      </w:r>
    </w:p>
    <w:p>
      <w:pPr>
        <w:ind w:firstLine="450"/>
        <w:jc w:val="both"/>
        <w:rPr>
          <w:rFonts w:ascii="Times New Roman" w:hAnsi="Times New Roman"/>
          <w:sz w:val="28"/>
          <w:szCs w:val="28"/>
        </w:rPr>
      </w:pPr>
    </w:p>
    <w:p>
      <w:pPr>
        <w:spacing w:after="140" w:beforeAutospacing="0" w:afterAutospacing="0"/>
        <w:ind w:left="566"/>
        <w:jc w:val="both"/>
        <w:rPr>
          <w:rFonts w:ascii="Times New Roman" w:hAnsi="Times New Roman"/>
          <w:b w:val="1"/>
          <w:sz w:val="28"/>
          <w:szCs w:val="28"/>
        </w:rPr>
      </w:pPr>
      <w:r>
        <w:rPr>
          <w:rFonts w:ascii="Times New Roman" w:hAnsi="Times New Roman"/>
          <w:b w:val="1"/>
          <w:sz w:val="28"/>
          <w:szCs w:val="28"/>
        </w:rPr>
        <w:t xml:space="preserve"> 4. Правові аспекти</w:t>
      </w:r>
    </w:p>
    <w:p>
      <w:pPr>
        <w:ind w:firstLine="708"/>
        <w:jc w:val="both"/>
        <w:rPr>
          <w:rFonts w:ascii="Times New Roman" w:hAnsi="Times New Roman"/>
          <w:sz w:val="28"/>
          <w:szCs w:val="28"/>
        </w:rPr>
      </w:pPr>
      <w:r>
        <w:rPr>
          <w:rFonts w:ascii="Times New Roman" w:hAnsi="Times New Roman"/>
          <w:sz w:val="28"/>
          <w:szCs w:val="28"/>
        </w:rPr>
        <w:t>Проєкт акта розроблено в ініціативному порядку. Проєкт акта відповідає пріоритету 13.5 «Розвиток науки та інновацій» Програми діяльності Кабінету Міністрів України, затвердженої постановою Кабінету Міністрів України від 12 червня 2020 року № 471, яким передбачається розбудова дослідницької та інноваційної інфраструктури, стан якої забезпечує створення та впровадження (комерціалізацію) вченими та суб’єктами інноваційної діяльності результатів їх досліджень та розробок.</w:t>
      </w:r>
    </w:p>
    <w:p>
      <w:pPr>
        <w:ind w:firstLine="708"/>
        <w:jc w:val="both"/>
        <w:rPr>
          <w:rFonts w:ascii="Times New Roman" w:hAnsi="Times New Roman"/>
          <w:sz w:val="28"/>
          <w:szCs w:val="28"/>
        </w:rPr>
      </w:pPr>
      <w:r>
        <w:rPr>
          <w:rFonts w:ascii="Times New Roman" w:hAnsi="Times New Roman"/>
          <w:sz w:val="28"/>
          <w:szCs w:val="28"/>
        </w:rPr>
        <w:t xml:space="preserve"> </w:t>
      </w:r>
    </w:p>
    <w:p>
      <w:pPr>
        <w:spacing w:after="140" w:beforeAutospacing="0" w:afterAutospacing="0"/>
        <w:ind w:hanging="243" w:left="809"/>
        <w:jc w:val="both"/>
        <w:rPr>
          <w:rFonts w:ascii="Times New Roman" w:hAnsi="Times New Roman"/>
          <w:b w:val="1"/>
          <w:sz w:val="28"/>
          <w:szCs w:val="28"/>
        </w:rPr>
      </w:pPr>
      <w:r>
        <w:rPr>
          <w:rFonts w:ascii="Times New Roman" w:hAnsi="Times New Roman"/>
          <w:b w:val="1"/>
          <w:sz w:val="28"/>
          <w:szCs w:val="28"/>
        </w:rPr>
        <w:t>5. Фінансово-економічне обґрунтування</w:t>
      </w:r>
    </w:p>
    <w:p>
      <w:pPr>
        <w:shd w:val="clear" w:fill="FFFFFF"/>
        <w:spacing w:after="150" w:beforeAutospacing="0" w:afterAutospacing="0"/>
        <w:ind w:firstLine="450"/>
        <w:contextualSpacing w:val="1"/>
        <w:jc w:val="both"/>
        <w:rPr>
          <w:rFonts w:ascii="Times New Roman" w:hAnsi="Times New Roman"/>
          <w:sz w:val="28"/>
          <w:szCs w:val="28"/>
        </w:rPr>
      </w:pPr>
      <w:r>
        <w:rPr>
          <w:rFonts w:ascii="Times New Roman" w:hAnsi="Times New Roman"/>
          <w:sz w:val="28"/>
          <w:szCs w:val="28"/>
        </w:rPr>
        <w:t>Реалізація проєкту акта здійснюється за рахунок видатків за бюджетною програмою КПКВК 2201380 «Виконання зобов’язань України у сфері міжнародного науково-технічного та освітнього співробітництва, участь у рамковій програмі Європейського Союзу з досліджень та інновацій» та не потребує додаткового фінансування з державного чи місцевих бюджетів України. Фінансування конкурсу здійснюється за рахунок коштів спецфонду, що отримані за рахунок відповідного зовнішнього інструменту допомоги Європейського Союзу</w:t>
      </w:r>
      <w:r>
        <w:rPr>
          <w:rFonts w:ascii="Times New Roman" w:hAnsi="Times New Roman"/>
        </w:rPr>
        <w:t>,</w:t>
      </w:r>
      <w:r>
        <w:rPr>
          <w:rFonts w:ascii="Times New Roman" w:hAnsi="Times New Roman"/>
          <w:sz w:val="28"/>
          <w:szCs w:val="28"/>
        </w:rPr>
        <w:t xml:space="preserve"> відповідно до Угоди між Україною і Європейським Союзом про участь України у програмі Європейського Союзу Горизонт 2020 - Рамкова програма з досліджень та інновацій (2014-2020).</w:t>
      </w:r>
    </w:p>
    <w:p>
      <w:pPr>
        <w:jc w:val="both"/>
        <w:rPr>
          <w:rFonts w:ascii="Times New Roman" w:hAnsi="Times New Roman"/>
          <w:sz w:val="28"/>
          <w:szCs w:val="28"/>
        </w:rPr>
      </w:pPr>
    </w:p>
    <w:p>
      <w:pPr>
        <w:spacing w:after="150" w:beforeAutospacing="0" w:afterAutospacing="0"/>
        <w:ind w:firstLine="566"/>
        <w:jc w:val="both"/>
        <w:rPr>
          <w:rFonts w:ascii="Times New Roman" w:hAnsi="Times New Roman"/>
          <w:sz w:val="28"/>
          <w:szCs w:val="28"/>
        </w:rPr>
      </w:pPr>
      <w:r>
        <w:rPr>
          <w:rFonts w:ascii="Times New Roman" w:hAnsi="Times New Roman"/>
          <w:b w:val="1"/>
          <w:sz w:val="28"/>
          <w:szCs w:val="28"/>
        </w:rPr>
        <w:t>6. Позиція заінтересованих сторін</w:t>
      </w:r>
    </w:p>
    <w:p>
      <w:pPr>
        <w:shd w:val="clear" w:fill="FFFFFF"/>
        <w:ind w:firstLine="450"/>
        <w:contextualSpacing w:val="1"/>
        <w:jc w:val="both"/>
        <w:rPr>
          <w:rFonts w:ascii="Times New Roman" w:hAnsi="Times New Roman"/>
          <w:sz w:val="28"/>
        </w:rPr>
      </w:pPr>
      <w:r>
        <w:rPr>
          <w:rFonts w:ascii="Times New Roman" w:hAnsi="Times New Roman"/>
          <w:sz w:val="28"/>
        </w:rPr>
        <w:t>Проект акта виноситься на громадське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Звіт про результати громадського обговорення буде оприлюднено на офіційному вебсайті МОН.</w:t>
      </w:r>
    </w:p>
    <w:p>
      <w:pPr>
        <w:shd w:val="clear" w:fill="FFFFFF"/>
        <w:ind w:firstLine="450"/>
        <w:contextualSpacing w:val="1"/>
        <w:jc w:val="both"/>
        <w:rPr>
          <w:rFonts w:ascii="Times New Roman" w:hAnsi="Times New Roman"/>
          <w:sz w:val="28"/>
        </w:rPr>
      </w:pPr>
      <w:r>
        <w:rPr>
          <w:rFonts w:ascii="Times New Roman" w:hAnsi="Times New Roman"/>
          <w:sz w:val="28"/>
          <w:szCs w:val="28"/>
        </w:rPr>
        <w:t>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pPr>
        <w:ind w:firstLine="450"/>
        <w:contextualSpacing w:val="1"/>
        <w:jc w:val="both"/>
        <w:rPr>
          <w:color w:val="000000"/>
          <w:sz w:val="28"/>
          <w:szCs w:val="28"/>
          <w:lang w:val="ru-RU"/>
        </w:rPr>
      </w:pPr>
      <w:r>
        <w:rPr>
          <w:rFonts w:ascii="Times New Roman" w:hAnsi="Times New Roman"/>
          <w:sz w:val="28"/>
          <w:szCs w:val="28"/>
        </w:rPr>
        <w:t>Проєкт акта потребує погодження з Науковим комітетом Національної ради з питань розвитку науки і технологій.</w:t>
      </w:r>
    </w:p>
    <w:p>
      <w:pPr>
        <w:ind w:firstLine="708"/>
        <w:jc w:val="both"/>
        <w:rPr>
          <w:rFonts w:ascii="Times New Roman" w:hAnsi="Times New Roman"/>
          <w:sz w:val="28"/>
          <w:szCs w:val="28"/>
        </w:rPr>
      </w:pPr>
    </w:p>
    <w:p>
      <w:pPr>
        <w:spacing w:after="140" w:beforeAutospacing="0" w:afterAutospacing="0"/>
        <w:ind w:firstLine="566"/>
        <w:jc w:val="both"/>
        <w:rPr>
          <w:rFonts w:ascii="Times New Roman" w:hAnsi="Times New Roman"/>
          <w:sz w:val="28"/>
          <w:szCs w:val="28"/>
        </w:rPr>
      </w:pPr>
      <w:r>
        <w:rPr>
          <w:rFonts w:ascii="Times New Roman" w:hAnsi="Times New Roman"/>
          <w:b w:val="1"/>
          <w:sz w:val="28"/>
          <w:szCs w:val="28"/>
        </w:rPr>
        <w:t>7. Оцінка відповідності</w:t>
      </w:r>
    </w:p>
    <w:p>
      <w:pPr>
        <w:ind w:firstLine="708"/>
        <w:jc w:val="both"/>
        <w:rPr>
          <w:rFonts w:ascii="Times New Roman" w:hAnsi="Times New Roman"/>
          <w:sz w:val="28"/>
          <w:szCs w:val="28"/>
        </w:rPr>
      </w:pPr>
      <w:r>
        <w:rPr>
          <w:rFonts w:ascii="Times New Roman" w:hAnsi="Times New Roman"/>
          <w:sz w:val="28"/>
          <w:szCs w:val="28"/>
        </w:rPr>
        <w:t>У проєкті акта відсутні положення, що:</w:t>
      </w:r>
    </w:p>
    <w:p>
      <w:pPr>
        <w:ind w:firstLine="708"/>
        <w:jc w:val="both"/>
        <w:rPr>
          <w:rFonts w:ascii="Times New Roman" w:hAnsi="Times New Roman"/>
          <w:sz w:val="28"/>
          <w:szCs w:val="28"/>
        </w:rPr>
      </w:pPr>
      <w:r>
        <w:rPr>
          <w:rFonts w:ascii="Times New Roman" w:hAnsi="Times New Roman"/>
          <w:sz w:val="28"/>
          <w:szCs w:val="28"/>
        </w:rPr>
        <w:t>стосуються зобов’язань України у сфері європейської інтеграції;</w:t>
      </w:r>
    </w:p>
    <w:p>
      <w:pPr>
        <w:ind w:firstLine="708"/>
        <w:jc w:val="both"/>
        <w:rPr>
          <w:rFonts w:ascii="Times New Roman" w:hAnsi="Times New Roman"/>
          <w:sz w:val="28"/>
          <w:szCs w:val="28"/>
        </w:rPr>
      </w:pPr>
      <w:r>
        <w:rPr>
          <w:rFonts w:ascii="Times New Roman" w:hAnsi="Times New Roman"/>
          <w:sz w:val="28"/>
          <w:szCs w:val="28"/>
        </w:rPr>
        <w:t>стосуються прав та свобод, гарантованих Конвенцією про захист прав людини і основоположних свобод;</w:t>
      </w:r>
    </w:p>
    <w:p>
      <w:pPr>
        <w:ind w:firstLine="708"/>
        <w:jc w:val="both"/>
        <w:rPr>
          <w:rFonts w:ascii="Times New Roman" w:hAnsi="Times New Roman"/>
          <w:sz w:val="28"/>
          <w:szCs w:val="28"/>
        </w:rPr>
      </w:pPr>
      <w:r>
        <w:rPr>
          <w:rFonts w:ascii="Times New Roman" w:hAnsi="Times New Roman"/>
          <w:sz w:val="28"/>
          <w:szCs w:val="28"/>
        </w:rPr>
        <w:t>впливають на забезпечення рівних прав та можливостей жінок і чоловіків;</w:t>
      </w:r>
    </w:p>
    <w:p>
      <w:pPr>
        <w:ind w:firstLine="708"/>
        <w:jc w:val="both"/>
        <w:rPr>
          <w:rFonts w:ascii="Times New Roman" w:hAnsi="Times New Roman"/>
          <w:sz w:val="28"/>
          <w:szCs w:val="28"/>
        </w:rPr>
      </w:pPr>
      <w:r>
        <w:rPr>
          <w:rFonts w:ascii="Times New Roman" w:hAnsi="Times New Roman"/>
          <w:sz w:val="28"/>
          <w:szCs w:val="28"/>
        </w:rPr>
        <w:t>містять ризики вчинення корупційних правопорушень та правопорушень, пов’язаних з корупцією;</w:t>
      </w:r>
    </w:p>
    <w:p>
      <w:pPr>
        <w:ind w:firstLine="708"/>
        <w:jc w:val="both"/>
        <w:rPr>
          <w:rFonts w:ascii="Times New Roman" w:hAnsi="Times New Roman"/>
          <w:sz w:val="28"/>
          <w:szCs w:val="28"/>
        </w:rPr>
      </w:pPr>
      <w:r>
        <w:rPr>
          <w:rFonts w:ascii="Times New Roman" w:hAnsi="Times New Roman"/>
          <w:sz w:val="28"/>
          <w:szCs w:val="28"/>
        </w:rPr>
        <w:t>створюють підстави для дискримінації.</w:t>
      </w:r>
    </w:p>
    <w:p>
      <w:pPr>
        <w:ind w:firstLine="708"/>
        <w:jc w:val="both"/>
        <w:rPr>
          <w:rFonts w:ascii="Times New Roman" w:hAnsi="Times New Roman"/>
          <w:sz w:val="28"/>
          <w:szCs w:val="28"/>
        </w:rPr>
      </w:pPr>
    </w:p>
    <w:p>
      <w:pPr>
        <w:spacing w:after="150" w:beforeAutospacing="0" w:afterAutospacing="0"/>
        <w:ind w:hanging="141" w:left="708"/>
        <w:jc w:val="both"/>
      </w:pPr>
      <w:r>
        <w:rPr>
          <w:rFonts w:ascii="Times New Roman" w:hAnsi="Times New Roman"/>
          <w:b w:val="1"/>
          <w:sz w:val="28"/>
          <w:szCs w:val="28"/>
        </w:rPr>
        <w:t>8. Прогноз результатів</w:t>
      </w:r>
    </w:p>
    <w:p>
      <w:pPr>
        <w:ind w:firstLine="708"/>
        <w:jc w:val="both"/>
        <w:rPr>
          <w:rFonts w:ascii="Times New Roman" w:hAnsi="Times New Roman"/>
          <w:sz w:val="28"/>
          <w:szCs w:val="28"/>
        </w:rPr>
      </w:pPr>
      <w:r>
        <w:rPr>
          <w:rFonts w:ascii="Times New Roman" w:hAnsi="Times New Roman"/>
          <w:sz w:val="28"/>
          <w:szCs w:val="28"/>
        </w:rPr>
        <w:t>У сфері інтересів держави прийняття акта дозволить підвищити рівень залучення науковців до інноваційної діяльності, а також створення належних умов для здійснення інноваційної діяльності новаторами, що створюють конкурентоздатну інноваційну продукцію.</w:t>
      </w:r>
    </w:p>
    <w:p>
      <w:pPr>
        <w:shd w:val="clear" w:fill="FFFFFF"/>
        <w:spacing w:before="150" w:after="150" w:beforeAutospacing="0" w:afterAutospacing="0"/>
        <w:ind w:firstLine="708"/>
        <w:contextualSpacing w:val="1"/>
        <w:jc w:val="both"/>
        <w:rPr>
          <w:rFonts w:ascii="Times New Roman" w:hAnsi="Times New Roman"/>
          <w:sz w:val="28"/>
          <w:szCs w:val="28"/>
        </w:rPr>
      </w:pPr>
      <w:r>
        <w:rPr>
          <w:rFonts w:ascii="Times New Roman" w:hAnsi="Times New Roman"/>
          <w:sz w:val="28"/>
          <w:szCs w:val="28"/>
        </w:rPr>
        <w:t>Критеріями оцінки ефективності є наступні показники:</w:t>
      </w:r>
    </w:p>
    <w:p>
      <w:pPr>
        <w:shd w:val="clear" w:fill="FFFFFF"/>
        <w:spacing w:after="150" w:beforeAutospacing="0" w:afterAutospacing="0"/>
        <w:ind w:firstLine="708"/>
        <w:contextualSpacing w:val="1"/>
        <w:jc w:val="both"/>
        <w:rPr>
          <w:rFonts w:ascii="Times New Roman" w:hAnsi="Times New Roman"/>
          <w:sz w:val="28"/>
          <w:szCs w:val="28"/>
        </w:rPr>
      </w:pPr>
      <w:r>
        <w:rPr>
          <w:rFonts w:ascii="Times New Roman" w:hAnsi="Times New Roman"/>
          <w:sz w:val="28"/>
          <w:szCs w:val="28"/>
        </w:rPr>
        <w:t>кількість наукових, науково-технічних робіт та про</w:t>
      </w:r>
      <w:r>
        <w:rPr>
          <w:rFonts w:ascii="Times New Roman" w:hAnsi="Times New Roman"/>
          <w:smallCaps w:val="0"/>
          <w:sz w:val="28"/>
          <w:szCs w:val="22"/>
          <w:cs w:val="0"/>
          <w:spacing w:val="0"/>
          <w:w w:val="100"/>
          <w:position w:val="0"/>
          <w:snapToGrid w:val="1"/>
        </w:rPr>
        <w:t>є</w:t>
      </w:r>
      <w:r>
        <w:rPr>
          <w:rFonts w:ascii="Times New Roman" w:hAnsi="Times New Roman"/>
          <w:sz w:val="28"/>
          <w:szCs w:val="28"/>
        </w:rPr>
        <w:t>ктів, яким буде надано фінансування за рахунок коштів спецфонду, що отримані за рахунок відповідного зовнішнього інструменту допомоги Європейського Союзу, відповідно до Угоди між Україною і Європейським Союзом про участь України у програмі Європейського Союзу Горизонт 2020;</w:t>
      </w:r>
    </w:p>
    <w:p>
      <w:pPr>
        <w:shd w:val="clear" w:fill="FFFFFF"/>
        <w:spacing w:after="150" w:beforeAutospacing="0" w:afterAutospacing="0"/>
        <w:ind w:firstLine="720"/>
        <w:contextualSpacing w:val="1"/>
        <w:jc w:val="both"/>
        <w:rPr>
          <w:rFonts w:ascii="Times New Roman" w:hAnsi="Times New Roman"/>
          <w:sz w:val="28"/>
          <w:szCs w:val="28"/>
        </w:rPr>
      </w:pPr>
      <w:r>
        <w:rPr>
          <w:rFonts w:ascii="Times New Roman" w:hAnsi="Times New Roman"/>
          <w:sz w:val="28"/>
          <w:szCs w:val="28"/>
        </w:rPr>
        <w:t>кількість установ, підприємств, організацій, які будуть брати участь у конкурсному відборі наукових, науково-технічних робіт та про</w:t>
      </w:r>
      <w:r>
        <w:rPr>
          <w:rFonts w:ascii="Times New Roman" w:hAnsi="Times New Roman"/>
          <w:smallCaps w:val="0"/>
          <w:sz w:val="28"/>
          <w:szCs w:val="22"/>
          <w:cs w:val="0"/>
          <w:spacing w:val="0"/>
          <w:w w:val="100"/>
          <w:position w:val="0"/>
          <w:snapToGrid w:val="1"/>
        </w:rPr>
        <w:t>є</w:t>
      </w:r>
      <w:r>
        <w:rPr>
          <w:rFonts w:ascii="Times New Roman" w:hAnsi="Times New Roman"/>
          <w:sz w:val="28"/>
          <w:szCs w:val="28"/>
        </w:rPr>
        <w:t>ктів;</w:t>
      </w:r>
    </w:p>
    <w:p>
      <w:pPr>
        <w:shd w:val="clear" w:fill="FFFFFF"/>
        <w:spacing w:after="150" w:beforeAutospacing="0" w:afterAutospacing="0"/>
        <w:ind w:firstLine="720"/>
        <w:contextualSpacing w:val="1"/>
        <w:jc w:val="both"/>
        <w:rPr>
          <w:rFonts w:ascii="Times New Roman" w:hAnsi="Times New Roman"/>
          <w:sz w:val="28"/>
          <w:szCs w:val="28"/>
        </w:rPr>
      </w:pPr>
      <w:r>
        <w:rPr>
          <w:rFonts w:ascii="Times New Roman" w:hAnsi="Times New Roman"/>
          <w:sz w:val="28"/>
          <w:szCs w:val="28"/>
        </w:rPr>
        <w:t>кількість заявок, поданих на участь у конкурсному відборі наукових, науково-технічних робіт та про</w:t>
      </w:r>
      <w:r>
        <w:rPr>
          <w:rFonts w:ascii="Times New Roman" w:hAnsi="Times New Roman"/>
          <w:smallCaps w:val="0"/>
          <w:sz w:val="28"/>
          <w:szCs w:val="22"/>
          <w:cs w:val="0"/>
          <w:spacing w:val="0"/>
          <w:w w:val="100"/>
          <w:position w:val="0"/>
          <w:snapToGrid w:val="1"/>
        </w:rPr>
        <w:t>є</w:t>
      </w:r>
      <w:r>
        <w:rPr>
          <w:rFonts w:ascii="Times New Roman" w:hAnsi="Times New Roman"/>
          <w:sz w:val="28"/>
          <w:szCs w:val="28"/>
        </w:rPr>
        <w:t>ктів;</w:t>
      </w:r>
    </w:p>
    <w:p>
      <w:pPr>
        <w:shd w:val="clear" w:fill="FFFFFF"/>
        <w:spacing w:after="150" w:beforeAutospacing="0" w:afterAutospacing="0"/>
        <w:ind w:firstLine="720"/>
        <w:contextualSpacing w:val="1"/>
        <w:jc w:val="both"/>
        <w:rPr>
          <w:rFonts w:ascii="Times New Roman" w:hAnsi="Times New Roman"/>
          <w:sz w:val="28"/>
          <w:szCs w:val="28"/>
        </w:rPr>
      </w:pPr>
      <w:r>
        <w:rPr>
          <w:rFonts w:ascii="Times New Roman" w:hAnsi="Times New Roman"/>
          <w:sz w:val="28"/>
          <w:szCs w:val="28"/>
        </w:rPr>
        <w:t>обсяг коштів, виділених на фінансування конкурсу.</w:t>
      </w:r>
    </w:p>
    <w:p>
      <w:pPr>
        <w:shd w:val="clear" w:fill="FFFFFF"/>
        <w:ind w:firstLine="720"/>
        <w:jc w:val="both"/>
        <w:rPr>
          <w:rFonts w:ascii="Times New Roman" w:hAnsi="Times New Roman"/>
          <w:sz w:val="28"/>
          <w:szCs w:val="28"/>
        </w:rPr>
      </w:pPr>
      <w:r>
        <w:rPr>
          <w:rFonts w:ascii="Times New Roman" w:hAnsi="Times New Roman"/>
          <w:sz w:val="28"/>
          <w:szCs w:val="28"/>
        </w:rPr>
        <w:t xml:space="preserve">Реалізація проєкту акта не впливає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p>
    <w:p>
      <w:pPr>
        <w:shd w:val="clear" w:fill="FFFFFF"/>
        <w:spacing w:before="150" w:after="150" w:beforeAutospacing="0" w:afterAutospacing="0"/>
        <w:ind w:firstLine="450"/>
        <w:contextualSpacing w:val="1"/>
        <w:jc w:val="both"/>
        <w:rPr>
          <w:rFonts w:ascii="Times New Roman" w:hAnsi="Times New Roman"/>
          <w:sz w:val="28"/>
          <w:szCs w:val="28"/>
          <w:lang w:val="uk-UA"/>
        </w:rPr>
      </w:pPr>
      <w:r>
        <w:rPr>
          <w:rFonts w:ascii="Times New Roman" w:hAnsi="Times New Roman"/>
          <w:sz w:val="28"/>
          <w:szCs w:val="28"/>
        </w:rPr>
        <w:t xml:space="preserve">Проєкт акта впливає на суспільні відносини у сфері наукової, науково-технічної та інноваційної діяльності. </w:t>
      </w:r>
      <w:bookmarkStart w:id="1" w:name="n3511"/>
      <w:bookmarkEnd w:id="1"/>
      <w:bookmarkStart w:id="2" w:name="n3512"/>
      <w:bookmarkEnd w:id="2"/>
      <w:bookmarkStart w:id="3" w:name="n3513"/>
      <w:bookmarkEnd w:id="3"/>
    </w:p>
    <w:p>
      <w:pPr>
        <w:shd w:val="clear" w:fill="FFFFFF"/>
        <w:spacing w:after="150" w:beforeAutospacing="0" w:afterAutospacing="0"/>
        <w:ind w:firstLine="708"/>
        <w:jc w:val="both"/>
        <w:rPr>
          <w:rFonts w:ascii="Times New Roman" w:hAnsi="Times New Roman"/>
          <w:sz w:val="28"/>
          <w:szCs w:val="28"/>
        </w:rPr>
      </w:pPr>
      <w:r>
        <w:rPr>
          <w:rFonts w:ascii="Times New Roman" w:hAnsi="Times New Roman"/>
          <w:sz w:val="28"/>
          <w:szCs w:val="28"/>
        </w:rPr>
        <w:t>Вплив на інтереси заінтересованих сторін:</w:t>
      </w:r>
    </w:p>
    <w:tbl>
      <w:tblPr>
        <w:tblStyle w:val="T2"/>
        <w:tblW w:w="9669" w:type="dxa"/>
        <w:jc w:val="cente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00"/>
      </w:tblPr>
      <w:tblGrid/>
      <w:tr>
        <w:trPr>
          <w:jc w:val="center"/>
        </w:trPr>
        <w:tc>
          <w:tcPr>
            <w:tcW w:w="2216" w:type="dxa"/>
          </w:tcPr>
          <w:p>
            <w:pPr>
              <w:jc w:val="center"/>
              <w:rPr>
                <w:rFonts w:ascii="Times New Roman" w:hAnsi="Times New Roman"/>
                <w:sz w:val="28"/>
                <w:szCs w:val="28"/>
              </w:rPr>
            </w:pPr>
            <w:r>
              <w:rPr>
                <w:rFonts w:ascii="Times New Roman" w:hAnsi="Times New Roman"/>
                <w:sz w:val="28"/>
                <w:szCs w:val="28"/>
              </w:rPr>
              <w:t>Заінтересована </w:t>
            </w:r>
          </w:p>
          <w:p>
            <w:pPr>
              <w:jc w:val="center"/>
              <w:rPr>
                <w:rFonts w:ascii="Times New Roman" w:hAnsi="Times New Roman"/>
                <w:sz w:val="28"/>
                <w:szCs w:val="28"/>
              </w:rPr>
            </w:pPr>
            <w:r>
              <w:rPr>
                <w:rFonts w:ascii="Times New Roman" w:hAnsi="Times New Roman"/>
                <w:sz w:val="28"/>
                <w:szCs w:val="28"/>
              </w:rPr>
              <w:t>сторона</w:t>
            </w:r>
          </w:p>
        </w:tc>
        <w:tc>
          <w:tcPr>
            <w:tcW w:w="4528" w:type="dxa"/>
          </w:tcPr>
          <w:p>
            <w:pPr>
              <w:jc w:val="center"/>
              <w:rPr>
                <w:rFonts w:ascii="Times New Roman" w:hAnsi="Times New Roman"/>
                <w:sz w:val="28"/>
                <w:szCs w:val="28"/>
              </w:rPr>
            </w:pPr>
            <w:r>
              <w:rPr>
                <w:rFonts w:ascii="Times New Roman" w:hAnsi="Times New Roman"/>
                <w:sz w:val="28"/>
                <w:szCs w:val="28"/>
              </w:rPr>
              <w:t>Вплив реалізації акта на </w:t>
            </w:r>
          </w:p>
          <w:p>
            <w:pPr>
              <w:jc w:val="center"/>
              <w:rPr>
                <w:rFonts w:ascii="Times New Roman" w:hAnsi="Times New Roman"/>
                <w:sz w:val="28"/>
                <w:szCs w:val="28"/>
              </w:rPr>
            </w:pPr>
            <w:r>
              <w:rPr>
                <w:rFonts w:ascii="Times New Roman" w:hAnsi="Times New Roman"/>
                <w:sz w:val="28"/>
                <w:szCs w:val="28"/>
              </w:rPr>
              <w:t>заінтересовану сторону</w:t>
            </w:r>
          </w:p>
        </w:tc>
        <w:tc>
          <w:tcPr>
            <w:tcW w:w="2925"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Пояснення очікуваного впливу</w:t>
            </w:r>
          </w:p>
        </w:tc>
      </w:tr>
      <w:tr>
        <w:trPr>
          <w:jc w:val="center"/>
        </w:trPr>
        <w:tc>
          <w:tcPr>
            <w:tcW w:w="2216"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Вчені, фізичні особи, що займаються інноваційною діяльністю (більше 120 тисяч осіб)</w:t>
            </w:r>
          </w:p>
        </w:tc>
        <w:tc>
          <w:tcPr>
            <w:tcW w:w="4528"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Позитивний</w:t>
            </w:r>
          </w:p>
        </w:tc>
        <w:tc>
          <w:tcPr>
            <w:tcW w:w="2925"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Створюються сприятливі та мотиваційні умови і можливості для стимулювання співпраці науковців між собою, а також науковців із іншими учасниками інноваційної діяльності та представниками бізнес-середовища, комерціалізації інноваційної продукції</w:t>
            </w:r>
          </w:p>
        </w:tc>
      </w:tr>
      <w:tr>
        <w:trPr>
          <w:jc w:val="center"/>
        </w:trPr>
        <w:tc>
          <w:tcPr>
            <w:tcW w:w="2216"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Заклади вищої освіти та наукові установи (1600)</w:t>
            </w:r>
          </w:p>
        </w:tc>
        <w:tc>
          <w:tcPr>
            <w:tcW w:w="4528"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Позитивний</w:t>
            </w:r>
          </w:p>
        </w:tc>
        <w:tc>
          <w:tcPr>
            <w:tcW w:w="2925" w:type="dxa"/>
          </w:tcPr>
          <w:p>
            <w:pPr>
              <w:pStyle w:val="P10"/>
              <w:spacing w:before="150" w:after="150" w:beforeAutospacing="0" w:afterAutospacing="0"/>
              <w:jc w:val="center"/>
              <w:rPr>
                <w:sz w:val="28"/>
                <w:szCs w:val="28"/>
                <w:lang w:val="uk" w:eastAsia="en-US"/>
              </w:rPr>
            </w:pPr>
            <w:r>
              <w:rPr>
                <w:sz w:val="28"/>
                <w:szCs w:val="28"/>
                <w:lang w:val="uk" w:eastAsia="en-US"/>
              </w:rPr>
              <w:t>Створюються умови для отримання фінансування на виконання наукових, науково-технічних робіт та про</w:t>
            </w:r>
            <w:r>
              <w:rPr>
                <w:smallCaps w:val="0"/>
                <w:sz w:val="28"/>
                <w:szCs w:val="22"/>
                <w:cs w:val="0"/>
                <w:spacing w:val="0"/>
                <w:w w:val="100"/>
                <w:position w:val="0"/>
                <w:snapToGrid w:val="1"/>
                <w:lang w:val="uk" w:eastAsia="en-US"/>
              </w:rPr>
              <w:t>є</w:t>
            </w:r>
            <w:r>
              <w:rPr>
                <w:sz w:val="28"/>
                <w:szCs w:val="28"/>
                <w:lang w:val="uk" w:eastAsia="en-US"/>
              </w:rPr>
              <w:t>ктів у закладах вищої освіти та наукових установах</w:t>
            </w:r>
          </w:p>
        </w:tc>
      </w:tr>
      <w:tr>
        <w:trPr>
          <w:jc w:val="center"/>
        </w:trPr>
        <w:tc>
          <w:tcPr>
            <w:tcW w:w="2216" w:type="dxa"/>
          </w:tcPr>
          <w:p>
            <w:pPr>
              <w:jc w:val="center"/>
              <w:rPr>
                <w:rFonts w:ascii="Times New Roman" w:hAnsi="Times New Roman"/>
                <w:sz w:val="28"/>
                <w:szCs w:val="28"/>
              </w:rPr>
            </w:pPr>
            <w:r>
              <w:rPr>
                <w:rFonts w:ascii="Times New Roman" w:hAnsi="Times New Roman"/>
                <w:sz w:val="28"/>
                <w:szCs w:val="28"/>
              </w:rPr>
              <w:t>Інноваційно- орієнтовані суб’єкти господарювання (1431)</w:t>
            </w:r>
          </w:p>
        </w:tc>
        <w:tc>
          <w:tcPr>
            <w:tcW w:w="4528"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Негативний/Позитивний</w:t>
            </w:r>
          </w:p>
        </w:tc>
        <w:tc>
          <w:tcPr>
            <w:tcW w:w="2925" w:type="dxa"/>
          </w:tcPr>
          <w:p>
            <w:pPr>
              <w:spacing w:before="150" w:after="150" w:beforeAutospacing="0" w:afterAutospacing="0"/>
              <w:jc w:val="center"/>
              <w:rPr>
                <w:rFonts w:ascii="Times New Roman" w:hAnsi="Times New Roman"/>
                <w:sz w:val="28"/>
                <w:szCs w:val="28"/>
              </w:rPr>
            </w:pPr>
            <w:r>
              <w:rPr>
                <w:rFonts w:ascii="Times New Roman" w:hAnsi="Times New Roman"/>
                <w:sz w:val="28"/>
                <w:szCs w:val="28"/>
              </w:rPr>
              <w:t>Створюються умови для отримання фінансування на виконання наукових, науково-технічних про</w:t>
            </w:r>
            <w:r>
              <w:rPr>
                <w:rFonts w:ascii="Times New Roman" w:hAnsi="Times New Roman"/>
                <w:smallCaps w:val="0"/>
                <w:sz w:val="28"/>
                <w:szCs w:val="22"/>
                <w:cs w:val="0"/>
                <w:spacing w:val="0"/>
                <w:w w:val="100"/>
                <w:position w:val="0"/>
                <w:snapToGrid w:val="1"/>
              </w:rPr>
              <w:t>є</w:t>
            </w:r>
            <w:r>
              <w:rPr>
                <w:rFonts w:ascii="Times New Roman" w:hAnsi="Times New Roman"/>
                <w:sz w:val="28"/>
                <w:szCs w:val="28"/>
              </w:rPr>
              <w:t>ктів на умовах співфінансування, тому у короткостроковій перспективі вплив негативний, оскільки доведеться шукати партнера, який зможе профінансувати проєкт згідно визначених вимог, в подальшому – позитивний, оскільки налагоджуватиметься комунікація та співпраця cуб’єктів господарювання із науковим середовищем, продукуватиметься більша кількість якісних інновацій, які будуть цікаві ринку та відповідатимуть його запиту, а також передбачається отримання фінансування за результатами конкурсу</w:t>
            </w:r>
          </w:p>
        </w:tc>
      </w:tr>
    </w:tbl>
    <w:p>
      <w:pPr>
        <w:spacing w:lineRule="auto" w:line="240" w:beforeAutospacing="0" w:afterAutospacing="0"/>
        <w:rPr>
          <w:rFonts w:ascii="Times New Roman" w:hAnsi="Times New Roman"/>
          <w:sz w:val="24"/>
          <w:szCs w:val="24"/>
        </w:rPr>
      </w:pPr>
    </w:p>
    <w:p>
      <w:pPr>
        <w:spacing w:lineRule="auto" w:line="240" w:beforeAutospacing="0" w:afterAutospacing="0"/>
        <w:rPr>
          <w:rFonts w:ascii="Times New Roman" w:hAnsi="Times New Roman"/>
          <w:sz w:val="24"/>
          <w:szCs w:val="24"/>
        </w:rPr>
      </w:pPr>
    </w:p>
    <w:p>
      <w:pPr>
        <w:spacing w:lineRule="auto" w:line="240" w:beforeAutospacing="0" w:afterAutospacing="0"/>
        <w:rPr>
          <w:rFonts w:ascii="Times New Roman" w:hAnsi="Times New Roman"/>
          <w:sz w:val="28"/>
          <w:szCs w:val="28"/>
        </w:rPr>
      </w:pPr>
      <w:r>
        <w:rPr>
          <w:rFonts w:ascii="Times New Roman" w:hAnsi="Times New Roman"/>
          <w:b w:val="1"/>
          <w:sz w:val="28"/>
          <w:szCs w:val="28"/>
        </w:rPr>
        <w:t>Міністр освіти і науки України</w:t>
        <w:tab/>
        <w:tab/>
        <w:tab/>
        <w:t xml:space="preserve">        </w:t>
      </w:r>
      <w:r>
        <w:rPr>
          <w:rFonts w:ascii="Times New Roman" w:hAnsi="Times New Roman"/>
          <w:b w:val="1"/>
          <w:sz w:val="28"/>
        </w:rPr>
        <w:t>Сергій ШКАРЛЕТ</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____ » _____________ 2023 року</w:t>
      </w:r>
    </w:p>
    <w:p>
      <w:pPr>
        <w:shd w:val="clear" w:fill="FFFFFF"/>
        <w:ind w:firstLine="708"/>
        <w:jc w:val="both"/>
        <w:rPr>
          <w:rFonts w:ascii="Times New Roman" w:hAnsi="Times New Roman"/>
          <w:sz w:val="28"/>
          <w:szCs w:val="28"/>
        </w:rPr>
      </w:pPr>
    </w:p>
    <w:p>
      <w:pPr>
        <w:shd w:val="clear" w:fill="FFFFFF"/>
        <w:spacing w:before="240" w:after="240" w:beforeAutospacing="0" w:afterAutospacing="0"/>
        <w:jc w:val="both"/>
        <w:rPr>
          <w:rFonts w:ascii="Times New Roman" w:hAnsi="Times New Roman"/>
          <w:sz w:val="28"/>
          <w:szCs w:val="28"/>
        </w:rPr>
      </w:pPr>
    </w:p>
    <w:p>
      <w:pPr>
        <w:shd w:val="clear" w:fill="FFFFFF"/>
        <w:spacing w:before="240" w:after="240" w:beforeAutospacing="0" w:afterAutospacing="0"/>
        <w:jc w:val="both"/>
        <w:rPr>
          <w:rFonts w:ascii="Times New Roman" w:hAnsi="Times New Roman"/>
          <w:sz w:val="28"/>
          <w:szCs w:val="28"/>
        </w:rPr>
      </w:pPr>
    </w:p>
    <w:p>
      <w:pPr>
        <w:shd w:val="clear" w:fill="FFFFFF"/>
        <w:ind w:firstLine="450"/>
        <w:jc w:val="both"/>
        <w:rPr>
          <w:rFonts w:ascii="Times New Roman" w:hAnsi="Times New Roman"/>
          <w:sz w:val="28"/>
          <w:szCs w:val="28"/>
        </w:rPr>
      </w:pPr>
    </w:p>
    <w:p>
      <w:pPr>
        <w:shd w:val="clear" w:fill="FFFFFF"/>
        <w:spacing w:lineRule="auto" w:line="256" w:beforeAutospacing="0" w:afterAutospacing="0"/>
        <w:ind w:firstLine="720"/>
        <w:jc w:val="both"/>
        <w:rPr>
          <w:rFonts w:ascii="Times New Roman" w:hAnsi="Times New Roman"/>
          <w:sz w:val="28"/>
          <w:szCs w:val="28"/>
        </w:rPr>
      </w:pPr>
    </w:p>
    <w:sectPr>
      <w:type w:val="nextPage"/>
      <w:pgSz w:w="11909" w:h="16834"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w:abstractNum w:abstractNumId="0">
    <w:nsid w:val="631EB37F"/>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num w:numId="1">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sz w:val="22"/>
        <w:szCs w:val="22"/>
        <w:lang w:val="uk" w:bidi="ar-SA" w:eastAsia="en-US"/>
      </w:rPr>
    </w:rPrDefault>
    <w:pPrDefault>
      <w:pPr>
        <w:keepNext w:val="0"/>
        <w:keepLines w:val="0"/>
        <w:pageBreakBefore w:val="0"/>
        <w:widowControl w:val="1"/>
        <w:suppressLineNumbers w:val="0"/>
        <w:shd w:val="clear" w:fill="auto"/>
        <w:suppressAutoHyphens w:val="0"/>
        <w:spacing w:lineRule="auto" w:line="276"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szCs w:val="40"/>
    </w:rPr>
  </w:style>
  <w:style w:type="paragraph" w:styleId="P2">
    <w:name w:val="heading 2"/>
    <w:basedOn w:val="P0"/>
    <w:next w:val="P0"/>
    <w:pPr>
      <w:keepNext w:val="1"/>
      <w:keepLines w:val="1"/>
      <w:spacing w:before="360" w:after="120" w:beforeAutospacing="0" w:afterAutospacing="0"/>
      <w:outlineLvl w:val="1"/>
    </w:pPr>
    <w:rPr>
      <w:sz w:val="32"/>
      <w:szCs w:val="32"/>
    </w:rPr>
  </w:style>
  <w:style w:type="paragraph" w:styleId="P3">
    <w:name w:val="heading 3"/>
    <w:basedOn w:val="P0"/>
    <w:next w:val="P0"/>
    <w:pPr>
      <w:keepNext w:val="1"/>
      <w:keepLines w:val="1"/>
      <w:spacing w:before="320" w:after="80" w:beforeAutospacing="0" w:afterAutospacing="0"/>
      <w:outlineLvl w:val="2"/>
    </w:pPr>
    <w:rPr>
      <w:color w:val="434343"/>
      <w:sz w:val="28"/>
      <w:szCs w:val="28"/>
    </w:rPr>
  </w:style>
  <w:style w:type="paragraph" w:styleId="P4">
    <w:name w:val="heading 4"/>
    <w:basedOn w:val="P0"/>
    <w:next w:val="P0"/>
    <w:pPr>
      <w:keepNext w:val="1"/>
      <w:keepLines w:val="1"/>
      <w:spacing w:before="280" w:after="80" w:beforeAutospacing="0" w:afterAutospacing="0"/>
      <w:outlineLvl w:val="3"/>
    </w:pPr>
    <w:rPr>
      <w:color w:val="666666"/>
      <w:sz w:val="24"/>
      <w:szCs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szCs w:val="52"/>
    </w:rPr>
  </w:style>
  <w:style w:type="paragraph" w:styleId="P8">
    <w:name w:val="Subtitle"/>
    <w:basedOn w:val="P0"/>
    <w:next w:val="P0"/>
    <w:pPr>
      <w:keepNext w:val="1"/>
      <w:keepLines w:val="1"/>
      <w:spacing w:after="320" w:beforeAutospacing="0" w:afterAutospacing="0"/>
    </w:pPr>
    <w:rPr>
      <w:color w:val="666666"/>
      <w:sz w:val="30"/>
      <w:szCs w:val="30"/>
    </w:rPr>
  </w:style>
  <w:style w:type="paragraph" w:styleId="P9">
    <w:name w:val="Normal (Web)"/>
    <w:basedOn w:val="P0"/>
    <w:pPr>
      <w:spacing w:lineRule="auto" w:line="240" w:before="100" w:after="100" w:beforeAutospacing="1" w:afterAutospacing="1"/>
    </w:pPr>
    <w:rPr>
      <w:rFonts w:ascii="Times New Roman" w:hAnsi="Times New Roman"/>
      <w:sz w:val="24"/>
      <w:szCs w:val="24"/>
      <w:lang w:val="en-US"/>
    </w:rPr>
  </w:style>
  <w:style w:type="paragraph" w:styleId="P10">
    <w:name w:val="rvps12"/>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rvts46"/>
    <w:rPr/>
  </w:style>
  <w:style w:type="character" w:styleId="C5">
    <w:name w:val="rvts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
    <w:basedOn w:val="T0"/>
    <w:tblPr>
      <w:tblStyleRowBandSize w:val="1"/>
      <w:tblStyleColBandSize w:val="1"/>
      <w:tblInd w:w="0" w:type="dxa"/>
      <w:tblCellMar>
        <w:top w:w="15" w:type="dxa"/>
        <w:left w:w="15" w:type="dxa"/>
        <w:bottom w:w="15" w:type="dxa"/>
        <w:right w:w="15"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earch.ligazakon.ua/l_doc2.nsf/link1/KP190874.html" TargetMode="External" /><Relationship Id="R3" Type="http://schemas.openxmlformats.org/officeDocument/2006/relationships/hyperlink" Target="https://zakon.rada.gov.ua/laws/show/971-2019-%D0%BF" TargetMode="External" /><Relationship Id="R4" Type="http://schemas.openxmlformats.org/officeDocument/2006/relationships/hyperlink" Target="https://zakon.rada.gov.ua/laws/show/419-2021-%D0%BF"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2023-01-02T09:59:00Z</dcterms:created>
  <cp:lastModifiedBy>erp_adm</cp:lastModifiedBy>
  <dcterms:modified xsi:type="dcterms:W3CDTF">2023-01-02T12:26:53Z</dcterms:modified>
  <cp:revision>11</cp:revision>
</cp:coreProperties>
</file>