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1D" w:rsidRPr="00F42F77" w:rsidRDefault="008D621D" w:rsidP="008D621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77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8D621D" w:rsidRPr="00F42F77" w:rsidRDefault="00B13950" w:rsidP="008D621D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</w:t>
      </w:r>
      <w:r w:rsidR="008D621D" w:rsidRPr="00F42F77">
        <w:rPr>
          <w:sz w:val="28"/>
          <w:szCs w:val="28"/>
          <w:lang w:val="uk-UA"/>
        </w:rPr>
        <w:t xml:space="preserve">кту наказу Міністерства освіти і науки України </w:t>
      </w:r>
    </w:p>
    <w:p w:rsidR="008D621D" w:rsidRPr="00F42F77" w:rsidRDefault="008D621D" w:rsidP="00B1395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42F77">
        <w:rPr>
          <w:sz w:val="28"/>
          <w:szCs w:val="28"/>
          <w:lang w:val="uk-UA"/>
        </w:rPr>
        <w:t>«</w:t>
      </w:r>
      <w:r w:rsidRPr="00B13950">
        <w:rPr>
          <w:kern w:val="28"/>
          <w:sz w:val="28"/>
          <w:szCs w:val="28"/>
          <w:lang w:val="uk-UA" w:eastAsia="uk-UA"/>
        </w:rPr>
        <w:t xml:space="preserve">Про затвердження </w:t>
      </w:r>
      <w:r w:rsidR="00B13950" w:rsidRPr="00B13950">
        <w:rPr>
          <w:kern w:val="28"/>
          <w:sz w:val="28"/>
          <w:szCs w:val="28"/>
          <w:lang w:val="uk-UA" w:eastAsia="uk-UA"/>
        </w:rPr>
        <w:t>Типов</w:t>
      </w:r>
      <w:r w:rsidR="00B13950">
        <w:rPr>
          <w:kern w:val="28"/>
          <w:sz w:val="28"/>
          <w:szCs w:val="28"/>
          <w:lang w:val="uk-UA" w:eastAsia="uk-UA"/>
        </w:rPr>
        <w:t>ого</w:t>
      </w:r>
      <w:r w:rsidR="00B13950" w:rsidRPr="00B13950">
        <w:rPr>
          <w:kern w:val="28"/>
          <w:sz w:val="28"/>
          <w:szCs w:val="28"/>
          <w:lang w:val="uk-UA" w:eastAsia="uk-UA"/>
        </w:rPr>
        <w:t xml:space="preserve"> положення про організацію освітнього процесу в закладах фахової передвищої освіти</w:t>
      </w:r>
      <w:r w:rsidRPr="00F42F77">
        <w:rPr>
          <w:sz w:val="28"/>
          <w:szCs w:val="28"/>
          <w:lang w:val="uk-UA"/>
        </w:rPr>
        <w:t>»</w:t>
      </w:r>
    </w:p>
    <w:p w:rsidR="00E0258E" w:rsidRPr="00F42F77" w:rsidRDefault="00E0258E">
      <w:pPr>
        <w:rPr>
          <w:sz w:val="28"/>
          <w:szCs w:val="28"/>
        </w:rPr>
      </w:pPr>
    </w:p>
    <w:p w:rsidR="008D621D" w:rsidRPr="00F42F77" w:rsidRDefault="008D621D" w:rsidP="00587D6A">
      <w:pPr>
        <w:pStyle w:val="1"/>
        <w:spacing w:before="36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77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F42F77">
        <w:rPr>
          <w:rFonts w:ascii="Times New Roman" w:hAnsi="Times New Roman" w:cs="Times New Roman"/>
          <w:b/>
          <w:bCs/>
          <w:sz w:val="28"/>
          <w:szCs w:val="28"/>
        </w:rPr>
        <w:t>Визначення проблеми</w:t>
      </w:r>
    </w:p>
    <w:p w:rsidR="00E76D57" w:rsidRDefault="00E76D57" w:rsidP="0079398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D57">
        <w:rPr>
          <w:rFonts w:ascii="Times New Roman" w:hAnsi="Times New Roman" w:cs="Times New Roman"/>
          <w:sz w:val="28"/>
          <w:szCs w:val="28"/>
        </w:rPr>
        <w:t>У 2019 році Верховною радою України прийнято Закон України «Про фахову передвищу освіту», відповідно до якого у вітчизняній системі освіти запроваджено</w:t>
      </w:r>
      <w:r w:rsidR="009A20EF">
        <w:rPr>
          <w:rFonts w:ascii="Times New Roman" w:hAnsi="Times New Roman" w:cs="Times New Roman"/>
          <w:sz w:val="28"/>
          <w:szCs w:val="28"/>
        </w:rPr>
        <w:t xml:space="preserve"> новий рівень освіти</w:t>
      </w:r>
      <w:r w:rsidRPr="00E76D57">
        <w:rPr>
          <w:rFonts w:ascii="Times New Roman" w:hAnsi="Times New Roman" w:cs="Times New Roman"/>
          <w:sz w:val="28"/>
          <w:szCs w:val="28"/>
        </w:rPr>
        <w:t xml:space="preserve"> </w:t>
      </w:r>
      <w:r w:rsidR="009A20EF">
        <w:rPr>
          <w:rFonts w:ascii="Times New Roman" w:hAnsi="Times New Roman" w:cs="Times New Roman"/>
          <w:sz w:val="28"/>
          <w:szCs w:val="28"/>
        </w:rPr>
        <w:t>–</w:t>
      </w:r>
      <w:r w:rsidRPr="00E76D57">
        <w:rPr>
          <w:rFonts w:ascii="Times New Roman" w:hAnsi="Times New Roman" w:cs="Times New Roman"/>
          <w:sz w:val="28"/>
          <w:szCs w:val="28"/>
        </w:rPr>
        <w:t xml:space="preserve"> фахової передвищої</w:t>
      </w:r>
    </w:p>
    <w:p w:rsidR="00C63A26" w:rsidRDefault="00C63A26" w:rsidP="0079398E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законодавства з</w:t>
      </w:r>
      <w:r w:rsidRPr="00C63A26">
        <w:rPr>
          <w:rFonts w:ascii="Times New Roman" w:hAnsi="Times New Roman" w:cs="Times New Roman"/>
          <w:sz w:val="28"/>
          <w:szCs w:val="28"/>
        </w:rPr>
        <w:t>аклад фахової передвищої освіти самостійно вирішує питання організації освітнього процесу</w:t>
      </w:r>
      <w:r>
        <w:rPr>
          <w:rFonts w:ascii="Times New Roman" w:hAnsi="Times New Roman" w:cs="Times New Roman"/>
          <w:sz w:val="28"/>
          <w:szCs w:val="28"/>
        </w:rPr>
        <w:t>, який розглядається як діяльність, с</w:t>
      </w:r>
      <w:r w:rsidRPr="00C63A26">
        <w:rPr>
          <w:rFonts w:ascii="Times New Roman" w:hAnsi="Times New Roman" w:cs="Times New Roman"/>
          <w:sz w:val="28"/>
          <w:szCs w:val="28"/>
        </w:rPr>
        <w:t>прямована на передачу, засвоєння, примноження і використання знань, умінь та інших компетентностей у осіб, які здобувають освіту, а також на формування гармонійно розвиненої особистості.</w:t>
      </w:r>
      <w:r w:rsidR="009A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A26" w:rsidRDefault="00C63A26" w:rsidP="0079398E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A26">
        <w:rPr>
          <w:rFonts w:ascii="Times New Roman" w:hAnsi="Times New Roman" w:cs="Times New Roman"/>
          <w:sz w:val="28"/>
          <w:szCs w:val="28"/>
        </w:rPr>
        <w:t>Положення про організацію освітнього процесу в закладі фахової передвищої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розробляється</w:t>
      </w:r>
      <w:r w:rsidRPr="00C63A26">
        <w:rPr>
          <w:rFonts w:ascii="Times New Roman" w:hAnsi="Times New Roman" w:cs="Times New Roman"/>
          <w:sz w:val="28"/>
          <w:szCs w:val="28"/>
        </w:rPr>
        <w:t xml:space="preserve"> на підставі Типового положення про організацію освітнього процесу в зак</w:t>
      </w:r>
      <w:r>
        <w:rPr>
          <w:rFonts w:ascii="Times New Roman" w:hAnsi="Times New Roman" w:cs="Times New Roman"/>
          <w:sz w:val="28"/>
          <w:szCs w:val="28"/>
        </w:rPr>
        <w:t>ладах фахової передвищої освіти (далі – Типове положення) та має бути затверджено</w:t>
      </w:r>
      <w:r w:rsidRPr="00C63A26">
        <w:rPr>
          <w:rFonts w:ascii="Times New Roman" w:hAnsi="Times New Roman" w:cs="Times New Roman"/>
          <w:sz w:val="28"/>
          <w:szCs w:val="28"/>
        </w:rPr>
        <w:t xml:space="preserve"> колегіальним органом управління закладу фахової передвищої освіти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3A26">
        <w:rPr>
          <w:rFonts w:ascii="Times New Roman" w:hAnsi="Times New Roman" w:cs="Times New Roman"/>
          <w:sz w:val="28"/>
          <w:szCs w:val="28"/>
        </w:rPr>
        <w:t>Положення про організацію освітнього процесу в закладі фахової передвищої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визначає </w:t>
      </w:r>
      <w:r w:rsidR="009A20EF">
        <w:rPr>
          <w:rFonts w:ascii="Times New Roman" w:hAnsi="Times New Roman" w:cs="Times New Roman"/>
          <w:sz w:val="28"/>
          <w:szCs w:val="28"/>
        </w:rPr>
        <w:t xml:space="preserve">та унормовує </w:t>
      </w:r>
      <w:r>
        <w:rPr>
          <w:rFonts w:ascii="Times New Roman" w:hAnsi="Times New Roman" w:cs="Times New Roman"/>
          <w:sz w:val="28"/>
          <w:szCs w:val="28"/>
        </w:rPr>
        <w:t>основні</w:t>
      </w:r>
      <w:r w:rsidR="005E566A">
        <w:rPr>
          <w:rFonts w:ascii="Times New Roman" w:hAnsi="Times New Roman" w:cs="Times New Roman"/>
          <w:sz w:val="28"/>
          <w:szCs w:val="28"/>
        </w:rPr>
        <w:t xml:space="preserve"> вимоги до всіх складових освітнього процесу, метою </w:t>
      </w:r>
      <w:r w:rsidR="005E566A" w:rsidRPr="004D14EC">
        <w:rPr>
          <w:rFonts w:ascii="Times New Roman" w:hAnsi="Times New Roman" w:cs="Times New Roman"/>
          <w:sz w:val="28"/>
          <w:szCs w:val="28"/>
        </w:rPr>
        <w:t>якого є реалізація особистісного потенціалу здобувача освіти, розвитку його наукових, творчих (креативних) та інноваційних здібностей, задоволення потреб економіки та суспільства в компетентних фахівцях, конкурентоздатних на національному та міжнародному ринках праці.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0EF" w:rsidRDefault="00C63A26" w:rsidP="00CB7342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законодавства Типове положення </w:t>
      </w:r>
      <w:r w:rsidRPr="00C63A26">
        <w:rPr>
          <w:rFonts w:ascii="Times New Roman" w:hAnsi="Times New Roman" w:cs="Times New Roman"/>
          <w:sz w:val="28"/>
          <w:szCs w:val="28"/>
        </w:rPr>
        <w:t>затверджується центральним органом виконавчої влади у сфері освіти і науки.</w:t>
      </w:r>
      <w:r w:rsidR="00CB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6A" w:rsidRPr="00CB7342" w:rsidRDefault="005E566A" w:rsidP="00CB7342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342">
        <w:rPr>
          <w:rFonts w:ascii="Times New Roman" w:hAnsi="Times New Roman" w:cs="Times New Roman"/>
          <w:sz w:val="28"/>
          <w:szCs w:val="28"/>
        </w:rPr>
        <w:t xml:space="preserve">Проблема полягає у відсутності нормативного забезпечення організації освітнього процесу в закладах фахової передвищої освіти, зокрема, </w:t>
      </w:r>
      <w:r w:rsidR="00CB7342" w:rsidRPr="00CB7342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CB7342">
        <w:rPr>
          <w:rFonts w:ascii="Times New Roman" w:hAnsi="Times New Roman" w:cs="Times New Roman"/>
          <w:sz w:val="28"/>
          <w:szCs w:val="28"/>
        </w:rPr>
        <w:t xml:space="preserve">різних </w:t>
      </w:r>
      <w:r w:rsidR="00CB7342" w:rsidRPr="00CB7342">
        <w:rPr>
          <w:rFonts w:ascii="Times New Roman" w:hAnsi="Times New Roman" w:cs="Times New Roman"/>
          <w:sz w:val="28"/>
          <w:szCs w:val="28"/>
        </w:rPr>
        <w:t xml:space="preserve">форм освітнього процесу та види навчальних занять </w:t>
      </w:r>
      <w:r w:rsidR="00CB7342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7342">
        <w:rPr>
          <w:rFonts w:ascii="Times New Roman" w:hAnsi="Times New Roman" w:cs="Times New Roman"/>
          <w:sz w:val="28"/>
          <w:szCs w:val="28"/>
        </w:rPr>
        <w:t>різних форм здобуття фахової передвищої освіти .</w:t>
      </w:r>
    </w:p>
    <w:p w:rsidR="005E566A" w:rsidRPr="00CB7342" w:rsidRDefault="005E566A" w:rsidP="00CB7342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342">
        <w:rPr>
          <w:rFonts w:ascii="Times New Roman" w:hAnsi="Times New Roman" w:cs="Times New Roman"/>
          <w:sz w:val="28"/>
          <w:szCs w:val="28"/>
        </w:rPr>
        <w:t xml:space="preserve">Тому визначення засад організації, проведення, оцінювання та забезпечення </w:t>
      </w:r>
      <w:r w:rsidR="00CB7342" w:rsidRPr="00CB7342">
        <w:rPr>
          <w:rFonts w:ascii="Times New Roman" w:hAnsi="Times New Roman" w:cs="Times New Roman"/>
          <w:sz w:val="28"/>
          <w:szCs w:val="28"/>
        </w:rPr>
        <w:t>освітнього процесу в закладах</w:t>
      </w:r>
      <w:r w:rsidRPr="00CB7342">
        <w:rPr>
          <w:rFonts w:ascii="Times New Roman" w:hAnsi="Times New Roman" w:cs="Times New Roman"/>
          <w:sz w:val="28"/>
          <w:szCs w:val="28"/>
        </w:rPr>
        <w:t xml:space="preserve"> фахової передвищої освіти є важливим завданням держави з точки зору забезпечення якісної підготовки фахівців.</w:t>
      </w:r>
    </w:p>
    <w:p w:rsidR="005E566A" w:rsidRPr="00CB7342" w:rsidRDefault="005E566A" w:rsidP="00CB7342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342">
        <w:rPr>
          <w:rFonts w:ascii="Times New Roman" w:hAnsi="Times New Roman" w:cs="Times New Roman"/>
          <w:sz w:val="28"/>
          <w:szCs w:val="28"/>
        </w:rPr>
        <w:t xml:space="preserve">В Україні функціонує 750 закладів фахової передвищої освіти, в яких здобувають ступінь фахового молодшого бакалавра понад 360 тис. осіб.  </w:t>
      </w:r>
    </w:p>
    <w:p w:rsidR="005E566A" w:rsidRPr="00CB174C" w:rsidRDefault="005E566A" w:rsidP="00CB7342">
      <w:pPr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7342">
        <w:rPr>
          <w:rFonts w:ascii="Times New Roman" w:hAnsi="Times New Roman" w:cs="Times New Roman"/>
          <w:sz w:val="28"/>
          <w:szCs w:val="28"/>
        </w:rPr>
        <w:t xml:space="preserve">Прийняття проєкта акта матиме вплив на значну кількість суб’єктів господарювання (750 закладів освіти) та здобувачів освіти (понад 360 тис. осіб). Зокрема, сприятиме удосконаленню освітніх програм, урізноманітненню освітньої траєкторії здобувачів освіти, </w:t>
      </w:r>
      <w:r w:rsidR="009A20EF">
        <w:rPr>
          <w:rFonts w:ascii="Times New Roman" w:hAnsi="Times New Roman" w:cs="Times New Roman"/>
          <w:sz w:val="28"/>
          <w:szCs w:val="28"/>
        </w:rPr>
        <w:t xml:space="preserve">удосконаленню всіх складових освітнього процесу, </w:t>
      </w:r>
      <w:r w:rsidR="009A20EF" w:rsidRPr="00CB7342">
        <w:rPr>
          <w:rFonts w:ascii="Times New Roman" w:hAnsi="Times New Roman" w:cs="Times New Roman"/>
          <w:sz w:val="28"/>
          <w:szCs w:val="28"/>
        </w:rPr>
        <w:t>покращенню якості надання освітніх послуг та підготовки фахівців відповідно до вимог ринку праці та конкретних роботодавців</w:t>
      </w:r>
      <w:r w:rsidRPr="00CB174C">
        <w:rPr>
          <w:rFonts w:ascii="Times New Roman" w:hAnsi="Times New Roman" w:cs="Times New Roman"/>
          <w:sz w:val="28"/>
          <w:szCs w:val="28"/>
        </w:rPr>
        <w:t xml:space="preserve">. Очікується, що </w:t>
      </w:r>
      <w:r w:rsidRPr="00CB174C">
        <w:rPr>
          <w:rFonts w:ascii="Times New Roman" w:hAnsi="Times New Roman" w:cs="Times New Roman"/>
          <w:sz w:val="28"/>
          <w:szCs w:val="28"/>
        </w:rPr>
        <w:lastRenderedPageBreak/>
        <w:t xml:space="preserve">заклади фахової передвищої </w:t>
      </w:r>
      <w:r w:rsidR="009A20EF">
        <w:rPr>
          <w:rFonts w:ascii="Times New Roman" w:hAnsi="Times New Roman" w:cs="Times New Roman"/>
          <w:sz w:val="28"/>
          <w:szCs w:val="28"/>
        </w:rPr>
        <w:t>с</w:t>
      </w:r>
      <w:r w:rsidRPr="00CB174C">
        <w:rPr>
          <w:rFonts w:ascii="Times New Roman" w:hAnsi="Times New Roman" w:cs="Times New Roman"/>
          <w:sz w:val="28"/>
          <w:szCs w:val="28"/>
        </w:rPr>
        <w:t>тануть більш привабливими для здобувачів фахової передвищої освіти.</w:t>
      </w:r>
    </w:p>
    <w:p w:rsidR="009A20EF" w:rsidRPr="00FE7CE1" w:rsidRDefault="009A20EF" w:rsidP="009A20E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E7CE1">
        <w:rPr>
          <w:rFonts w:ascii="Times New Roman" w:hAnsi="Times New Roman" w:cs="Times New Roman"/>
          <w:sz w:val="28"/>
          <w:szCs w:val="28"/>
        </w:rPr>
        <w:t xml:space="preserve">Проєкт </w:t>
      </w:r>
      <w:r w:rsidRPr="00FE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наказу Міністерства освіти і науки України «</w:t>
      </w:r>
      <w:r w:rsidRPr="00FE7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Pr="00FE7CE1">
        <w:rPr>
          <w:rFonts w:ascii="Times New Roman" w:hAnsi="Times New Roman" w:cs="Times New Roman"/>
          <w:kern w:val="28"/>
          <w:sz w:val="28"/>
          <w:szCs w:val="28"/>
          <w:lang w:eastAsia="uk-UA"/>
        </w:rPr>
        <w:t>Типового положення про організацію освітнього процесу в закладах фахової передвищої освіти</w:t>
      </w:r>
      <w:r w:rsidRPr="00FE7CE1">
        <w:rPr>
          <w:rFonts w:ascii="Times New Roman" w:hAnsi="Times New Roman" w:cs="Times New Roman"/>
          <w:sz w:val="28"/>
          <w:szCs w:val="28"/>
        </w:rPr>
        <w:t xml:space="preserve">», розроблений </w:t>
      </w:r>
      <w:r w:rsidRPr="00FE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Міністерством освіти і науки України </w:t>
      </w:r>
      <w:bookmarkStart w:id="0" w:name="_GoBack"/>
      <w:r w:rsidRPr="00FE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виконання </w:t>
      </w:r>
      <w:r w:rsidRPr="00FE7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частини другої статті 45 </w:t>
      </w:r>
      <w:r w:rsidRPr="00FE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Закону України «Про фахову передвищу освіту»</w:t>
      </w:r>
      <w:bookmarkEnd w:id="0"/>
      <w:r w:rsidRPr="00FE7CE1">
        <w:rPr>
          <w:rFonts w:ascii="Times New Roman" w:hAnsi="Times New Roman" w:cs="Times New Roman"/>
          <w:sz w:val="28"/>
          <w:szCs w:val="28"/>
        </w:rPr>
        <w:t>.</w:t>
      </w:r>
      <w:r w:rsidRPr="00FE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7254E3" w:rsidRPr="00F42F77" w:rsidRDefault="007254E3" w:rsidP="007254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Проєкт акта унормовує питання </w:t>
      </w:r>
      <w:r w:rsidR="000B2045">
        <w:rPr>
          <w:rFonts w:ascii="Times New Roman" w:hAnsi="Times New Roman"/>
          <w:color w:val="000000" w:themeColor="text1"/>
          <w:sz w:val="28"/>
          <w:szCs w:val="28"/>
        </w:rPr>
        <w:t xml:space="preserve">організації освітнього процесу </w:t>
      </w:r>
      <w:r w:rsidR="000B2045" w:rsidRPr="00FE7CE1">
        <w:rPr>
          <w:rFonts w:ascii="Times New Roman" w:hAnsi="Times New Roman" w:cs="Times New Roman"/>
          <w:kern w:val="28"/>
          <w:sz w:val="28"/>
          <w:szCs w:val="28"/>
          <w:lang w:eastAsia="uk-UA"/>
        </w:rPr>
        <w:t>в закладах</w:t>
      </w:r>
      <w:r w:rsidR="000B2045"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фахової передвищої освіти, </w:t>
      </w:r>
      <w:r w:rsidR="000B2045">
        <w:rPr>
          <w:rFonts w:ascii="Times New Roman" w:hAnsi="Times New Roman"/>
          <w:color w:val="000000" w:themeColor="text1"/>
          <w:sz w:val="28"/>
          <w:szCs w:val="28"/>
        </w:rPr>
        <w:t>сприяє підвищенню</w:t>
      </w:r>
      <w:r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 якості фахо</w:t>
      </w:r>
      <w:r w:rsidR="000B2045">
        <w:rPr>
          <w:rFonts w:ascii="Times New Roman" w:hAnsi="Times New Roman"/>
          <w:color w:val="000000" w:themeColor="text1"/>
          <w:sz w:val="28"/>
          <w:szCs w:val="28"/>
        </w:rPr>
        <w:t>вої передвищої освіти в Україні</w:t>
      </w:r>
      <w:r w:rsidRPr="00F42F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21AA" w:rsidRPr="00F42F77" w:rsidRDefault="00F6257E" w:rsidP="000265F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прийняттям Закону України «Про фахову передвищу освіту», а також запровадженням у цій сфері нових принципів та підходів, затвердження  нормативно-правового акта </w:t>
      </w:r>
      <w:r w:rsidR="000B2045" w:rsidRPr="00FE7CE1">
        <w:rPr>
          <w:rFonts w:ascii="Times New Roman" w:hAnsi="Times New Roman" w:cs="Times New Roman"/>
          <w:kern w:val="28"/>
          <w:sz w:val="28"/>
          <w:szCs w:val="28"/>
          <w:lang w:eastAsia="uk-UA"/>
        </w:rPr>
        <w:t xml:space="preserve">про організацію освітнього процесу </w:t>
      </w:r>
      <w:r w:rsidRPr="00F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закладів фахової передвищої освіти сьогодні є необхідністю. </w:t>
      </w:r>
    </w:p>
    <w:p w:rsidR="00B730FB" w:rsidRPr="00F42F77" w:rsidRDefault="00B730FB" w:rsidP="0079398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2F77">
        <w:rPr>
          <w:rFonts w:ascii="Times New Roman" w:hAnsi="Times New Roman" w:cs="Times New Roman"/>
          <w:sz w:val="28"/>
          <w:szCs w:val="28"/>
        </w:rPr>
        <w:t>Основні групи (підгрупи), на які проблема справляє вплив: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2819"/>
        <w:gridCol w:w="2432"/>
      </w:tblGrid>
      <w:tr w:rsidR="00B730FB" w:rsidRPr="00F42F77" w:rsidTr="00CE527D">
        <w:tc>
          <w:tcPr>
            <w:tcW w:w="227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1464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126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B730FB" w:rsidRPr="00F42F77" w:rsidTr="00CE527D">
        <w:tc>
          <w:tcPr>
            <w:tcW w:w="227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1464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FB" w:rsidRPr="00F42F77" w:rsidTr="00CE527D">
        <w:tc>
          <w:tcPr>
            <w:tcW w:w="227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1464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FB" w:rsidRPr="00F42F77" w:rsidTr="00CE527D">
        <w:tc>
          <w:tcPr>
            <w:tcW w:w="227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господарювання,</w:t>
            </w:r>
          </w:p>
        </w:tc>
        <w:tc>
          <w:tcPr>
            <w:tcW w:w="1464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3" w:type="pct"/>
          </w:tcPr>
          <w:p w:rsidR="00B730FB" w:rsidRPr="00F42F77" w:rsidRDefault="00B730FB" w:rsidP="00B730FB">
            <w:pPr>
              <w:shd w:val="clear" w:color="auto" w:fill="FFFFFF"/>
              <w:ind w:firstLine="5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045" w:rsidRDefault="000B2045" w:rsidP="00F621AA">
      <w:pPr>
        <w:pStyle w:val="a7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B2045" w:rsidRPr="000B2045" w:rsidRDefault="000B2045" w:rsidP="000B2045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B204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Обґрунтування неможливості вирішення проблеми за допомогою ринкових механізмів:</w:t>
      </w:r>
    </w:p>
    <w:p w:rsidR="000B2045" w:rsidRPr="000B2045" w:rsidRDefault="000B2045" w:rsidP="000B2045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B20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Проблема не може бути розв’язана за допомогою ринкових механізмів, оскільки питання, що порушуються, не стосуються механізмів стихійного регулювання ціни, темпів і пропорцій суспільного виробництва. </w:t>
      </w:r>
      <w:r w:rsidR="00F760DF">
        <w:rPr>
          <w:rFonts w:ascii="Times New Roman" w:hAnsi="Times New Roman" w:cs="Times New Roman"/>
          <w:sz w:val="28"/>
          <w:szCs w:val="28"/>
          <w:lang w:val="uk-UA"/>
        </w:rPr>
        <w:t>Освітній процес в закладах</w:t>
      </w:r>
      <w:r w:rsidRPr="000B2045">
        <w:rPr>
          <w:rFonts w:ascii="Times New Roman" w:hAnsi="Times New Roman" w:cs="Times New Roman"/>
          <w:sz w:val="28"/>
          <w:szCs w:val="28"/>
          <w:lang w:val="uk-UA"/>
        </w:rPr>
        <w:t xml:space="preserve"> фахової передвищої освіти</w:t>
      </w:r>
      <w:r w:rsidRPr="000B20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є складовою освітньої </w:t>
      </w:r>
      <w:r w:rsidR="00F760DF">
        <w:rPr>
          <w:rFonts w:ascii="Times New Roman" w:hAnsi="Times New Roman" w:cs="Times New Roman"/>
          <w:color w:val="auto"/>
          <w:sz w:val="28"/>
          <w:szCs w:val="28"/>
          <w:lang w:val="uk-UA"/>
        </w:rPr>
        <w:t>системи.</w:t>
      </w:r>
      <w:r w:rsidRPr="000B20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760DF">
        <w:rPr>
          <w:rFonts w:ascii="Times New Roman" w:hAnsi="Times New Roman" w:cs="Times New Roman"/>
          <w:color w:val="auto"/>
          <w:sz w:val="28"/>
          <w:szCs w:val="28"/>
          <w:lang w:val="uk-UA"/>
        </w:rPr>
        <w:t>Його організація</w:t>
      </w:r>
      <w:r w:rsidRPr="000B20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належить до компетенції закладу освіти і сфери його відповідальності. Вимоги щодо о</w:t>
      </w:r>
      <w:r w:rsidRPr="000B2045">
        <w:rPr>
          <w:rFonts w:ascii="Times New Roman" w:hAnsi="Times New Roman" w:cs="Times New Roman"/>
          <w:sz w:val="28"/>
          <w:szCs w:val="28"/>
          <w:lang w:val="uk-UA" w:eastAsia="uk-UA"/>
        </w:rPr>
        <w:t>рганізації, проведення, оцінювання</w:t>
      </w:r>
      <w:r w:rsidR="00F76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результатів</w:t>
      </w:r>
      <w:r w:rsidRPr="000B2045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0B20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забезпечення </w:t>
      </w:r>
      <w:r w:rsidR="00F760DF">
        <w:rPr>
          <w:rFonts w:ascii="Times New Roman" w:hAnsi="Times New Roman" w:cs="Times New Roman"/>
          <w:sz w:val="28"/>
          <w:szCs w:val="28"/>
          <w:lang w:val="uk-UA" w:eastAsia="uk-UA"/>
        </w:rPr>
        <w:t>освітнього процес в закладах</w:t>
      </w:r>
      <w:r w:rsidRPr="000B20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фахової передвищої освіти</w:t>
      </w:r>
      <w:r w:rsidRPr="000B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2045">
        <w:rPr>
          <w:rFonts w:ascii="Times New Roman" w:hAnsi="Times New Roman" w:cs="Times New Roman"/>
          <w:color w:val="auto"/>
          <w:sz w:val="28"/>
          <w:szCs w:val="28"/>
          <w:lang w:val="uk-UA"/>
        </w:rPr>
        <w:t>повинні бути узгодженими та уніфікованими.</w:t>
      </w:r>
    </w:p>
    <w:p w:rsidR="00B858B3" w:rsidRDefault="00B858B3" w:rsidP="000B2045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0B2045" w:rsidRPr="000B2045" w:rsidRDefault="000B2045" w:rsidP="000B2045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0B204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Обґрунтування неможливості вирішення проблеми за допомогою діючих регуляторних актів:</w:t>
      </w:r>
    </w:p>
    <w:p w:rsidR="000B2045" w:rsidRPr="000B2045" w:rsidRDefault="000B2045" w:rsidP="000B2045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B20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Проблема не може бути розв’язана за допомогою чинних законодавчих актів, оскільки сьогодні не існує нормативного акта, який би визначав 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засади організації, проведення, оцінювання </w:t>
      </w:r>
      <w:r w:rsidR="00F760DF"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результатів </w:t>
      </w:r>
      <w:r w:rsidR="00B858B3"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освітнього процесу в закладах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фахової передвищої освіти.</w:t>
      </w:r>
    </w:p>
    <w:p w:rsidR="000B2045" w:rsidRPr="00B858B3" w:rsidRDefault="000B2045" w:rsidP="000B2045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858B3">
        <w:rPr>
          <w:rFonts w:ascii="Times New Roman" w:hAnsi="Times New Roman" w:cs="Times New Roman"/>
          <w:color w:val="auto"/>
          <w:sz w:val="28"/>
          <w:szCs w:val="28"/>
          <w:lang w:val="uk-UA"/>
        </w:rPr>
        <w:t>Жоден чинний нормативно-правовий документ у сфері освіти не регулює зазначене питання.</w:t>
      </w:r>
    </w:p>
    <w:p w:rsidR="007A4C1D" w:rsidRPr="00F42F77" w:rsidRDefault="007A4C1D" w:rsidP="003E1A6A">
      <w:pPr>
        <w:spacing w:before="240" w:after="120" w:line="240" w:lineRule="auto"/>
        <w:ind w:firstLine="53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9E" w:rsidRPr="008D29F4" w:rsidRDefault="003E1A6A" w:rsidP="008D29F4">
      <w:pPr>
        <w:pStyle w:val="1"/>
        <w:spacing w:before="36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9F4">
        <w:rPr>
          <w:rFonts w:ascii="Times New Roman" w:hAnsi="Times New Roman" w:cs="Times New Roman"/>
          <w:b/>
          <w:sz w:val="28"/>
          <w:szCs w:val="28"/>
        </w:rPr>
        <w:t>ІІ. Цілі державного регулювання</w:t>
      </w:r>
    </w:p>
    <w:p w:rsidR="00D561BA" w:rsidRPr="008D29F4" w:rsidRDefault="00303968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Проєкт наказу розроблено з метою забезпечення організації та ефективного провадження освітнього процесу в закладах фахової передвищої освіти відповідно до статті 45 Закону України «Про фахову передвищу освіту», встановлення єдиних підходів і вимог щодо організації, проведення, оцінювання результатів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навчання 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забезпечення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освітнього процесу в закладах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фахової передвищої освіти.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Зазначену мету планується досягти за допомогою встановлення єдиних підходів і вимог 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організації освітнього процесу 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фахової передвищої освіти та затвердження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Типового п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оложення.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Цілями регулювання є:</w:t>
      </w:r>
    </w:p>
    <w:p w:rsid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удосконалення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навчальних планів та </w:t>
      </w: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освітньо-професійних програм підготовки здобувачів;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встановлення єдиних вимог до оцінювання та визнання результатів навчання;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покращення якості надання освітніх послуг;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покращення якості підготовки фахівців;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поліпшення практичної підготовки здобувачів фахової передвищої освіти;</w:t>
      </w:r>
    </w:p>
    <w:p w:rsid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D29F4">
        <w:rPr>
          <w:rFonts w:ascii="Times New Roman" w:hAnsi="Times New Roman" w:cs="Times New Roman"/>
          <w:color w:val="auto"/>
          <w:sz w:val="28"/>
          <w:szCs w:val="28"/>
          <w:lang w:val="uk-UA"/>
        </w:rPr>
        <w:t>зростання привабливості закладів освіти для здобувачів освіти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D29F4" w:rsidRPr="008D29F4" w:rsidRDefault="008D29F4" w:rsidP="008D29F4">
      <w:pPr>
        <w:pStyle w:val="Textbody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561BA" w:rsidRPr="008D29F4" w:rsidRDefault="00D561BA" w:rsidP="008D29F4">
      <w:pPr>
        <w:pStyle w:val="1"/>
        <w:spacing w:before="36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29F4">
        <w:rPr>
          <w:rFonts w:ascii="Times New Roman" w:hAnsi="Times New Roman" w:cs="Times New Roman"/>
          <w:b/>
          <w:sz w:val="28"/>
          <w:szCs w:val="28"/>
        </w:rPr>
        <w:t>ІІІ. Визначення та оцінка альтернативних способів досягнення цілей</w:t>
      </w:r>
    </w:p>
    <w:p w:rsidR="00D561BA" w:rsidRPr="00F42F77" w:rsidRDefault="00D561BA" w:rsidP="003230C3">
      <w:pPr>
        <w:pStyle w:val="1"/>
        <w:numPr>
          <w:ilvl w:val="0"/>
          <w:numId w:val="5"/>
        </w:numPr>
        <w:spacing w:before="60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F42F77">
        <w:rPr>
          <w:rFonts w:ascii="Times New Roman" w:hAnsi="Times New Roman" w:cs="Times New Roman"/>
          <w:bCs/>
          <w:sz w:val="28"/>
          <w:szCs w:val="28"/>
        </w:rPr>
        <w:t>Визначення альтернативних способів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8"/>
        <w:gridCol w:w="5940"/>
      </w:tblGrid>
      <w:tr w:rsidR="00D561BA" w:rsidRPr="00F42F77" w:rsidTr="000023F9">
        <w:tc>
          <w:tcPr>
            <w:tcW w:w="191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61BA" w:rsidRPr="00F42F77" w:rsidRDefault="00D561BA" w:rsidP="000023F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08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61BA" w:rsidRPr="00F42F77" w:rsidRDefault="00D561BA" w:rsidP="000023F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Опис альтернативи</w:t>
            </w:r>
          </w:p>
        </w:tc>
      </w:tr>
      <w:tr w:rsidR="00065D70" w:rsidRPr="00F42F77" w:rsidTr="003230C3">
        <w:trPr>
          <w:trHeight w:val="1061"/>
        </w:trPr>
        <w:tc>
          <w:tcPr>
            <w:tcW w:w="19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70" w:rsidRPr="00F42F77" w:rsidRDefault="00065D70" w:rsidP="00065D7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Альтернатива 1</w:t>
            </w:r>
          </w:p>
          <w:p w:rsidR="00065D70" w:rsidRPr="00F42F77" w:rsidRDefault="00065D70" w:rsidP="00065D7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Існуюча ситуація залишається без змін</w:t>
            </w:r>
          </w:p>
        </w:tc>
        <w:tc>
          <w:tcPr>
            <w:tcW w:w="308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Неприйняття відповідного нормативно-правового акта:</w:t>
            </w:r>
          </w:p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невиконання прямої норми закону України «Про фахову передвищу освіту» (</w:t>
            </w:r>
            <w:proofErr w:type="spellStart"/>
            <w:r w:rsidRPr="00065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частини</w:t>
            </w:r>
            <w:proofErr w:type="spellEnd"/>
            <w:r w:rsidRPr="00065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5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другої</w:t>
            </w:r>
            <w:proofErr w:type="spellEnd"/>
            <w:r w:rsidRPr="00065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5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статті</w:t>
            </w:r>
            <w:proofErr w:type="spellEnd"/>
            <w:r w:rsidRPr="00065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45</w:t>
            </w: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);</w:t>
            </w:r>
          </w:p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відсутність єдиних вимог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 оцінювання та визнання результатів навчання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;</w:t>
            </w:r>
          </w:p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відсутність підстав для визначення закладами вимог до організації освітнього процесу</w:t>
            </w: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;</w:t>
            </w:r>
          </w:p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погіршення</w:t>
            </w: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підготовку здобувачів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закладів фахової передвищої освіти</w:t>
            </w: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;</w:t>
            </w:r>
          </w:p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не сприятиме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плануванню та </w:t>
            </w: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удосконаленню освітньо-професійних програм.</w:t>
            </w:r>
          </w:p>
          <w:p w:rsidR="00065D70" w:rsidRPr="00065D70" w:rsidRDefault="00065D70" w:rsidP="00065D70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65D7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 xml:space="preserve">Припускається можливість несистемного регулювання існуючої проблеми закладами освіти в межах своєї автономії. </w:t>
            </w:r>
          </w:p>
        </w:tc>
      </w:tr>
      <w:tr w:rsidR="00D561BA" w:rsidRPr="00F42F77" w:rsidTr="00C30653">
        <w:trPr>
          <w:trHeight w:val="2587"/>
        </w:trPr>
        <w:tc>
          <w:tcPr>
            <w:tcW w:w="19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1BA" w:rsidRPr="00F42F77" w:rsidRDefault="00D561BA" w:rsidP="00926B2E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Альтернатива 2</w:t>
            </w:r>
          </w:p>
          <w:p w:rsidR="00057061" w:rsidRPr="00F42F77" w:rsidRDefault="00057061" w:rsidP="00D0796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Прийняття нормативного акта та проведення його державної реєстрації</w:t>
            </w:r>
          </w:p>
        </w:tc>
        <w:tc>
          <w:tcPr>
            <w:tcW w:w="308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30C3" w:rsidRPr="00EB7B51" w:rsidRDefault="00D561BA" w:rsidP="003230C3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Запропонований спосіб вирішення зазначеної проблеми є найбільш доцільним. </w:t>
            </w:r>
            <w:r w:rsidR="003230C3" w:rsidRPr="004426C2">
              <w:rPr>
                <w:rFonts w:ascii="Times New Roman" w:hAnsi="Times New Roman" w:cs="Times New Roman"/>
                <w:sz w:val="28"/>
                <w:szCs w:val="28"/>
              </w:rPr>
              <w:t xml:space="preserve">Запроваджуються єдині, чіткі, прості та зрозумілі вимоги щодо організації, проведення, </w:t>
            </w:r>
            <w:r w:rsidR="003230C3" w:rsidRPr="00EB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4426C2" w:rsidRPr="00EB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освітнього процесу в закладах фахової </w:t>
            </w:r>
            <w:r w:rsidR="003230C3" w:rsidRPr="00EB7B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передвищої освіти. </w:t>
            </w:r>
          </w:p>
          <w:p w:rsidR="00EB7B51" w:rsidRPr="00EB7B51" w:rsidRDefault="00EB7B51" w:rsidP="00EB7B51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51">
              <w:rPr>
                <w:rFonts w:ascii="Times New Roman" w:hAnsi="Times New Roman" w:cs="Times New Roman"/>
                <w:sz w:val="28"/>
                <w:szCs w:val="28"/>
              </w:rPr>
              <w:t xml:space="preserve">Унормовано підготовку Положення про організацію освітнього процесу в закладах фахової передвищої освіти. </w:t>
            </w:r>
          </w:p>
          <w:p w:rsidR="004426C2" w:rsidRPr="00EB7B51" w:rsidRDefault="00EB7B51" w:rsidP="004426C2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51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освітнього процесу </w:t>
            </w:r>
            <w:r w:rsidR="004426C2" w:rsidRPr="00EB7B51">
              <w:rPr>
                <w:rFonts w:ascii="Times New Roman" w:hAnsi="Times New Roman" w:cs="Times New Roman"/>
                <w:sz w:val="28"/>
                <w:szCs w:val="28"/>
              </w:rPr>
              <w:t xml:space="preserve">здійснюється відповідно до </w:t>
            </w:r>
            <w:r w:rsidRPr="00EB7B51">
              <w:rPr>
                <w:rFonts w:ascii="Times New Roman" w:hAnsi="Times New Roman" w:cs="Times New Roman"/>
                <w:sz w:val="28"/>
                <w:szCs w:val="28"/>
              </w:rPr>
              <w:t xml:space="preserve">єдиних </w:t>
            </w:r>
            <w:r w:rsidR="004426C2" w:rsidRPr="00EB7B51">
              <w:rPr>
                <w:rFonts w:ascii="Times New Roman" w:hAnsi="Times New Roman" w:cs="Times New Roman"/>
                <w:sz w:val="28"/>
                <w:szCs w:val="28"/>
              </w:rPr>
              <w:t>вимог.</w:t>
            </w:r>
          </w:p>
          <w:p w:rsidR="004426C2" w:rsidRPr="00EB7B51" w:rsidRDefault="004426C2" w:rsidP="004426C2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51">
              <w:rPr>
                <w:rFonts w:ascii="Times New Roman" w:hAnsi="Times New Roman" w:cs="Times New Roman"/>
                <w:sz w:val="28"/>
                <w:szCs w:val="28"/>
              </w:rPr>
              <w:t>Зростає якість освітньо-професійних програм підготовки здобувачів і якість надання освітніх послуг.</w:t>
            </w:r>
          </w:p>
          <w:p w:rsidR="004426C2" w:rsidRPr="00EB7B51" w:rsidRDefault="004426C2" w:rsidP="004426C2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51">
              <w:rPr>
                <w:rFonts w:ascii="Times New Roman" w:hAnsi="Times New Roman" w:cs="Times New Roman"/>
                <w:sz w:val="28"/>
                <w:szCs w:val="28"/>
              </w:rPr>
              <w:t>Випускники закладів фахової передвищої освіти конкурентоспроможні, затребувані на ринку праці.</w:t>
            </w:r>
          </w:p>
          <w:p w:rsidR="004426C2" w:rsidRPr="00EB7B51" w:rsidRDefault="004426C2" w:rsidP="00EB7B51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51">
              <w:rPr>
                <w:rFonts w:ascii="Times New Roman" w:hAnsi="Times New Roman" w:cs="Times New Roman"/>
                <w:sz w:val="28"/>
                <w:szCs w:val="28"/>
              </w:rPr>
              <w:t>Зростає популярність, авторитет, покращується репутація та імідж закладів фахової передвищої освіти серед майбутніх здобувачів та роботодавців.</w:t>
            </w:r>
          </w:p>
          <w:p w:rsidR="00057061" w:rsidRPr="004426C2" w:rsidRDefault="00AF245B" w:rsidP="00EB7B51">
            <w:pPr>
              <w:pStyle w:val="Textbody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7B51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EB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B51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B7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B51">
              <w:rPr>
                <w:rFonts w:ascii="Times New Roman" w:hAnsi="Times New Roman" w:cs="Times New Roman"/>
                <w:sz w:val="28"/>
                <w:szCs w:val="28"/>
              </w:rPr>
              <w:t>дотримано</w:t>
            </w:r>
            <w:proofErr w:type="spellEnd"/>
            <w:r w:rsidR="004426C2" w:rsidRPr="00EB7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61BA" w:rsidRPr="00F42F77" w:rsidRDefault="00D561BA" w:rsidP="003230C3">
      <w:pPr>
        <w:pStyle w:val="1"/>
        <w:numPr>
          <w:ilvl w:val="0"/>
          <w:numId w:val="5"/>
        </w:numPr>
        <w:spacing w:before="360" w:after="12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2F77">
        <w:rPr>
          <w:rFonts w:ascii="Times New Roman" w:hAnsi="Times New Roman" w:cs="Times New Roman"/>
          <w:sz w:val="28"/>
          <w:szCs w:val="28"/>
        </w:rPr>
        <w:t>Оцінка</w:t>
      </w:r>
      <w:r w:rsidRPr="00F42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F77">
        <w:rPr>
          <w:rFonts w:ascii="Times New Roman" w:hAnsi="Times New Roman" w:cs="Times New Roman"/>
          <w:sz w:val="28"/>
          <w:szCs w:val="28"/>
        </w:rPr>
        <w:t>вибраних альтернативних способів досягнення цілей</w:t>
      </w:r>
    </w:p>
    <w:p w:rsidR="00926B2E" w:rsidRPr="00F42F77" w:rsidRDefault="00926B2E" w:rsidP="003230C3">
      <w:pPr>
        <w:spacing w:before="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F77">
        <w:rPr>
          <w:rFonts w:ascii="Times New Roman" w:eastAsia="Calibri" w:hAnsi="Times New Roman" w:cs="Times New Roman"/>
          <w:sz w:val="28"/>
          <w:szCs w:val="28"/>
        </w:rPr>
        <w:t>Оцінка впливу на сферу інтересів держави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926B2E" w:rsidRPr="00F42F77" w:rsidTr="000023F9">
        <w:trPr>
          <w:trHeight w:hRule="exact" w:val="567"/>
        </w:trPr>
        <w:tc>
          <w:tcPr>
            <w:tcW w:w="3189" w:type="dxa"/>
            <w:vAlign w:val="center"/>
          </w:tcPr>
          <w:p w:rsidR="00926B2E" w:rsidRPr="00F42F77" w:rsidRDefault="00926B2E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190" w:type="dxa"/>
            <w:vAlign w:val="center"/>
          </w:tcPr>
          <w:p w:rsidR="00926B2E" w:rsidRPr="00F42F77" w:rsidRDefault="00926B2E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191" w:type="dxa"/>
            <w:vAlign w:val="center"/>
          </w:tcPr>
          <w:p w:rsidR="00926B2E" w:rsidRPr="00F42F77" w:rsidRDefault="00926B2E" w:rsidP="00DA3173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926B2E" w:rsidRPr="00F42F77" w:rsidTr="000023F9">
        <w:tc>
          <w:tcPr>
            <w:tcW w:w="3189" w:type="dxa"/>
          </w:tcPr>
          <w:p w:rsidR="00926B2E" w:rsidRPr="00F42F77" w:rsidRDefault="00926B2E" w:rsidP="00926B2E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Альтернатива 1</w:t>
            </w:r>
          </w:p>
          <w:p w:rsidR="003F22F3" w:rsidRDefault="003F22F3" w:rsidP="00965EB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>Існуюча ситуація залишається без змін</w:t>
            </w:r>
          </w:p>
          <w:p w:rsidR="00926B2E" w:rsidRPr="00F42F77" w:rsidRDefault="00926B2E" w:rsidP="00965EB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Спосіб оцінюється як такий, що не забезпечує реалізацію </w:t>
            </w:r>
            <w:r w:rsidR="00965EBB" w:rsidRPr="00F42F77">
              <w:rPr>
                <w:rFonts w:ascii="Times New Roman" w:hAnsi="Times New Roman" w:cs="Times New Roman"/>
                <w:sz w:val="28"/>
                <w:szCs w:val="28"/>
              </w:rPr>
              <w:t>у фаховій передвищій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 освіті норм законодавства</w:t>
            </w:r>
          </w:p>
        </w:tc>
        <w:tc>
          <w:tcPr>
            <w:tcW w:w="3190" w:type="dxa"/>
          </w:tcPr>
          <w:p w:rsidR="00926B2E" w:rsidRPr="00F42F77" w:rsidRDefault="00926B2E" w:rsidP="00926B2E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Мінімальні</w:t>
            </w:r>
          </w:p>
          <w:p w:rsidR="00926B2E" w:rsidRPr="00F42F77" w:rsidRDefault="00926B2E" w:rsidP="00926B2E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(існує висока ймовірність надання суб’єктами неякісних освітніх послуг  та можливість діяти з порушеннями вимог законодавства)</w:t>
            </w:r>
          </w:p>
        </w:tc>
        <w:tc>
          <w:tcPr>
            <w:tcW w:w="3191" w:type="dxa"/>
          </w:tcPr>
          <w:p w:rsidR="00926B2E" w:rsidRPr="00F42F77" w:rsidRDefault="00564AFB" w:rsidP="00FC249F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Витрати пов’язані із ймовірністю надання суб’єктами неякісних освітніх послуг</w:t>
            </w:r>
            <w:r w:rsidR="00FC249F" w:rsidRPr="00F42F77">
              <w:rPr>
                <w:rFonts w:ascii="Times New Roman" w:hAnsi="Times New Roman" w:cs="Times New Roman"/>
                <w:sz w:val="28"/>
                <w:szCs w:val="28"/>
              </w:rPr>
              <w:t>. Збільшення корупційних ризиків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49F"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надання збитків громадянам, суспільству і державі, внаслідок неналежної якості </w:t>
            </w:r>
            <w:r w:rsidR="00FC249F" w:rsidRPr="00F42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фахової передвищої освіти.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B2E" w:rsidRPr="00F42F77" w:rsidTr="000023F9">
        <w:tc>
          <w:tcPr>
            <w:tcW w:w="3189" w:type="dxa"/>
          </w:tcPr>
          <w:p w:rsidR="00926B2E" w:rsidRPr="00F42F77" w:rsidRDefault="00926B2E" w:rsidP="00926B2E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Альтернатива 2</w:t>
            </w:r>
          </w:p>
          <w:p w:rsidR="003F22F3" w:rsidRDefault="003F22F3" w:rsidP="00D0796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>Прийняття запропонованого проєкту акта</w:t>
            </w:r>
          </w:p>
          <w:p w:rsidR="00926B2E" w:rsidRPr="00F42F77" w:rsidRDefault="00D0796D" w:rsidP="003F22F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Забезпечує досягнення цілей та реалізацію у фаховій передвищій освіті норм законодавства</w:t>
            </w:r>
          </w:p>
        </w:tc>
        <w:tc>
          <w:tcPr>
            <w:tcW w:w="3190" w:type="dxa"/>
          </w:tcPr>
          <w:p w:rsidR="00926B2E" w:rsidRPr="00F42F77" w:rsidRDefault="00926B2E" w:rsidP="000023F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Високі</w:t>
            </w:r>
          </w:p>
          <w:p w:rsidR="003F22F3" w:rsidRPr="003F22F3" w:rsidRDefault="003F22F3" w:rsidP="003F22F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 xml:space="preserve">Прийняття проєкту сприятиме: </w:t>
            </w:r>
          </w:p>
          <w:p w:rsidR="003F22F3" w:rsidRPr="009F0691" w:rsidRDefault="003F22F3" w:rsidP="003F22F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>ефективному</w:t>
            </w:r>
            <w:r w:rsidRPr="009F0691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використанню коштів </w:t>
            </w: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>на підготовку фахівців у сфері фахової передвищої освіти;</w:t>
            </w:r>
          </w:p>
          <w:p w:rsidR="003F22F3" w:rsidRPr="003F22F3" w:rsidRDefault="003F22F3" w:rsidP="003F22F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>зростанню суспільної привабливості закладів освіти, їх іміджу та авторитету.</w:t>
            </w:r>
          </w:p>
          <w:p w:rsidR="00926B2E" w:rsidRPr="00F42F77" w:rsidRDefault="003F22F3" w:rsidP="003F22F3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F3">
              <w:rPr>
                <w:rFonts w:ascii="Times New Roman" w:hAnsi="Times New Roman" w:cs="Times New Roman"/>
                <w:sz w:val="28"/>
                <w:szCs w:val="28"/>
              </w:rPr>
              <w:t>Виконана вимога норми Закону України «Про фахову передвищу освіту»</w:t>
            </w:r>
          </w:p>
        </w:tc>
        <w:tc>
          <w:tcPr>
            <w:tcW w:w="3191" w:type="dxa"/>
          </w:tcPr>
          <w:p w:rsidR="009F0691" w:rsidRPr="009F0691" w:rsidRDefault="009F0691" w:rsidP="009F069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91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</w:p>
          <w:p w:rsidR="009F0691" w:rsidRPr="009F0691" w:rsidRDefault="009F0691" w:rsidP="009F069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91">
              <w:rPr>
                <w:rFonts w:ascii="Times New Roman" w:hAnsi="Times New Roman" w:cs="Times New Roman"/>
                <w:sz w:val="28"/>
                <w:szCs w:val="28"/>
              </w:rPr>
              <w:t>Прийняття та реалізація регуляторного акта не потребує додаткових видатків з Державного та/або місцевих бюджетів.</w:t>
            </w:r>
          </w:p>
          <w:p w:rsidR="00DC5651" w:rsidRPr="00F42F77" w:rsidRDefault="00DC5651" w:rsidP="009F069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B2E" w:rsidRPr="00F42F77" w:rsidRDefault="00926B2E" w:rsidP="00926B2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6592C" w:rsidRPr="00F42F77" w:rsidRDefault="00B6592C" w:rsidP="00FD1E79">
      <w:pPr>
        <w:pStyle w:val="1"/>
        <w:spacing w:before="360" w:after="240"/>
        <w:rPr>
          <w:rFonts w:ascii="Times New Roman" w:hAnsi="Times New Roman" w:cs="Times New Roman"/>
          <w:sz w:val="28"/>
          <w:szCs w:val="28"/>
        </w:rPr>
      </w:pPr>
      <w:r w:rsidRPr="00F42F77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B6592C" w:rsidRPr="00F42F77" w:rsidTr="000023F9">
        <w:trPr>
          <w:trHeight w:hRule="exact" w:val="567"/>
        </w:trPr>
        <w:tc>
          <w:tcPr>
            <w:tcW w:w="3189" w:type="dxa"/>
            <w:vAlign w:val="center"/>
          </w:tcPr>
          <w:p w:rsidR="00B6592C" w:rsidRPr="00F42F77" w:rsidRDefault="00B6592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190" w:type="dxa"/>
            <w:vAlign w:val="center"/>
          </w:tcPr>
          <w:p w:rsidR="00B6592C" w:rsidRPr="00F42F77" w:rsidRDefault="00B6592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191" w:type="dxa"/>
            <w:vAlign w:val="center"/>
          </w:tcPr>
          <w:p w:rsidR="00B6592C" w:rsidRPr="00F42F77" w:rsidRDefault="00B6592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B6592C" w:rsidRPr="00F42F77" w:rsidTr="000023F9">
        <w:tc>
          <w:tcPr>
            <w:tcW w:w="3189" w:type="dxa"/>
          </w:tcPr>
          <w:p w:rsidR="00B6592C" w:rsidRPr="00F42F77" w:rsidRDefault="00B6592C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Альтернатива 1</w:t>
            </w:r>
          </w:p>
          <w:p w:rsidR="00FD1E79" w:rsidRDefault="00FD1E79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E79">
              <w:rPr>
                <w:rFonts w:ascii="Times New Roman" w:eastAsia="Calibri" w:hAnsi="Times New Roman" w:cs="Times New Roman"/>
                <w:sz w:val="28"/>
                <w:szCs w:val="28"/>
              </w:rPr>
              <w:t>Існуюча ситуація залишається без змін</w:t>
            </w:r>
          </w:p>
          <w:p w:rsidR="00B6592C" w:rsidRPr="00F42F77" w:rsidRDefault="00B6592C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Спосіб оцінюється як такий, що не забезпечує реалізацію в освіті норм законодавства</w:t>
            </w:r>
          </w:p>
        </w:tc>
        <w:tc>
          <w:tcPr>
            <w:tcW w:w="3190" w:type="dxa"/>
          </w:tcPr>
          <w:p w:rsidR="00B6592C" w:rsidRPr="00F42F77" w:rsidRDefault="00B6592C" w:rsidP="000023F9">
            <w:pPr>
              <w:pStyle w:val="1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Мінімальні</w:t>
            </w:r>
          </w:p>
          <w:p w:rsidR="00B6592C" w:rsidRPr="00F42F77" w:rsidRDefault="00723423" w:rsidP="00723423">
            <w:pPr>
              <w:pStyle w:val="1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6592C" w:rsidRPr="00F42F77" w:rsidRDefault="00723423" w:rsidP="00723423">
            <w:pPr>
              <w:pStyle w:val="1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Є вірогідність отримання здобувачами неякісних освітніх послуг, що спричиняє матеріальні збитки</w:t>
            </w:r>
          </w:p>
        </w:tc>
      </w:tr>
      <w:tr w:rsidR="00B6592C" w:rsidRPr="00F42F77" w:rsidTr="000023F9">
        <w:tc>
          <w:tcPr>
            <w:tcW w:w="3189" w:type="dxa"/>
          </w:tcPr>
          <w:p w:rsidR="00B6592C" w:rsidRPr="00F42F77" w:rsidRDefault="00B6592C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Альтернатива 2</w:t>
            </w:r>
          </w:p>
          <w:p w:rsidR="00FD1E79" w:rsidRDefault="00FD1E79" w:rsidP="00D0796D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E79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 запропонованого проєкту акта</w:t>
            </w:r>
          </w:p>
          <w:p w:rsidR="00B6592C" w:rsidRPr="00F42F77" w:rsidRDefault="00B6592C" w:rsidP="00D0796D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Забезпечує досягнення цілей </w:t>
            </w:r>
            <w:r w:rsidR="00D0796D"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реалізацію у фаховій передвищій освіті норм законодавства</w:t>
            </w:r>
          </w:p>
        </w:tc>
        <w:tc>
          <w:tcPr>
            <w:tcW w:w="3190" w:type="dxa"/>
          </w:tcPr>
          <w:p w:rsidR="00B6592C" w:rsidRPr="00F42F77" w:rsidRDefault="00B6592C" w:rsidP="000023F9">
            <w:pPr>
              <w:pStyle w:val="1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Високі</w:t>
            </w:r>
          </w:p>
          <w:p w:rsidR="00B6592C" w:rsidRPr="00F42F77" w:rsidRDefault="00B6592C" w:rsidP="00E02471">
            <w:pPr>
              <w:pStyle w:val="1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якості надання освітніх послуг закладами </w:t>
            </w:r>
            <w:r w:rsidR="00E02471" w:rsidRPr="00F42F77">
              <w:rPr>
                <w:rFonts w:ascii="Times New Roman" w:hAnsi="Times New Roman" w:cs="Times New Roman"/>
                <w:sz w:val="28"/>
                <w:szCs w:val="28"/>
              </w:rPr>
              <w:t>фахової передвищої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</w:p>
        </w:tc>
        <w:tc>
          <w:tcPr>
            <w:tcW w:w="3191" w:type="dxa"/>
          </w:tcPr>
          <w:p w:rsidR="00B6592C" w:rsidRPr="00F42F77" w:rsidRDefault="00B6592C" w:rsidP="00FD1E79">
            <w:pPr>
              <w:pStyle w:val="1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r w:rsidR="00723423"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громадян, </w:t>
            </w:r>
            <w:r w:rsidR="00723423" w:rsidRPr="00F42F77">
              <w:rPr>
                <w:rFonts w:ascii="Times New Roman" w:hAnsi="Times New Roman" w:cs="Times New Roman"/>
                <w:sz w:val="28"/>
                <w:szCs w:val="28"/>
              </w:rPr>
              <w:t>пов’язані із впровадженням наведеного про</w:t>
            </w:r>
            <w:r w:rsidR="00FD1E79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723423" w:rsidRPr="00F42F77">
              <w:rPr>
                <w:rFonts w:ascii="Times New Roman" w:hAnsi="Times New Roman" w:cs="Times New Roman"/>
                <w:sz w:val="28"/>
                <w:szCs w:val="28"/>
              </w:rPr>
              <w:t>кту акта, відсутні</w:t>
            </w:r>
          </w:p>
        </w:tc>
      </w:tr>
    </w:tbl>
    <w:p w:rsidR="006A68B7" w:rsidRDefault="006A68B7" w:rsidP="006A68B7">
      <w:pPr>
        <w:pStyle w:val="1"/>
        <w:spacing w:before="360" w:after="240"/>
        <w:rPr>
          <w:rFonts w:ascii="Times New Roman" w:hAnsi="Times New Roman" w:cs="Times New Roman"/>
          <w:sz w:val="28"/>
          <w:szCs w:val="28"/>
        </w:rPr>
      </w:pPr>
    </w:p>
    <w:p w:rsidR="00B6592C" w:rsidRPr="00F42F77" w:rsidRDefault="00B6592C" w:rsidP="006A68B7">
      <w:pPr>
        <w:pStyle w:val="1"/>
        <w:spacing w:before="360" w:after="240"/>
        <w:rPr>
          <w:rFonts w:ascii="Times New Roman" w:hAnsi="Times New Roman" w:cs="Times New Roman"/>
          <w:sz w:val="28"/>
          <w:szCs w:val="28"/>
        </w:rPr>
      </w:pPr>
      <w:r w:rsidRPr="00F42F77">
        <w:rPr>
          <w:rFonts w:ascii="Times New Roman" w:hAnsi="Times New Roman" w:cs="Times New Roman"/>
          <w:sz w:val="28"/>
          <w:szCs w:val="28"/>
        </w:rPr>
        <w:lastRenderedPageBreak/>
        <w:t>Оцінка впливу на сферу інтересів суб’єктів господарювання</w:t>
      </w:r>
    </w:p>
    <w:p w:rsidR="00C91E1A" w:rsidRPr="00F42F77" w:rsidRDefault="00C91E1A" w:rsidP="00C91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F77">
        <w:rPr>
          <w:rFonts w:ascii="Times New Roman" w:hAnsi="Times New Roman" w:cs="Times New Roman"/>
          <w:color w:val="000000" w:themeColor="text1"/>
          <w:sz w:val="28"/>
          <w:szCs w:val="28"/>
        </w:rPr>
        <w:t>Дані про кількість суб`єктів господарювання отримано з Реєстру суб`єктів освітньої діяльності (</w:t>
      </w:r>
      <w:hyperlink r:id="rId7" w:history="1">
        <w:r w:rsidRPr="00F42F77">
          <w:rPr>
            <w:rStyle w:val="ac"/>
            <w:rFonts w:ascii="Times New Roman" w:hAnsi="Times New Roman" w:cs="Times New Roman"/>
            <w:sz w:val="28"/>
            <w:szCs w:val="28"/>
          </w:rPr>
          <w:t>https://registry.edbo.gov.ua</w:t>
        </w:r>
      </w:hyperlink>
      <w:r w:rsidRPr="00F4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Дія проєкту регуляторного акта поширюватиметься на сферу інтересів суб’єктів господарювання. </w:t>
      </w:r>
    </w:p>
    <w:p w:rsidR="00C91E1A" w:rsidRPr="00F42F77" w:rsidRDefault="00C91E1A" w:rsidP="00C91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1276"/>
        <w:gridCol w:w="1276"/>
        <w:gridCol w:w="1277"/>
        <w:gridCol w:w="1058"/>
        <w:gridCol w:w="1531"/>
      </w:tblGrid>
      <w:tr w:rsidR="009C13AC" w:rsidRPr="00F42F77" w:rsidTr="00C91E1A">
        <w:tc>
          <w:tcPr>
            <w:tcW w:w="3188" w:type="dxa"/>
          </w:tcPr>
          <w:p w:rsidR="009C13AC" w:rsidRPr="00F42F77" w:rsidRDefault="009C13AC" w:rsidP="000023F9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Показник</w:t>
            </w:r>
          </w:p>
        </w:tc>
        <w:tc>
          <w:tcPr>
            <w:tcW w:w="1276" w:type="dxa"/>
          </w:tcPr>
          <w:p w:rsidR="009C13AC" w:rsidRPr="00F42F77" w:rsidRDefault="009C13AC" w:rsidP="000023F9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Великі</w:t>
            </w:r>
          </w:p>
        </w:tc>
        <w:tc>
          <w:tcPr>
            <w:tcW w:w="1276" w:type="dxa"/>
          </w:tcPr>
          <w:p w:rsidR="009C13AC" w:rsidRPr="00F42F77" w:rsidRDefault="009C13AC" w:rsidP="000023F9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Середні</w:t>
            </w:r>
          </w:p>
        </w:tc>
        <w:tc>
          <w:tcPr>
            <w:tcW w:w="1277" w:type="dxa"/>
          </w:tcPr>
          <w:p w:rsidR="009C13AC" w:rsidRPr="00F42F77" w:rsidRDefault="009C13AC" w:rsidP="009C13AC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 xml:space="preserve">Малі </w:t>
            </w:r>
          </w:p>
        </w:tc>
        <w:tc>
          <w:tcPr>
            <w:tcW w:w="1058" w:type="dxa"/>
          </w:tcPr>
          <w:p w:rsidR="009C13AC" w:rsidRPr="00F42F77" w:rsidRDefault="009C13AC" w:rsidP="000023F9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Мікро</w:t>
            </w:r>
          </w:p>
        </w:tc>
        <w:tc>
          <w:tcPr>
            <w:tcW w:w="1531" w:type="dxa"/>
          </w:tcPr>
          <w:p w:rsidR="009C13AC" w:rsidRPr="00F42F77" w:rsidRDefault="009C13AC" w:rsidP="000023F9">
            <w:pPr>
              <w:pStyle w:val="rvps12"/>
              <w:spacing w:before="120" w:beforeAutospacing="0" w:after="12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Разом</w:t>
            </w:r>
          </w:p>
        </w:tc>
      </w:tr>
      <w:tr w:rsidR="009C13AC" w:rsidRPr="00F42F77" w:rsidTr="00C91E1A">
        <w:tc>
          <w:tcPr>
            <w:tcW w:w="3188" w:type="dxa"/>
          </w:tcPr>
          <w:p w:rsidR="009C13AC" w:rsidRPr="00F42F77" w:rsidRDefault="009C13AC" w:rsidP="000023F9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276" w:type="dxa"/>
            <w:vAlign w:val="center"/>
          </w:tcPr>
          <w:p w:rsidR="009C13AC" w:rsidRPr="00F42F77" w:rsidRDefault="009C13A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13AC" w:rsidRPr="00F42F77" w:rsidRDefault="00927E2B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277" w:type="dxa"/>
            <w:vAlign w:val="center"/>
          </w:tcPr>
          <w:p w:rsidR="009C13AC" w:rsidRPr="00F42F77" w:rsidRDefault="00927E2B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9C13AC" w:rsidRPr="00F42F77" w:rsidRDefault="009C13A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vAlign w:val="center"/>
          </w:tcPr>
          <w:p w:rsidR="009C13AC" w:rsidRPr="00F42F77" w:rsidRDefault="009C13A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C13AC" w:rsidRPr="00F42F77" w:rsidTr="00C91E1A">
        <w:tc>
          <w:tcPr>
            <w:tcW w:w="3188" w:type="dxa"/>
          </w:tcPr>
          <w:p w:rsidR="009C13AC" w:rsidRPr="00F42F77" w:rsidRDefault="009C13AC" w:rsidP="000023F9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42F77">
              <w:rPr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vAlign w:val="center"/>
          </w:tcPr>
          <w:p w:rsidR="009C13AC" w:rsidRPr="00F42F77" w:rsidRDefault="009C13A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13AC" w:rsidRPr="00F42F77" w:rsidRDefault="00927E2B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C13AC" w:rsidRPr="00F42F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vAlign w:val="center"/>
          </w:tcPr>
          <w:p w:rsidR="009C13AC" w:rsidRPr="00F42F77" w:rsidRDefault="00927E2B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9C13AC" w:rsidRPr="00F42F77" w:rsidRDefault="009C13AC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1" w:type="dxa"/>
            <w:vAlign w:val="center"/>
          </w:tcPr>
          <w:p w:rsidR="009C13AC" w:rsidRPr="00F42F77" w:rsidRDefault="00962298" w:rsidP="000023F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6592C" w:rsidRPr="00F42F77" w:rsidRDefault="00B6592C" w:rsidP="00B6592C">
      <w:pPr>
        <w:pStyle w:val="1"/>
        <w:spacing w:before="240"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260"/>
        <w:gridCol w:w="3650"/>
      </w:tblGrid>
      <w:tr w:rsidR="00B6592C" w:rsidRPr="00F42F77" w:rsidTr="000023F9">
        <w:tc>
          <w:tcPr>
            <w:tcW w:w="2660" w:type="dxa"/>
            <w:vAlign w:val="center"/>
          </w:tcPr>
          <w:p w:rsidR="00B6592C" w:rsidRPr="00F42F77" w:rsidRDefault="00B6592C" w:rsidP="000023F9">
            <w:pPr>
              <w:pStyle w:val="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260" w:type="dxa"/>
            <w:vAlign w:val="center"/>
          </w:tcPr>
          <w:p w:rsidR="00B6592C" w:rsidRPr="00F42F77" w:rsidRDefault="00B6592C" w:rsidP="000023F9">
            <w:pPr>
              <w:pStyle w:val="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Вигоди</w:t>
            </w:r>
          </w:p>
        </w:tc>
        <w:tc>
          <w:tcPr>
            <w:tcW w:w="3650" w:type="dxa"/>
            <w:vAlign w:val="center"/>
          </w:tcPr>
          <w:p w:rsidR="00B6592C" w:rsidRPr="00F42F77" w:rsidRDefault="00B6592C" w:rsidP="000023F9">
            <w:pPr>
              <w:pStyle w:val="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</w:p>
        </w:tc>
      </w:tr>
      <w:tr w:rsidR="0051546C" w:rsidRPr="00F42F77" w:rsidTr="000023F9">
        <w:tc>
          <w:tcPr>
            <w:tcW w:w="2660" w:type="dxa"/>
          </w:tcPr>
          <w:p w:rsidR="0051546C" w:rsidRDefault="0051546C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Альтернатива 1</w:t>
            </w:r>
          </w:p>
          <w:p w:rsidR="009F4C42" w:rsidRPr="00F42F77" w:rsidRDefault="009F4C42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C42">
              <w:rPr>
                <w:rFonts w:ascii="Times New Roman" w:eastAsia="Calibri" w:hAnsi="Times New Roman" w:cs="Times New Roman"/>
                <w:sz w:val="28"/>
                <w:szCs w:val="28"/>
              </w:rPr>
              <w:t>Існуюча ситуація залишається без змін</w:t>
            </w:r>
          </w:p>
          <w:p w:rsidR="0051546C" w:rsidRPr="00F42F77" w:rsidRDefault="0051546C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546C" w:rsidRPr="00797022" w:rsidRDefault="0051546C" w:rsidP="00797022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22">
              <w:rPr>
                <w:rFonts w:ascii="Times New Roman" w:eastAsia="Calibri" w:hAnsi="Times New Roman" w:cs="Times New Roman"/>
                <w:sz w:val="28"/>
                <w:szCs w:val="28"/>
              </w:rPr>
              <w:t>Відсутні</w:t>
            </w:r>
          </w:p>
          <w:p w:rsidR="0051546C" w:rsidRPr="00797022" w:rsidRDefault="00797022" w:rsidP="00797022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Підготовка здобувачів фахової передвищої освіти не відповідає вимогам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законодавства</w:t>
            </w:r>
          </w:p>
        </w:tc>
        <w:tc>
          <w:tcPr>
            <w:tcW w:w="3650" w:type="dxa"/>
          </w:tcPr>
          <w:p w:rsidR="0051546C" w:rsidRPr="00F42F77" w:rsidRDefault="0051546C" w:rsidP="009F4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Ризик  неякісного організаційного  процес</w:t>
            </w:r>
            <w:r w:rsidR="009F4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</w:t>
            </w: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обумовлює збільшення </w:t>
            </w:r>
            <w:r w:rsidR="009F4C42"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вірогідності</w:t>
            </w: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надання неякісн</w:t>
            </w:r>
            <w:r w:rsidR="009F4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</w:t>
            </w: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F4C42"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освітн</w:t>
            </w:r>
            <w:r w:rsidR="009F4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іх</w:t>
            </w: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послуг, порушення прав учасників освітнього процесу і</w:t>
            </w:r>
            <w:r w:rsidR="009F4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як наслідок</w:t>
            </w:r>
            <w:r w:rsidR="009F4C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F42F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можливі витрати на судові провадження.</w:t>
            </w:r>
          </w:p>
        </w:tc>
      </w:tr>
      <w:tr w:rsidR="0051546C" w:rsidRPr="00F42F77" w:rsidTr="000023F9">
        <w:tc>
          <w:tcPr>
            <w:tcW w:w="2660" w:type="dxa"/>
          </w:tcPr>
          <w:p w:rsidR="0051546C" w:rsidRPr="00F42F77" w:rsidRDefault="0051546C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Альтернатива 2</w:t>
            </w:r>
          </w:p>
          <w:p w:rsidR="0051546C" w:rsidRPr="00F42F77" w:rsidRDefault="009F4C42" w:rsidP="00B6592C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C42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 запропонованого проєкту акта</w:t>
            </w:r>
          </w:p>
        </w:tc>
        <w:tc>
          <w:tcPr>
            <w:tcW w:w="3260" w:type="dxa"/>
          </w:tcPr>
          <w:p w:rsidR="00353C7F" w:rsidRPr="008B6F05" w:rsidRDefault="0051546C" w:rsidP="008B6F05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F05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 запропонованого проєкту акта</w:t>
            </w:r>
            <w:r w:rsidR="00353C7F" w:rsidRPr="008B6F0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53C7F" w:rsidRPr="008B6F05" w:rsidRDefault="008B6F05" w:rsidP="008B6F05">
            <w:pPr>
              <w:pStyle w:val="Textbody"/>
              <w:spacing w:before="60" w:after="0" w:line="240" w:lineRule="auto"/>
              <w:ind w:firstLine="289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сприяє</w:t>
            </w:r>
            <w:r w:rsidR="00353C7F"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впровадженню єдиних вимог</w:t>
            </w:r>
            <w:r w:rsidR="00353C7F"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щодо організації, проведення, забезпечення </w:t>
            </w:r>
            <w:r w:rsidR="00353C7F"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освітнього процесу в закладах</w:t>
            </w:r>
            <w:r w:rsidR="00353C7F"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фахової передвищої освіти</w:t>
            </w:r>
            <w:r w:rsidR="00353C7F"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, уніфікації вимог до оцінювання та визнання результатів навчання</w:t>
            </w:r>
            <w:r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.</w:t>
            </w:r>
          </w:p>
          <w:p w:rsidR="00353C7F" w:rsidRPr="008B6F05" w:rsidRDefault="00353C7F" w:rsidP="008B6F05">
            <w:pPr>
              <w:pStyle w:val="Textbody"/>
              <w:spacing w:before="60" w:after="0" w:line="240" w:lineRule="auto"/>
              <w:ind w:firstLine="289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 w:rsidRPr="008B6F05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lastRenderedPageBreak/>
              <w:t>Зростає якість освітньо-професійних програм підготовки здобувачів і якість надання освітніх послуг.</w:t>
            </w:r>
          </w:p>
          <w:p w:rsidR="00353C7F" w:rsidRPr="008B6F05" w:rsidRDefault="00353C7F" w:rsidP="008B6F05">
            <w:pPr>
              <w:spacing w:before="60"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F05">
              <w:rPr>
                <w:rFonts w:ascii="Times New Roman" w:eastAsia="Calibri" w:hAnsi="Times New Roman" w:cs="Times New Roman"/>
                <w:sz w:val="28"/>
                <w:szCs w:val="28"/>
              </w:rPr>
              <w:t>Зростає популярність, авторитет, покращується репутація та імідж закладів фахової передвищої освіти серед майбутніх здобувачів та роботодавців.</w:t>
            </w:r>
          </w:p>
          <w:p w:rsidR="0051546C" w:rsidRPr="008B6F05" w:rsidRDefault="008B6F05" w:rsidP="008B6F05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F05">
              <w:rPr>
                <w:rFonts w:ascii="Times New Roman" w:eastAsia="Calibri" w:hAnsi="Times New Roman" w:cs="Times New Roman"/>
                <w:sz w:val="28"/>
                <w:szCs w:val="28"/>
              </w:rPr>
              <w:t>Знижується</w:t>
            </w:r>
            <w:r w:rsidR="0051546C" w:rsidRPr="008B6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ризик надання неякісних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слуг у сфері фахової передвищої.</w:t>
            </w:r>
          </w:p>
        </w:tc>
        <w:tc>
          <w:tcPr>
            <w:tcW w:w="3650" w:type="dxa"/>
          </w:tcPr>
          <w:p w:rsidR="00353C7F" w:rsidRPr="008F686E" w:rsidRDefault="00353C7F" w:rsidP="008F6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68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Діяльність щодо розроблення відповідного положення, надання консультацій та проведення оцінювання здійснюються в межах посадових обов’язків педагогічних і науково-педагогічних працівників закладів освіти.</w:t>
            </w:r>
          </w:p>
          <w:p w:rsidR="00353C7F" w:rsidRPr="008F686E" w:rsidRDefault="00353C7F" w:rsidP="008F6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68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Витрати пов’язані з ознайомленням з вимогами регулювання педагогічних та науково-педагогічних працівників орієнтовно </w:t>
            </w:r>
            <w:r w:rsidRPr="008F68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становитимуть 58 890.00 грн для усіх закладів освіти.</w:t>
            </w:r>
          </w:p>
          <w:p w:rsidR="00224F07" w:rsidRPr="008F686E" w:rsidRDefault="00224F07" w:rsidP="008F6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1546C" w:rsidRPr="00F42F77" w:rsidRDefault="0051546C" w:rsidP="00B92A3B">
            <w:pPr>
              <w:pStyle w:val="ab"/>
              <w:spacing w:before="0" w:beforeAutospacing="0" w:after="0" w:afterAutospacing="0"/>
              <w:ind w:left="28" w:right="54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6592C" w:rsidRPr="00F42F77" w:rsidRDefault="00B6592C" w:rsidP="00B6592C">
      <w:pPr>
        <w:pStyle w:val="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02471" w:rsidRPr="00F42F77" w:rsidRDefault="00FE14C7" w:rsidP="00FE14C7">
      <w:pPr>
        <w:pStyle w:val="1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F7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02471" w:rsidRPr="00F42F77" w:rsidTr="000023F9">
        <w:tc>
          <w:tcPr>
            <w:tcW w:w="4785" w:type="dxa"/>
          </w:tcPr>
          <w:p w:rsidR="00E02471" w:rsidRPr="00F42F77" w:rsidRDefault="00E02471" w:rsidP="00E02471">
            <w:pPr>
              <w:pStyle w:val="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4785" w:type="dxa"/>
          </w:tcPr>
          <w:p w:rsidR="00E02471" w:rsidRPr="00F42F77" w:rsidRDefault="00E02471" w:rsidP="00E02471">
            <w:pPr>
              <w:pStyle w:val="1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Сума витрат, гривень</w:t>
            </w:r>
          </w:p>
        </w:tc>
      </w:tr>
      <w:tr w:rsidR="00035808" w:rsidRPr="00F42F77" w:rsidTr="004F0687">
        <w:trPr>
          <w:trHeight w:val="841"/>
        </w:trPr>
        <w:tc>
          <w:tcPr>
            <w:tcW w:w="4785" w:type="dxa"/>
            <w:vAlign w:val="center"/>
          </w:tcPr>
          <w:p w:rsidR="00035808" w:rsidRPr="00035808" w:rsidRDefault="00035808" w:rsidP="0003580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808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Альтернатива 1</w:t>
            </w:r>
          </w:p>
          <w:p w:rsidR="00035808" w:rsidRPr="00035808" w:rsidRDefault="00035808" w:rsidP="0003580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808">
              <w:rPr>
                <w:rFonts w:ascii="Times New Roman" w:eastAsia="Calibri" w:hAnsi="Times New Roman" w:cs="Times New Roman"/>
                <w:sz w:val="28"/>
                <w:szCs w:val="28"/>
              </w:rPr>
              <w:t>Існуюча ситуація залишається без змін</w:t>
            </w:r>
          </w:p>
        </w:tc>
        <w:tc>
          <w:tcPr>
            <w:tcW w:w="4785" w:type="dxa"/>
            <w:shd w:val="clear" w:color="auto" w:fill="auto"/>
          </w:tcPr>
          <w:p w:rsidR="00035808" w:rsidRPr="00F42F77" w:rsidRDefault="00035808" w:rsidP="00035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77">
              <w:rPr>
                <w:rFonts w:ascii="Times New Roman" w:hAnsi="Times New Roman"/>
                <w:sz w:val="28"/>
                <w:szCs w:val="28"/>
              </w:rPr>
              <w:t>Додаткові грошові витрати відсутні.</w:t>
            </w:r>
          </w:p>
          <w:p w:rsidR="00035808" w:rsidRPr="00F42F77" w:rsidRDefault="00035808" w:rsidP="00035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808" w:rsidRPr="00F42F77" w:rsidRDefault="00035808" w:rsidP="00035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/>
                <w:sz w:val="28"/>
                <w:szCs w:val="28"/>
              </w:rPr>
              <w:t xml:space="preserve">При цьому  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є вірогідність отримання здобувачами неякісних освітніх послуг, що спричиняє матеріальні збитки</w:t>
            </w:r>
          </w:p>
          <w:p w:rsidR="00035808" w:rsidRPr="00F42F77" w:rsidRDefault="00035808" w:rsidP="000358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808" w:rsidRPr="00F42F77" w:rsidTr="004F0687">
        <w:tc>
          <w:tcPr>
            <w:tcW w:w="4785" w:type="dxa"/>
            <w:vAlign w:val="center"/>
          </w:tcPr>
          <w:p w:rsidR="00035808" w:rsidRPr="00035808" w:rsidRDefault="00035808" w:rsidP="0003580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808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Альтернатива 2</w:t>
            </w:r>
          </w:p>
          <w:p w:rsidR="00035808" w:rsidRPr="00035808" w:rsidRDefault="00035808" w:rsidP="0003580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808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 запропонованого проєкту акта</w:t>
            </w:r>
          </w:p>
        </w:tc>
        <w:tc>
          <w:tcPr>
            <w:tcW w:w="4785" w:type="dxa"/>
            <w:shd w:val="clear" w:color="auto" w:fill="auto"/>
          </w:tcPr>
          <w:p w:rsidR="00035808" w:rsidRPr="00F42F77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808" w:rsidRPr="002F2664" w:rsidRDefault="002F2664" w:rsidP="002F2664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664">
              <w:rPr>
                <w:rFonts w:ascii="Times New Roman" w:eastAsia="Calibri" w:hAnsi="Times New Roman" w:cs="Times New Roman"/>
                <w:sz w:val="28"/>
                <w:szCs w:val="28"/>
              </w:rPr>
              <w:t>58 890.00 грн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35808" w:rsidRPr="00F42F77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D38" w:rsidRPr="00F42F77" w:rsidRDefault="00C36D38" w:rsidP="00B148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42F77">
        <w:rPr>
          <w:rFonts w:ascii="Times New Roman" w:eastAsia="Times New Roman" w:hAnsi="Times New Roman"/>
          <w:b/>
          <w:sz w:val="28"/>
          <w:szCs w:val="28"/>
          <w:lang w:eastAsia="uk-UA"/>
        </w:rPr>
        <w:t>IV. Вибір найбільш оптимального альтернативного способу досягнення цілей</w:t>
      </w: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152"/>
      <w:bookmarkStart w:id="2" w:name="n153"/>
      <w:bookmarkStart w:id="3" w:name="n154"/>
      <w:bookmarkEnd w:id="1"/>
      <w:bookmarkEnd w:id="2"/>
      <w:bookmarkEnd w:id="3"/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t>Вартість балів визначається за чотирибальною системою оцінки ступеня досягнення визначених цілей, де:</w:t>
      </w: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" w:name="n155"/>
      <w:bookmarkEnd w:id="4"/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5" w:name="n156"/>
      <w:bookmarkEnd w:id="5"/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B14831" w:rsidRPr="00F42F77" w:rsidRDefault="00B14831" w:rsidP="00B148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6" w:name="n157"/>
      <w:bookmarkEnd w:id="6"/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t>1 – цілі прийняття регуляторного акта, які не можуть бути досягнуті (проблема продовжує існувати).</w:t>
      </w:r>
    </w:p>
    <w:p w:rsidR="00B14831" w:rsidRPr="00F42F77" w:rsidRDefault="00B14831" w:rsidP="00B14831">
      <w:pPr>
        <w:pStyle w:val="a9"/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2413"/>
        <w:gridCol w:w="4604"/>
      </w:tblGrid>
      <w:tr w:rsidR="00B14831" w:rsidRPr="00F42F77" w:rsidTr="00B14831">
        <w:tc>
          <w:tcPr>
            <w:tcW w:w="1356" w:type="pct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7" w:name="n158"/>
            <w:bookmarkEnd w:id="7"/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253" w:type="pct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2391" w:type="pct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бала</w:t>
            </w:r>
            <w:proofErr w:type="spellEnd"/>
          </w:p>
        </w:tc>
      </w:tr>
      <w:tr w:rsidR="00B14831" w:rsidRPr="00F42F77" w:rsidTr="00B14831">
        <w:tc>
          <w:tcPr>
            <w:tcW w:w="1356" w:type="pct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Альтернатива 1</w:t>
            </w:r>
          </w:p>
          <w:p w:rsidR="00B14831" w:rsidRPr="00F42F77" w:rsidRDefault="000D445A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D445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Існуюча ситуація залишається без змін</w:t>
            </w:r>
          </w:p>
        </w:tc>
        <w:tc>
          <w:tcPr>
            <w:tcW w:w="1253" w:type="pct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91" w:type="pct"/>
            <w:hideMark/>
          </w:tcPr>
          <w:p w:rsidR="000D445A" w:rsidRDefault="000D445A" w:rsidP="00DA43E0">
            <w:pPr>
              <w:pStyle w:val="1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5A">
              <w:rPr>
                <w:rFonts w:ascii="Times New Roman" w:hAnsi="Times New Roman" w:cs="Times New Roman"/>
                <w:sz w:val="28"/>
                <w:szCs w:val="28"/>
              </w:rPr>
              <w:t>Мінімальний бал, який зазначає неможливість досягнення цілей державного регулювання альтернативним способом</w:t>
            </w:r>
            <w:r w:rsidR="00C36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A15" w:rsidRPr="00F42F77">
              <w:rPr>
                <w:rFonts w:ascii="Times New Roman" w:hAnsi="Times New Roman" w:cs="Times New Roman"/>
                <w:sz w:val="28"/>
                <w:szCs w:val="28"/>
              </w:rPr>
              <w:t>(проблема продовжує існувати).</w:t>
            </w:r>
          </w:p>
          <w:p w:rsidR="00B14831" w:rsidRPr="00C36A15" w:rsidRDefault="00DA43E0" w:rsidP="00C36A15">
            <w:pPr>
              <w:pStyle w:val="1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Не відповідає вимогам законодавства про освіту та фахову передвищу освіту.</w:t>
            </w:r>
          </w:p>
        </w:tc>
      </w:tr>
      <w:tr w:rsidR="00B14831" w:rsidRPr="00F42F77" w:rsidTr="00B14831">
        <w:tc>
          <w:tcPr>
            <w:tcW w:w="1356" w:type="pct"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Альтернатива 2</w:t>
            </w:r>
            <w:r w:rsidR="00C36A1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C36A15" w:rsidRPr="00C36A1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Прийняття запропонованого проєкту акта</w:t>
            </w:r>
          </w:p>
        </w:tc>
        <w:tc>
          <w:tcPr>
            <w:tcW w:w="1253" w:type="pct"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91" w:type="pct"/>
          </w:tcPr>
          <w:p w:rsidR="00C36A15" w:rsidRPr="00C36A15" w:rsidRDefault="00C36A15" w:rsidP="00C36A15">
            <w:pPr>
              <w:pStyle w:val="1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1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Максимальний бал. </w:t>
            </w:r>
          </w:p>
          <w:p w:rsidR="00C36A15" w:rsidRPr="00C36A15" w:rsidRDefault="00C36A15" w:rsidP="00C36A15">
            <w:pPr>
              <w:pStyle w:val="1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A15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Оптимальний варіант збалансування інтересів держави, суб’єктів господарювання та здобувачів освіти. Наявність чіткого та зрозумілого порядку </w:t>
            </w:r>
            <w:r w:rsidRPr="00C36A15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освітнього процесу в закладах фахової передвищої </w:t>
            </w:r>
            <w:r w:rsidRPr="00C36A15">
              <w:rPr>
                <w:rFonts w:ascii="Times New Roman" w:hAnsi="Times New Roman" w:cs="Times New Roman"/>
                <w:sz w:val="28"/>
                <w:szCs w:val="28"/>
              </w:rPr>
              <w:t>освіти.</w:t>
            </w:r>
          </w:p>
          <w:p w:rsidR="00B14831" w:rsidRPr="00F42F77" w:rsidRDefault="00B14831" w:rsidP="00B148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42F77">
              <w:rPr>
                <w:rFonts w:ascii="Times New Roman" w:hAnsi="Times New Roman"/>
                <w:sz w:val="28"/>
                <w:szCs w:val="28"/>
              </w:rPr>
              <w:t xml:space="preserve">рийняття запропонованого проєкту </w:t>
            </w:r>
            <w:r w:rsidR="00C36A15">
              <w:rPr>
                <w:rFonts w:ascii="Times New Roman" w:hAnsi="Times New Roman"/>
                <w:sz w:val="28"/>
                <w:szCs w:val="28"/>
              </w:rPr>
              <w:t xml:space="preserve">акта </w:t>
            </w:r>
            <w:r w:rsidRPr="00F42F77">
              <w:rPr>
                <w:rFonts w:ascii="Times New Roman" w:hAnsi="Times New Roman"/>
                <w:sz w:val="28"/>
                <w:szCs w:val="28"/>
              </w:rPr>
              <w:t xml:space="preserve">обумовить наявність додаткового дієвого інструмента для підвищення зваженості управлінських рішень та удосконалення </w:t>
            </w:r>
            <w:r w:rsidR="00C36A15">
              <w:rPr>
                <w:rFonts w:ascii="Times New Roman" w:hAnsi="Times New Roman"/>
                <w:sz w:val="28"/>
                <w:szCs w:val="28"/>
              </w:rPr>
              <w:t xml:space="preserve">освітнього процесу в </w:t>
            </w:r>
            <w:r w:rsidRPr="00F42F77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 w:rsidR="00C36A15">
              <w:rPr>
                <w:rFonts w:ascii="Times New Roman" w:hAnsi="Times New Roman"/>
                <w:sz w:val="28"/>
                <w:szCs w:val="28"/>
              </w:rPr>
              <w:t>ах</w:t>
            </w:r>
            <w:r w:rsidRPr="00F42F77">
              <w:rPr>
                <w:rFonts w:ascii="Times New Roman" w:hAnsi="Times New Roman"/>
                <w:sz w:val="28"/>
                <w:szCs w:val="28"/>
              </w:rPr>
              <w:t xml:space="preserve"> фахової передвищої освіти.</w:t>
            </w:r>
          </w:p>
          <w:p w:rsidR="00B14831" w:rsidRPr="00F42F77" w:rsidRDefault="00B14831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82ABE" w:rsidRDefault="00B14831" w:rsidP="00B1483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F42F77">
        <w:rPr>
          <w:rFonts w:ascii="Times New Roman" w:hAnsi="Times New Roman"/>
          <w:sz w:val="28"/>
          <w:szCs w:val="28"/>
        </w:rPr>
        <w:t xml:space="preserve">   </w:t>
      </w:r>
    </w:p>
    <w:p w:rsidR="00D82ABE" w:rsidRDefault="00D82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4831" w:rsidRDefault="00B14831" w:rsidP="00B1483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2791"/>
        <w:gridCol w:w="1895"/>
        <w:gridCol w:w="2864"/>
      </w:tblGrid>
      <w:tr w:rsidR="00B14831" w:rsidRPr="00F42F77" w:rsidTr="00B14831">
        <w:tc>
          <w:tcPr>
            <w:tcW w:w="1092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8" w:name="n159"/>
            <w:bookmarkEnd w:id="8"/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Рейтинг результативності</w:t>
            </w:r>
          </w:p>
        </w:tc>
        <w:tc>
          <w:tcPr>
            <w:tcW w:w="1488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Вигоди (підсумок)</w:t>
            </w:r>
          </w:p>
        </w:tc>
        <w:tc>
          <w:tcPr>
            <w:tcW w:w="907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 (підсумок)</w:t>
            </w:r>
          </w:p>
        </w:tc>
        <w:tc>
          <w:tcPr>
            <w:tcW w:w="1513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B14831" w:rsidRPr="00F42F77" w:rsidTr="00B14831">
        <w:tc>
          <w:tcPr>
            <w:tcW w:w="1092" w:type="pct"/>
            <w:hideMark/>
          </w:tcPr>
          <w:p w:rsidR="00B14831" w:rsidRPr="00F42F77" w:rsidRDefault="00B14831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Альтернатива 1</w:t>
            </w:r>
          </w:p>
          <w:p w:rsidR="00B14831" w:rsidRPr="00F42F77" w:rsidRDefault="00D82ABE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82AB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Існуюча ситуація залишається без змін</w:t>
            </w:r>
          </w:p>
        </w:tc>
        <w:tc>
          <w:tcPr>
            <w:tcW w:w="1488" w:type="pct"/>
            <w:hideMark/>
          </w:tcPr>
          <w:p w:rsidR="00B14831" w:rsidRDefault="00B14831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 разі залишення ситуації без змін вигоди для держави, громадян та суб’єктів господарювання відсутні. </w:t>
            </w:r>
          </w:p>
          <w:p w:rsidR="008029A9" w:rsidRPr="00D15067" w:rsidRDefault="008029A9" w:rsidP="008029A9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Невиконання відповідної норми Закону України «Про фахову передвищу освіту».</w:t>
            </w:r>
          </w:p>
          <w:p w:rsidR="008029A9" w:rsidRPr="00F42F77" w:rsidRDefault="008029A9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07" w:type="pct"/>
            <w:hideMark/>
          </w:tcPr>
          <w:p w:rsidR="00B14831" w:rsidRDefault="00B14831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Додаткові витрати відсутні.</w:t>
            </w:r>
          </w:p>
          <w:p w:rsidR="008029A9" w:rsidRPr="00D15067" w:rsidRDefault="008029A9" w:rsidP="00D1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Неефективн</w:t>
            </w:r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</w:t>
            </w:r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використання коштів на підготовку фахівців через неякісну </w:t>
            </w:r>
            <w:r w:rsid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організацію освітнього процесу в закладах фахової передвищої освіти </w:t>
            </w:r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:rsidR="008029A9" w:rsidRPr="00F42F77" w:rsidRDefault="008029A9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13" w:type="pct"/>
            <w:hideMark/>
          </w:tcPr>
          <w:p w:rsidR="00B14831" w:rsidRPr="00F42F77" w:rsidRDefault="00D15067" w:rsidP="00B14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Оцінка </w:t>
            </w:r>
            <w:proofErr w:type="spellStart"/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вигод</w:t>
            </w:r>
            <w:proofErr w:type="spellEnd"/>
            <w:r w:rsidRPr="00D1506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і витрат реалізації альтернативи 1 відповідає критеріям оцінки ступеня досягнення визначених цілей</w:t>
            </w:r>
          </w:p>
        </w:tc>
      </w:tr>
      <w:tr w:rsidR="003A1B32" w:rsidRPr="00F42F77" w:rsidTr="00B14831">
        <w:tc>
          <w:tcPr>
            <w:tcW w:w="1092" w:type="pct"/>
          </w:tcPr>
          <w:p w:rsidR="003A1B32" w:rsidRDefault="003A1B32" w:rsidP="003A1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Альтернатива 2</w:t>
            </w:r>
          </w:p>
          <w:p w:rsidR="003A1B32" w:rsidRPr="00F42F77" w:rsidRDefault="003A1B32" w:rsidP="003A1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A1B3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Прийняття запропонованого проєкту акта</w:t>
            </w:r>
          </w:p>
        </w:tc>
        <w:tc>
          <w:tcPr>
            <w:tcW w:w="1488" w:type="pct"/>
          </w:tcPr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Ефективне використання коштів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 підготовку фахівців у сфері фахової передвищої освіти.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Зростання суспільної привабливості закладів освіти, їх іміджу та авторитету.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Виконана вимога норми Закону України «Про фахову передвищу освіту».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Здобувачі освіти мають високий рівень підготовленості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 закладах фахової передвищої освіти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Випускники закладів фахової передвищої освіти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конкурентоспроможні, затребувані на ринку праці.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Створюються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механізми мотивації до навчання.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Запроваджуються вимоги щодо організації, проведення, забезпечення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освітнього процесу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в закладах </w:t>
            </w: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фахової передвищої освіти. 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Зростає якість освітньо-професійних програм підготовки здобувачів і якість надання освітніх послуг.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BD75DB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Зростає популярність, авторитет, покращується репутація та імідж закладів фахової передвищої освіти серед майбутніх здобувачів.</w:t>
            </w:r>
          </w:p>
          <w:p w:rsidR="003A1B32" w:rsidRPr="00BD75DB" w:rsidRDefault="003A1B32" w:rsidP="00BD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907" w:type="pct"/>
          </w:tcPr>
          <w:p w:rsidR="003A1B32" w:rsidRPr="00BD75DB" w:rsidRDefault="003A1B32" w:rsidP="003A1B32">
            <w:pPr>
              <w:spacing w:line="240" w:lineRule="auto"/>
              <w:ind w:right="8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Витрати пов’язані з розробленням відповідного положення та ознайомлення з ним педагогічних та науково-педагогічних працівників орієнтовно становитимуть </w:t>
            </w:r>
            <w:r w:rsidRPr="002F26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58 890.00</w:t>
            </w:r>
            <w:r w:rsidRPr="00BD75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 для усіх закладів освіти.</w:t>
            </w:r>
          </w:p>
          <w:p w:rsidR="003A1B32" w:rsidRPr="00BD75DB" w:rsidRDefault="003A1B32" w:rsidP="003A1B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5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3" w:type="pct"/>
          </w:tcPr>
          <w:p w:rsidR="003A1B32" w:rsidRPr="00BD75DB" w:rsidRDefault="003A1B32" w:rsidP="003A1B32">
            <w:pPr>
              <w:pStyle w:val="a9"/>
              <w:tabs>
                <w:tab w:val="left" w:pos="709"/>
                <w:tab w:val="left" w:pos="851"/>
                <w:tab w:val="left" w:pos="366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uk-UA"/>
              </w:rPr>
            </w:pPr>
            <w:r w:rsidRPr="00BD75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uk-UA"/>
              </w:rPr>
              <w:t xml:space="preserve">Розв’язує проблему. </w:t>
            </w:r>
            <w:r w:rsidR="00BD75DB" w:rsidRPr="00BD75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uk-UA"/>
              </w:rPr>
              <w:t xml:space="preserve">Оцінка </w:t>
            </w:r>
            <w:proofErr w:type="spellStart"/>
            <w:r w:rsidR="00BD75DB" w:rsidRPr="00BD75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uk-UA"/>
              </w:rPr>
              <w:t>вигод</w:t>
            </w:r>
            <w:proofErr w:type="spellEnd"/>
            <w:r w:rsidR="00BD75DB" w:rsidRPr="00BD75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uk-UA"/>
              </w:rPr>
              <w:t xml:space="preserve"> і витрат реалізації альтернативи 2 відповідає критеріям </w:t>
            </w:r>
            <w:r w:rsidR="00BD75DB" w:rsidRPr="00BD75D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оцінки ступеня досягнення визначених цілей</w:t>
            </w:r>
            <w:r w:rsidRPr="00BD75D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uk-UA"/>
              </w:rPr>
              <w:t>.</w:t>
            </w:r>
          </w:p>
        </w:tc>
      </w:tr>
    </w:tbl>
    <w:p w:rsidR="00B14831" w:rsidRPr="00F42F77" w:rsidRDefault="00B14831" w:rsidP="0085114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bookmarkStart w:id="9" w:name="n160"/>
      <w:bookmarkEnd w:id="9"/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4235"/>
        <w:gridCol w:w="3245"/>
      </w:tblGrid>
      <w:tr w:rsidR="00B14831" w:rsidRPr="00F42F77" w:rsidTr="00E92F08">
        <w:tc>
          <w:tcPr>
            <w:tcW w:w="1109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2203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688" w:type="pct"/>
            <w:vAlign w:val="center"/>
            <w:hideMark/>
          </w:tcPr>
          <w:p w:rsidR="00B14831" w:rsidRPr="00F42F77" w:rsidRDefault="00B14831" w:rsidP="00B14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8F1C96" w:rsidRPr="00F42F77" w:rsidTr="00E92F08">
        <w:tc>
          <w:tcPr>
            <w:tcW w:w="1109" w:type="pct"/>
            <w:hideMark/>
          </w:tcPr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F1C9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Альтернатива 1</w:t>
            </w:r>
          </w:p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F1C9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Існуюча ситуація залишається без змін</w:t>
            </w:r>
          </w:p>
        </w:tc>
        <w:tc>
          <w:tcPr>
            <w:tcW w:w="2203" w:type="pct"/>
            <w:hideMark/>
          </w:tcPr>
          <w:p w:rsidR="008F1C96" w:rsidRPr="00F42F77" w:rsidRDefault="008F1C96" w:rsidP="008F1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Аргументи для переваги відсутні. Відмова від цієї альтернативи сприятиме досягненню задекларованих цілей, розвитку системи вищої та фахової передвищої освіти.</w:t>
            </w:r>
          </w:p>
        </w:tc>
        <w:tc>
          <w:tcPr>
            <w:tcW w:w="1688" w:type="pct"/>
            <w:hideMark/>
          </w:tcPr>
          <w:p w:rsidR="008F1C96" w:rsidRPr="00F42F77" w:rsidRDefault="008F1C96" w:rsidP="008F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8F1C96" w:rsidRPr="00F42F77" w:rsidRDefault="008F1C96" w:rsidP="008F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</w:t>
            </w:r>
          </w:p>
        </w:tc>
      </w:tr>
      <w:tr w:rsidR="008F1C96" w:rsidRPr="00F42F77" w:rsidTr="00E92F08">
        <w:tc>
          <w:tcPr>
            <w:tcW w:w="1109" w:type="pct"/>
          </w:tcPr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F1C9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Альтернатива 2</w:t>
            </w:r>
          </w:p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F1C9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Прийняття запропонованого проєкту акта</w:t>
            </w:r>
          </w:p>
        </w:tc>
        <w:tc>
          <w:tcPr>
            <w:tcW w:w="2203" w:type="pct"/>
          </w:tcPr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Причини для відмови відсутні. Обрана альтернатива є найбільш раціональним варіантом врахування інтересів всіх основних </w:t>
            </w: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груп, на яких проблема справляє вплив.</w:t>
            </w:r>
          </w:p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42F7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Повністю відповідає вимогам положень </w:t>
            </w: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законів України «Про </w:t>
            </w:r>
            <w:r w:rsidRPr="00F42F7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освіту», «Про фахову передвищу освіту.</w:t>
            </w:r>
          </w:p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</w:t>
            </w: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приятиме якісній підготовці фахівців.</w:t>
            </w:r>
          </w:p>
          <w:p w:rsidR="008F1C96" w:rsidRPr="008F1C96" w:rsidRDefault="008F1C96" w:rsidP="008F1C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8F1C9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Прийняття проєкту акта забезпечить досягнення задекларованих цілей та є єдиним необхідним і достатнім способом вирішення проблеми.</w:t>
            </w:r>
          </w:p>
        </w:tc>
        <w:tc>
          <w:tcPr>
            <w:tcW w:w="1688" w:type="pct"/>
          </w:tcPr>
          <w:p w:rsidR="008F1C96" w:rsidRDefault="008F1C96" w:rsidP="008F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8F1C96" w:rsidRPr="00F42F77" w:rsidRDefault="008F1C96" w:rsidP="008F1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2F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</w:t>
            </w:r>
          </w:p>
        </w:tc>
      </w:tr>
    </w:tbl>
    <w:p w:rsidR="00542691" w:rsidRPr="00F42F77" w:rsidRDefault="00542691" w:rsidP="00DA43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0" w:name="n161"/>
      <w:bookmarkEnd w:id="10"/>
    </w:p>
    <w:p w:rsidR="00B14831" w:rsidRPr="00F42F77" w:rsidRDefault="00B14831" w:rsidP="00DA43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42F77">
        <w:rPr>
          <w:rFonts w:ascii="Times New Roman" w:eastAsia="Times New Roman" w:hAnsi="Times New Roman"/>
          <w:sz w:val="28"/>
          <w:szCs w:val="28"/>
          <w:lang w:eastAsia="uk-UA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</w:t>
      </w:r>
    </w:p>
    <w:p w:rsidR="00542691" w:rsidRPr="00F42F77" w:rsidRDefault="00542691" w:rsidP="00542691">
      <w:pPr>
        <w:pStyle w:val="1"/>
        <w:spacing w:before="24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V.</w:t>
      </w:r>
      <w:r w:rsidRPr="00F42F77">
        <w:rPr>
          <w:rFonts w:ascii="Times New Roman" w:hAnsi="Times New Roman" w:cs="Times New Roman"/>
          <w:b/>
          <w:bCs/>
          <w:sz w:val="28"/>
          <w:szCs w:val="28"/>
        </w:rPr>
        <w:t xml:space="preserve"> Механізми та заходи, які забезпечать розв’язання визначеної проблеми</w:t>
      </w:r>
    </w:p>
    <w:p w:rsidR="00C6276A" w:rsidRPr="00C6276A" w:rsidRDefault="00C6276A" w:rsidP="00C6276A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Проєкт акта спрямовано на дотримання вимог частини 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другої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45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фахову передвищу освіту», визначення основних підходів та вимог до 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освітнього процесу в закладах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 фахової передвищої освіти.</w:t>
      </w:r>
    </w:p>
    <w:p w:rsidR="00C6276A" w:rsidRPr="00C6276A" w:rsidRDefault="00C6276A" w:rsidP="00C6276A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Відповідно до вимог Закону України «Про засади державної регуляторної політики у сфері господарської діяльності» проєкт регуляторного акта – проєкт наказу Міністерства освіти і науки України «Про затвердження Типов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 положення про організацію освітнього процесу в закладах фахової передвищої освіти» оприлюднено у розділ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ах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 «Громадське обговорення»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«Регуляторна політика» 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на офіційному сайті Міністерства освіти і науки України (www.mon.gov.ua) для обговорення та отримання пропозицій та зауважень від зацікавлених фізичних та юридичних осіб протягом одного місяця.</w:t>
      </w:r>
    </w:p>
    <w:p w:rsidR="00C6276A" w:rsidRPr="00C6276A" w:rsidRDefault="00C6276A" w:rsidP="00C6276A">
      <w:pPr>
        <w:pStyle w:val="Textbody"/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val="uk-UA" w:eastAsia="uk-UA" w:bidi="ar-SA"/>
        </w:rPr>
      </w:pPr>
      <w:r w:rsidRPr="00C6276A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val="uk-UA" w:eastAsia="uk-UA" w:bidi="ar-SA"/>
        </w:rPr>
        <w:t>Розв’язання визначеної проблеми проєкту забезпечується шляхом:</w:t>
      </w:r>
    </w:p>
    <w:p w:rsidR="00C6276A" w:rsidRPr="00C6276A" w:rsidRDefault="00C6276A" w:rsidP="00C6276A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розроблення власного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оложення про організацію освітнього процесу в закладі фахової передвищої освіти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на підставі Типового положення про організацію освітнього процесу в закладах фахової передвищої освіти;</w:t>
      </w:r>
    </w:p>
    <w:p w:rsidR="00C6276A" w:rsidRPr="00C6276A" w:rsidRDefault="00C6276A" w:rsidP="00C6276A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встановлення вимог до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оцінювання та визнання результатів навчання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C6276A" w:rsidRDefault="00C6276A" w:rsidP="00C6276A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визначення і затвердження форм 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планування освітнього процесу</w:t>
      </w:r>
      <w:r w:rsidRPr="00C6276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C6276A" w:rsidRPr="00C6276A" w:rsidRDefault="00C6276A" w:rsidP="00C6276A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42691" w:rsidRPr="00F42F77" w:rsidRDefault="00542691" w:rsidP="00542691">
      <w:pPr>
        <w:pStyle w:val="1"/>
        <w:numPr>
          <w:ilvl w:val="0"/>
          <w:numId w:val="4"/>
        </w:numPr>
        <w:spacing w:before="240"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Оцінка виконання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542691" w:rsidRPr="00F42F77" w:rsidRDefault="00542691" w:rsidP="00867A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F77">
        <w:rPr>
          <w:rFonts w:ascii="Times New Roman" w:hAnsi="Times New Roman"/>
          <w:color w:val="000000" w:themeColor="text1"/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:rsidR="00A25860" w:rsidRPr="00A25860" w:rsidRDefault="00A25860" w:rsidP="00A2586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Реалізація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регуляторного акта не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потребуватиме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додаткових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бюджетних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витрат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ресурсів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адміністративне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регулювання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органами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виконавчої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влади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органами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місцевого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самоврядування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>, тому розрахунок бюджетних витрат не здійснювався.</w:t>
      </w:r>
    </w:p>
    <w:p w:rsidR="00A25860" w:rsidRPr="00A25860" w:rsidRDefault="00A25860" w:rsidP="00A2586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Державне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регулювання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передбачає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утворення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нового державного органу (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нового структурного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підрозділу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25860">
        <w:rPr>
          <w:rFonts w:ascii="Times New Roman" w:hAnsi="Times New Roman"/>
          <w:color w:val="000000" w:themeColor="text1"/>
          <w:sz w:val="28"/>
          <w:szCs w:val="28"/>
        </w:rPr>
        <w:t>діючого</w:t>
      </w:r>
      <w:proofErr w:type="spellEnd"/>
      <w:r w:rsidRPr="00A25860">
        <w:rPr>
          <w:rFonts w:ascii="Times New Roman" w:hAnsi="Times New Roman"/>
          <w:color w:val="000000" w:themeColor="text1"/>
          <w:sz w:val="28"/>
          <w:szCs w:val="28"/>
        </w:rPr>
        <w:t xml:space="preserve"> органу).</w:t>
      </w:r>
    </w:p>
    <w:p w:rsidR="00A25860" w:rsidRPr="00A25860" w:rsidRDefault="00A25860" w:rsidP="00A2586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860">
        <w:rPr>
          <w:rFonts w:ascii="Times New Roman" w:hAnsi="Times New Roman"/>
          <w:color w:val="000000" w:themeColor="text1"/>
          <w:sz w:val="28"/>
          <w:szCs w:val="28"/>
        </w:rPr>
        <w:t>Розрахунок витрат на запровадження державного регулювання для суб’єктів господарювання великого і малого підприємництва, які виникають внаслідок дії регуляторного акта (Додаток 2 до Аналізу регуляторного впливу).</w:t>
      </w:r>
    </w:p>
    <w:p w:rsidR="00542691" w:rsidRPr="00F42F77" w:rsidRDefault="00542691" w:rsidP="00542691">
      <w:pPr>
        <w:pStyle w:val="1"/>
        <w:numPr>
          <w:ilvl w:val="0"/>
          <w:numId w:val="4"/>
        </w:numPr>
        <w:spacing w:before="360" w:after="12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77">
        <w:rPr>
          <w:rFonts w:ascii="Times New Roman" w:hAnsi="Times New Roman" w:cs="Times New Roman"/>
          <w:b/>
          <w:bCs/>
          <w:sz w:val="28"/>
          <w:szCs w:val="28"/>
        </w:rPr>
        <w:t>Обґрунтування запропонованого строку дії регуляторного акта</w:t>
      </w:r>
    </w:p>
    <w:p w:rsidR="00542691" w:rsidRDefault="00542691" w:rsidP="00542691">
      <w:pPr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F77">
        <w:rPr>
          <w:rFonts w:ascii="Times New Roman" w:hAnsi="Times New Roman"/>
          <w:color w:val="000000" w:themeColor="text1"/>
          <w:sz w:val="28"/>
          <w:szCs w:val="28"/>
        </w:rPr>
        <w:t>Строк дії регуляторного акта не обмежується у часі і дасть змогу досягти цілей державного регулювання.</w:t>
      </w:r>
    </w:p>
    <w:p w:rsidR="00C0444F" w:rsidRPr="00C0444F" w:rsidRDefault="00C0444F" w:rsidP="00C0444F">
      <w:pPr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444F">
        <w:rPr>
          <w:rFonts w:ascii="Times New Roman" w:hAnsi="Times New Roman"/>
          <w:color w:val="000000" w:themeColor="text1"/>
          <w:sz w:val="28"/>
          <w:szCs w:val="28"/>
        </w:rPr>
        <w:t>Проєкт регуляторного акта набирає чинності з дня його офіційного опублікування.</w:t>
      </w:r>
    </w:p>
    <w:p w:rsidR="00542691" w:rsidRPr="00F42F77" w:rsidRDefault="00542691" w:rsidP="00542691">
      <w:pPr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F77">
        <w:rPr>
          <w:rFonts w:ascii="Times New Roman" w:hAnsi="Times New Roman"/>
          <w:color w:val="000000" w:themeColor="text1"/>
          <w:sz w:val="28"/>
          <w:szCs w:val="28"/>
        </w:rPr>
        <w:t>Розроблений акт буде діяти до</w:t>
      </w:r>
      <w:r w:rsidR="00202FA4"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444F"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затвердження </w:t>
      </w:r>
      <w:r w:rsidR="00C0444F">
        <w:rPr>
          <w:rFonts w:ascii="Times New Roman" w:eastAsia="Times New Roman" w:hAnsi="Times New Roman"/>
          <w:sz w:val="28"/>
          <w:szCs w:val="28"/>
          <w:lang w:eastAsia="uk-UA"/>
        </w:rPr>
        <w:t xml:space="preserve">нового </w:t>
      </w:r>
      <w:r w:rsidR="00C0444F" w:rsidRPr="00C6276A">
        <w:rPr>
          <w:rFonts w:ascii="Times New Roman" w:eastAsia="Times New Roman" w:hAnsi="Times New Roman"/>
          <w:sz w:val="28"/>
          <w:szCs w:val="28"/>
          <w:lang w:eastAsia="uk-UA"/>
        </w:rPr>
        <w:t>Типов</w:t>
      </w:r>
      <w:r w:rsidR="00C0444F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C0444F" w:rsidRPr="00C6276A">
        <w:rPr>
          <w:rFonts w:ascii="Times New Roman" w:eastAsia="Times New Roman" w:hAnsi="Times New Roman"/>
          <w:sz w:val="28"/>
          <w:szCs w:val="28"/>
          <w:lang w:eastAsia="uk-UA"/>
        </w:rPr>
        <w:t xml:space="preserve"> положення про організацію освітнього процесу в закладах фахової передвищої освіти</w:t>
      </w:r>
      <w:r w:rsidR="00C0444F"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2FA4"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або  втрати чинності </w:t>
      </w:r>
      <w:r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у разі зміни вимог законодавства щодо </w:t>
      </w:r>
      <w:r w:rsidR="00C0444F">
        <w:rPr>
          <w:rFonts w:ascii="Times New Roman" w:hAnsi="Times New Roman"/>
          <w:color w:val="000000" w:themeColor="text1"/>
          <w:sz w:val="28"/>
          <w:szCs w:val="28"/>
        </w:rPr>
        <w:t>організації освітнього процесу у закладах</w:t>
      </w:r>
      <w:r w:rsidR="00202FA4" w:rsidRPr="00F42F77">
        <w:rPr>
          <w:rFonts w:ascii="Times New Roman" w:hAnsi="Times New Roman"/>
          <w:color w:val="000000" w:themeColor="text1"/>
          <w:sz w:val="28"/>
          <w:szCs w:val="28"/>
        </w:rPr>
        <w:t xml:space="preserve"> фахової передвищої освіти</w:t>
      </w:r>
      <w:r w:rsidRPr="00F42F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78AA" w:rsidRPr="00F42F77" w:rsidRDefault="004F78AA" w:rsidP="00ED2AD3">
      <w:pPr>
        <w:pStyle w:val="1"/>
        <w:numPr>
          <w:ilvl w:val="0"/>
          <w:numId w:val="4"/>
        </w:numPr>
        <w:spacing w:before="36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77">
        <w:rPr>
          <w:rFonts w:ascii="Times New Roman" w:hAnsi="Times New Roman" w:cs="Times New Roman"/>
          <w:b/>
          <w:bCs/>
          <w:sz w:val="28"/>
          <w:szCs w:val="28"/>
        </w:rPr>
        <w:t>Визначення показників результативності дії регуляторного акта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>Прогнозними значеннями показників результативності регуляторного акта є: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>1. Розмір надходжень до державного та місцевих бюджетів і державних цільових фондів, пов’язаних із дією акта – не передбачається.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>2. Кількість суб’єктів господарювання – 750.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 xml:space="preserve">3. Розмір коштів і час, які витрачаються суб’єктами господарювання у зв’язку із виконанням вимог </w:t>
      </w:r>
      <w:r w:rsidRPr="002F2664">
        <w:rPr>
          <w:rFonts w:ascii="Times New Roman" w:hAnsi="Times New Roman"/>
          <w:color w:val="000000" w:themeColor="text1"/>
          <w:sz w:val="28"/>
          <w:szCs w:val="28"/>
        </w:rPr>
        <w:t>акта – 58890.00 грн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>Кількість часу, який витрачатиметься суб’єктом господарювання у зв’язку із виконанням вимог акта – один місяць.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 xml:space="preserve">4. Рівень поінформованості здобувачів освіти з основних положень акта – високий, оскільки повідомлення про оприлюднення проекту акта та аналізу 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регуляторного впливу акта розміщено на офіційному веб-сайті Міністерства освіти і науки України (</w:t>
      </w:r>
      <w:hyperlink r:id="rId8" w:history="1">
        <w:r w:rsidRPr="001A0843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http://mon.gov.ua</w:t>
        </w:r>
      </w:hyperlink>
      <w:r w:rsidRPr="001A0843">
        <w:rPr>
          <w:rFonts w:ascii="Times New Roman" w:hAnsi="Times New Roman"/>
          <w:color w:val="000000" w:themeColor="text1"/>
          <w:sz w:val="28"/>
          <w:szCs w:val="28"/>
        </w:rPr>
        <w:t>) та забезпечено його адресну розсилку закладам фахової передвищої освіти.</w:t>
      </w:r>
    </w:p>
    <w:p w:rsidR="001A0843" w:rsidRPr="001A0843" w:rsidRDefault="001A0843" w:rsidP="001A084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843">
        <w:rPr>
          <w:rFonts w:ascii="Times New Roman" w:hAnsi="Times New Roman"/>
          <w:color w:val="000000" w:themeColor="text1"/>
          <w:sz w:val="28"/>
          <w:szCs w:val="28"/>
        </w:rPr>
        <w:t>Кількісними показниками результативності акта є:</w:t>
      </w:r>
    </w:p>
    <w:p w:rsidR="001A0843" w:rsidRPr="001A0843" w:rsidRDefault="001A0843" w:rsidP="001A0843">
      <w:pPr>
        <w:spacing w:line="240" w:lineRule="auto"/>
        <w:ind w:left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0843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закладів фахової передвищої освіти, що розробили власні Положення про організацію освітнього процесу в закладі фахової передвищої освіти на основі затвердженого 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t xml:space="preserve">Типового 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t>положення</w:t>
      </w:r>
      <w:r w:rsidRPr="001A0843">
        <w:rPr>
          <w:rFonts w:ascii="Times New Roman" w:hAnsi="Times New Roman"/>
          <w:sz w:val="27"/>
          <w:szCs w:val="27"/>
          <w:lang w:eastAsia="ru-RU"/>
        </w:rPr>
        <w:t>;</w:t>
      </w:r>
    </w:p>
    <w:p w:rsidR="00FE14C7" w:rsidRPr="001A0843" w:rsidRDefault="001A0843" w:rsidP="001A0843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0843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здобувачів фахової передвищої освіти, які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отримують освітні послуги в закладах фахової передвищої освіти на підставі </w:t>
      </w:r>
      <w:r w:rsidRPr="001A0843">
        <w:rPr>
          <w:rFonts w:ascii="Times New Roman" w:hAnsi="Times New Roman"/>
          <w:color w:val="000000" w:themeColor="text1"/>
          <w:sz w:val="28"/>
          <w:szCs w:val="28"/>
        </w:rPr>
        <w:t>Положення про організацію освітнього процесу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закладів</w:t>
      </w:r>
      <w:r>
        <w:rPr>
          <w:rFonts w:ascii="Times New Roman" w:hAnsi="Times New Roman"/>
          <w:sz w:val="27"/>
          <w:szCs w:val="27"/>
          <w:lang w:eastAsia="ru-RU"/>
        </w:rPr>
        <w:t>.</w:t>
      </w:r>
    </w:p>
    <w:p w:rsidR="004F78AA" w:rsidRPr="00F42F77" w:rsidRDefault="004F78AA" w:rsidP="00ED2AD3">
      <w:pPr>
        <w:pStyle w:val="1"/>
        <w:numPr>
          <w:ilvl w:val="0"/>
          <w:numId w:val="4"/>
        </w:numPr>
        <w:spacing w:before="360"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F77">
        <w:rPr>
          <w:rFonts w:ascii="Times New Roman" w:hAnsi="Times New Roman" w:cs="Times New Roman"/>
          <w:b/>
          <w:bCs/>
          <w:sz w:val="28"/>
          <w:szCs w:val="28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8E3FD8" w:rsidRPr="008E3FD8" w:rsidRDefault="008E3FD8" w:rsidP="008E3FD8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FD8">
        <w:rPr>
          <w:rFonts w:ascii="Times New Roman" w:hAnsi="Times New Roman"/>
          <w:color w:val="000000" w:themeColor="text1"/>
          <w:sz w:val="28"/>
          <w:szCs w:val="28"/>
        </w:rPr>
        <w:t xml:space="preserve">Відстеження результативності проєкту акта буде здійснюватися розробником регуляторного акта відповідно до вимог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акта, затвердженої постановою Кабінету Міністрів України від 11.03.2004 № 308 «Про затвердження </w:t>
      </w:r>
      <w:proofErr w:type="spellStart"/>
      <w:r w:rsidRPr="008E3FD8">
        <w:rPr>
          <w:rFonts w:ascii="Times New Roman" w:hAnsi="Times New Roman"/>
          <w:color w:val="000000" w:themeColor="text1"/>
          <w:sz w:val="28"/>
          <w:szCs w:val="28"/>
        </w:rPr>
        <w:t>методик</w:t>
      </w:r>
      <w:proofErr w:type="spellEnd"/>
      <w:r w:rsidRPr="008E3FD8">
        <w:rPr>
          <w:rFonts w:ascii="Times New Roman" w:hAnsi="Times New Roman"/>
          <w:color w:val="000000" w:themeColor="text1"/>
          <w:sz w:val="28"/>
          <w:szCs w:val="28"/>
        </w:rPr>
        <w:t xml:space="preserve"> проведення аналізу впливу та відстеження результативності регуляторного акта» (із змінами від 16.12.2015 № 1151).</w:t>
      </w:r>
    </w:p>
    <w:p w:rsidR="008E3FD8" w:rsidRPr="008E3FD8" w:rsidRDefault="008E3FD8" w:rsidP="008E3FD8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FD8">
        <w:rPr>
          <w:rFonts w:ascii="Times New Roman" w:hAnsi="Times New Roman"/>
          <w:color w:val="000000" w:themeColor="text1"/>
          <w:sz w:val="28"/>
          <w:szCs w:val="28"/>
        </w:rPr>
        <w:t>Базове відстеження результативності буде проведено через рік після набрання чинності проєкту акта.</w:t>
      </w:r>
    </w:p>
    <w:p w:rsidR="008E3FD8" w:rsidRPr="008E3FD8" w:rsidRDefault="008E3FD8" w:rsidP="008E3FD8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FD8">
        <w:rPr>
          <w:rFonts w:ascii="Times New Roman" w:hAnsi="Times New Roman"/>
          <w:color w:val="000000" w:themeColor="text1"/>
          <w:sz w:val="28"/>
          <w:szCs w:val="28"/>
        </w:rPr>
        <w:t>Повторне відстеження - буде проведено через рік після базового відстеження.</w:t>
      </w:r>
    </w:p>
    <w:p w:rsidR="008E3FD8" w:rsidRPr="008E3FD8" w:rsidRDefault="008E3FD8" w:rsidP="008E3FD8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FD8">
        <w:rPr>
          <w:rFonts w:ascii="Times New Roman" w:hAnsi="Times New Roman"/>
          <w:color w:val="000000" w:themeColor="text1"/>
          <w:sz w:val="28"/>
          <w:szCs w:val="28"/>
        </w:rPr>
        <w:t>Періодичне відстеження результативності проєкту акта буде здійснюватися раз на кожні три роки, починаючи з дня закінчення заходів з повторного відстеження результативності цього акта.</w:t>
      </w:r>
    </w:p>
    <w:p w:rsidR="008E3FD8" w:rsidRPr="008E3FD8" w:rsidRDefault="008E3FD8" w:rsidP="008E3FD8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3FD8">
        <w:rPr>
          <w:rFonts w:ascii="Times New Roman" w:hAnsi="Times New Roman"/>
          <w:color w:val="000000" w:themeColor="text1"/>
          <w:sz w:val="28"/>
          <w:szCs w:val="28"/>
        </w:rPr>
        <w:t>Відстеження результативності даного акта буде здійснюватися статистичним та соціологічним методами.</w:t>
      </w:r>
    </w:p>
    <w:p w:rsidR="00113077" w:rsidRPr="00F42F77" w:rsidRDefault="00113077" w:rsidP="001130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F78AA" w:rsidRPr="00F42F77" w:rsidRDefault="004F78AA" w:rsidP="004F78AA">
      <w:pPr>
        <w:pStyle w:val="1"/>
        <w:spacing w:before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8AA" w:rsidRPr="00F42F77" w:rsidRDefault="004F78AA" w:rsidP="004F78AA">
      <w:pPr>
        <w:pStyle w:val="1"/>
        <w:spacing w:before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824"/>
      </w:tblGrid>
      <w:tr w:rsidR="004F78AA" w:rsidRPr="00F42F77" w:rsidTr="000023F9">
        <w:tc>
          <w:tcPr>
            <w:tcW w:w="4916" w:type="dxa"/>
          </w:tcPr>
          <w:p w:rsidR="004F78AA" w:rsidRPr="00F42F77" w:rsidRDefault="004F78AA" w:rsidP="00C64482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F42F77">
              <w:rPr>
                <w:szCs w:val="28"/>
              </w:rPr>
              <w:t>Міністр освіти і науки України</w:t>
            </w:r>
          </w:p>
        </w:tc>
        <w:tc>
          <w:tcPr>
            <w:tcW w:w="4916" w:type="dxa"/>
          </w:tcPr>
          <w:p w:rsidR="004F78AA" w:rsidRPr="00F42F77" w:rsidRDefault="00C64482" w:rsidP="004F7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F42F77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Сергій</w:t>
            </w:r>
            <w:r w:rsidR="004F78AA" w:rsidRPr="00F42F77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F42F77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ШКАРЛЕТ</w:t>
            </w:r>
          </w:p>
          <w:p w:rsidR="004F78AA" w:rsidRPr="00F42F77" w:rsidRDefault="004F78AA" w:rsidP="000023F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F78AA" w:rsidRPr="00F42F77" w:rsidRDefault="004F78AA" w:rsidP="004F78AA">
      <w:pPr>
        <w:rPr>
          <w:rFonts w:ascii="Times New Roman" w:hAnsi="Times New Roman" w:cs="Times New Roman"/>
          <w:sz w:val="28"/>
          <w:szCs w:val="28"/>
        </w:rPr>
      </w:pPr>
      <w:r w:rsidRPr="00F42F77">
        <w:rPr>
          <w:rFonts w:ascii="Times New Roman" w:hAnsi="Times New Roman" w:cs="Times New Roman"/>
          <w:sz w:val="28"/>
          <w:szCs w:val="28"/>
        </w:rPr>
        <w:t>____ ___________ 20</w:t>
      </w:r>
      <w:r w:rsidR="00C64482" w:rsidRPr="00F42F77">
        <w:rPr>
          <w:rFonts w:ascii="Times New Roman" w:hAnsi="Times New Roman" w:cs="Times New Roman"/>
          <w:sz w:val="28"/>
          <w:szCs w:val="28"/>
        </w:rPr>
        <w:t>2</w:t>
      </w:r>
      <w:r w:rsidR="0045630E" w:rsidRPr="00F42F77">
        <w:rPr>
          <w:rFonts w:ascii="Times New Roman" w:hAnsi="Times New Roman" w:cs="Times New Roman"/>
          <w:sz w:val="28"/>
          <w:szCs w:val="28"/>
        </w:rPr>
        <w:t>2</w:t>
      </w:r>
      <w:r w:rsidRPr="00F42F7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A3C15" w:rsidRDefault="00FA3C15" w:rsidP="004F78AA">
      <w:pPr>
        <w:pStyle w:val="1"/>
        <w:spacing w:before="240" w:after="120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A3C15" w:rsidSect="005F1746">
          <w:headerReference w:type="default" r:id="rId9"/>
          <w:pgSz w:w="11906" w:h="16838"/>
          <w:pgMar w:top="851" w:right="567" w:bottom="1701" w:left="1701" w:header="709" w:footer="709" w:gutter="0"/>
          <w:cols w:space="708"/>
          <w:titlePg/>
          <w:docGrid w:linePitch="360"/>
        </w:sectPr>
      </w:pPr>
    </w:p>
    <w:p w:rsidR="00E02471" w:rsidRPr="00F42F77" w:rsidRDefault="00E02471" w:rsidP="004F78AA">
      <w:pPr>
        <w:pStyle w:val="1"/>
        <w:spacing w:before="240" w:after="120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4"/>
        <w:gridCol w:w="5154"/>
      </w:tblGrid>
      <w:tr w:rsidR="000023F9" w:rsidRPr="00F42F77" w:rsidTr="00E44C68">
        <w:tc>
          <w:tcPr>
            <w:tcW w:w="2000" w:type="pct"/>
          </w:tcPr>
          <w:p w:rsidR="000023F9" w:rsidRPr="00F42F77" w:rsidRDefault="000023F9" w:rsidP="00E44C68">
            <w:pPr>
              <w:spacing w:before="180" w:after="1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0" w:type="pct"/>
          </w:tcPr>
          <w:p w:rsidR="000023F9" w:rsidRPr="00F42F77" w:rsidRDefault="000023F9" w:rsidP="00385AC6">
            <w:pPr>
              <w:spacing w:before="180" w:after="18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="00385AC6" w:rsidRPr="00F42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br/>
              <w:t>до Методики проведення аналізу впливу </w:t>
            </w:r>
            <w:r w:rsidRPr="00F42F77">
              <w:rPr>
                <w:rFonts w:ascii="Times New Roman" w:hAnsi="Times New Roman" w:cs="Times New Roman"/>
                <w:sz w:val="28"/>
                <w:szCs w:val="28"/>
              </w:rPr>
              <w:br/>
              <w:t>регуляторного акта</w:t>
            </w:r>
          </w:p>
        </w:tc>
      </w:tr>
    </w:tbl>
    <w:p w:rsidR="00B80FCF" w:rsidRPr="00B80FCF" w:rsidRDefault="000023F9" w:rsidP="00B80FC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n177"/>
      <w:bookmarkEnd w:id="11"/>
      <w:r w:rsidRPr="00F42F77">
        <w:rPr>
          <w:rFonts w:ascii="Times New Roman" w:hAnsi="Times New Roman" w:cs="Times New Roman"/>
          <w:b/>
          <w:bCs/>
          <w:sz w:val="28"/>
          <w:szCs w:val="28"/>
        </w:rPr>
        <w:t>ВИТРАТИ </w:t>
      </w:r>
      <w:r w:rsidRPr="00F42F77">
        <w:rPr>
          <w:rFonts w:ascii="Times New Roman" w:hAnsi="Times New Roman" w:cs="Times New Roman"/>
          <w:sz w:val="28"/>
          <w:szCs w:val="28"/>
        </w:rPr>
        <w:br/>
      </w:r>
      <w:r w:rsidR="00B80FCF" w:rsidRPr="00B80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одного суб’єкта господарювання великого і середнього підприємництва, які виникають внаслідок дії регуля</w:t>
      </w:r>
      <w:r w:rsidR="00B80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торного акта за Альтернативою 2</w:t>
      </w:r>
    </w:p>
    <w:tbl>
      <w:tblPr>
        <w:tblW w:w="9613" w:type="dxa"/>
        <w:tblInd w:w="-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5516"/>
        <w:gridCol w:w="1985"/>
        <w:gridCol w:w="1276"/>
      </w:tblGrid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перший рік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п’ять років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 </w:t>
            </w:r>
          </w:p>
          <w:p w:rsidR="00FA3C15" w:rsidRPr="00E86D6C" w:rsidRDefault="00FA3C15" w:rsidP="003F0CD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Витрати, пов’язані із </w:t>
            </w:r>
            <w:proofErr w:type="spellStart"/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наймом</w:t>
            </w:r>
            <w:proofErr w:type="spellEnd"/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 грн.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(уточнити), гривень</w:t>
            </w:r>
          </w:p>
          <w:p w:rsidR="00FA3C15" w:rsidRPr="00E86D6C" w:rsidRDefault="00FA3C15" w:rsidP="003F0CDB">
            <w:pPr>
              <w:pStyle w:val="rvps14"/>
              <w:spacing w:before="0" w:beforeAutospacing="0" w:after="0" w:afterAutospacing="0"/>
              <w:jc w:val="both"/>
            </w:pPr>
            <w:r w:rsidRPr="00E86D6C">
              <w:t>1. Процедури отримання первинної інформації про вимоги регулювання</w:t>
            </w: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1 год. (час, який витрачається с/г на пошук нормативно-правового акту в мережі Інтернет та ознайомлення з ним) </w:t>
            </w:r>
            <w:r w:rsidRPr="00E86D6C">
              <w:rPr>
                <w:rFonts w:ascii="Times New Roman" w:hAnsi="Times New Roman" w:cs="Times New Roman"/>
                <w:sz w:val="24"/>
                <w:szCs w:val="24"/>
              </w:rPr>
              <w:t>1 год. х 39,26 грн. = 39,26 грн</w:t>
            </w: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pStyle w:val="rvps14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E86D6C">
              <w:t xml:space="preserve">2. Процедури організації виконання вимог регулювання (діяльність щодо розроблення відповідного порядку визнання, надання консультацій та проведення оцінювання здійснюються в межах посадових обов’язків педагогічних і науково-педагогічних працівників закладів освіти) </w:t>
            </w:r>
          </w:p>
          <w:p w:rsidR="00FA3C15" w:rsidRPr="00E86D6C" w:rsidRDefault="00FA3C15" w:rsidP="003F0CDB">
            <w:pPr>
              <w:pStyle w:val="rvps14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E86D6C">
              <w:t xml:space="preserve">1 год х 39,26 грн. = 39,26 грн. </w:t>
            </w:r>
          </w:p>
          <w:p w:rsidR="00FA3C15" w:rsidRPr="00E86D6C" w:rsidRDefault="00FA3C15" w:rsidP="003F0CDB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 обрахунку: приймаємо за основу мінімальну заробітну плату, визначену у погодинному розмірі, що становить 39,26 грн/год. відповідно до Закону України «Про Державний бюджет України на 2022 рік»; 8-годинний робочий день; кількість працівників, що виконують вимоги регулювання – 1 особа.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 26 грн</w:t>
            </w: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39,26 грн</w:t>
            </w: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A3C15" w:rsidRPr="00E86D6C" w:rsidRDefault="00FA3C15" w:rsidP="003F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39,26 грн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240" w:lineRule="auto"/>
              <w:ind w:firstLine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78,52 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A3C15" w:rsidRPr="00E86D6C" w:rsidRDefault="00FA3C15" w:rsidP="003F0CD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  <w:p w:rsidR="00FA3C15" w:rsidRPr="00E86D6C" w:rsidRDefault="00FA3C15" w:rsidP="003F0CD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ind w:firstLine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750</w:t>
            </w:r>
          </w:p>
        </w:tc>
      </w:tr>
      <w:tr w:rsidR="00FA3C15" w:rsidRPr="00E86D6C" w:rsidTr="00FA3C1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after="120" w:line="0" w:lineRule="atLeast"/>
              <w:ind w:firstLine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58890.00</w:t>
            </w: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EA45A1" w:rsidRDefault="00EA45A1">
      <w:bookmarkStart w:id="12" w:name="n178"/>
      <w:bookmarkStart w:id="13" w:name="n179"/>
      <w:bookmarkStart w:id="14" w:name="n232"/>
      <w:bookmarkStart w:id="15" w:name="n231"/>
      <w:bookmarkStart w:id="16" w:name="n189"/>
      <w:bookmarkEnd w:id="12"/>
      <w:bookmarkEnd w:id="13"/>
      <w:bookmarkEnd w:id="14"/>
      <w:bookmarkEnd w:id="15"/>
      <w:bookmarkEnd w:id="16"/>
    </w:p>
    <w:p w:rsidR="00F0150A" w:rsidRDefault="00F0150A">
      <w:pPr>
        <w:sectPr w:rsidR="00F0150A" w:rsidSect="00F0150A">
          <w:pgSz w:w="11906" w:h="16838"/>
          <w:pgMar w:top="851" w:right="567" w:bottom="170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029"/>
      </w:tblGrid>
      <w:tr w:rsidR="00FA3C15" w:rsidRPr="00E86D6C" w:rsidTr="003F0CDB">
        <w:trPr>
          <w:trHeight w:val="1095"/>
        </w:trPr>
        <w:tc>
          <w:tcPr>
            <w:tcW w:w="0" w:type="auto"/>
            <w:hideMark/>
          </w:tcPr>
          <w:p w:rsidR="00FA3C15" w:rsidRPr="00E86D6C" w:rsidRDefault="00FA3C15" w:rsidP="003F0C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6D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3</w:t>
            </w:r>
            <w:r w:rsidRPr="00E86D6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 Аналізу регуляторного впливу</w:t>
            </w:r>
          </w:p>
        </w:tc>
      </w:tr>
    </w:tbl>
    <w:p w:rsidR="00FA3C15" w:rsidRPr="00E86D6C" w:rsidRDefault="00FA3C15" w:rsidP="00FA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6C">
        <w:rPr>
          <w:rFonts w:ascii="Times New Roman" w:hAnsi="Times New Roman" w:cs="Times New Roman"/>
          <w:b/>
          <w:sz w:val="24"/>
          <w:szCs w:val="24"/>
        </w:rPr>
        <w:t>БЮДЖЕТНІ ВИТРАТИ</w:t>
      </w:r>
    </w:p>
    <w:p w:rsidR="00FA3C15" w:rsidRPr="00E86D6C" w:rsidRDefault="00FA3C15" w:rsidP="00FA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6C">
        <w:rPr>
          <w:rFonts w:ascii="Times New Roman" w:hAnsi="Times New Roman" w:cs="Times New Roman"/>
          <w:b/>
          <w:sz w:val="24"/>
          <w:szCs w:val="24"/>
        </w:rPr>
        <w:t>на адміністрування регулювання для суб’єктів великого і середнього підприємництва</w:t>
      </w:r>
    </w:p>
    <w:p w:rsidR="00FA3C15" w:rsidRPr="00E86D6C" w:rsidRDefault="00FA3C15" w:rsidP="00FA3C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C15" w:rsidRPr="00E86D6C" w:rsidRDefault="00FA3C15" w:rsidP="00FA3C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6C">
        <w:rPr>
          <w:rFonts w:ascii="Times New Roman" w:hAnsi="Times New Roman" w:cs="Times New Roman"/>
          <w:sz w:val="24"/>
          <w:szCs w:val="24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FA3C15" w:rsidRPr="00E86D6C" w:rsidRDefault="00FA3C15" w:rsidP="00FA3C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6C">
        <w:rPr>
          <w:rFonts w:ascii="Times New Roman" w:hAnsi="Times New Roman" w:cs="Times New Roman"/>
          <w:sz w:val="24"/>
          <w:szCs w:val="24"/>
        </w:rPr>
        <w:t>Державний орган, для якого здійснюється розрахунок адміністрування регулювання: Міністерство освіти і науки України</w:t>
      </w:r>
    </w:p>
    <w:p w:rsidR="00FA3C15" w:rsidRPr="00E86D6C" w:rsidRDefault="00FA3C15" w:rsidP="00FA3C1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6C">
        <w:rPr>
          <w:rFonts w:ascii="Times New Roman" w:eastAsia="Times New Roman" w:hAnsi="Times New Roman" w:cs="Times New Roman"/>
          <w:sz w:val="24"/>
          <w:szCs w:val="24"/>
        </w:rPr>
        <w:t>Додаткові витрати на виконання вимог регуляторного акту з боку органів виконавчої влади або органів місцевого самоврядування відсутні.</w:t>
      </w:r>
    </w:p>
    <w:p w:rsidR="00FA3C15" w:rsidRPr="00E86D6C" w:rsidRDefault="00FA3C15" w:rsidP="00FA3C1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6C">
        <w:rPr>
          <w:rFonts w:ascii="Times New Roman" w:eastAsia="Times New Roman" w:hAnsi="Times New Roman" w:cs="Times New Roman"/>
          <w:sz w:val="24"/>
          <w:szCs w:val="24"/>
        </w:rPr>
        <w:t>Витрати на виконання вимог регуляторного акту з боку органів виконавчої влади або органів місцевого самоврядування будуть відповідати витратам на заробітну плату співробітників, які за функціональними обов’язками уже здійснюють та в подальшому здійснюватимуть відповідні заходи.</w:t>
      </w:r>
    </w:p>
    <w:p w:rsidR="00FA3C15" w:rsidRPr="00E86D6C" w:rsidRDefault="00FA3C15" w:rsidP="00FA3C1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6C">
        <w:rPr>
          <w:rFonts w:ascii="Times New Roman" w:eastAsia="Times New Roman" w:hAnsi="Times New Roman" w:cs="Times New Roman"/>
          <w:sz w:val="24"/>
          <w:szCs w:val="24"/>
        </w:rPr>
        <w:t>Державне регулювання не передбачає утворення нового державного органу або нового структурного підрозділу діючого органу.</w:t>
      </w:r>
    </w:p>
    <w:p w:rsidR="00FA3C15" w:rsidRPr="00E86D6C" w:rsidRDefault="00FA3C15" w:rsidP="00FA3C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134"/>
        <w:gridCol w:w="1560"/>
        <w:gridCol w:w="1560"/>
        <w:gridCol w:w="1042"/>
        <w:gridCol w:w="1917"/>
      </w:tblGrid>
      <w:tr w:rsidR="00FA3C15" w:rsidRPr="00E86D6C" w:rsidTr="00F0150A">
        <w:trPr>
          <w:jc w:val="center"/>
        </w:trPr>
        <w:tc>
          <w:tcPr>
            <w:tcW w:w="13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Планові витрати часу на процедуру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адміністрування регулювання* (за рік), гривень</w:t>
            </w:r>
          </w:p>
        </w:tc>
      </w:tr>
      <w:tr w:rsidR="00FA3C15" w:rsidRPr="00E86D6C" w:rsidTr="00F0150A">
        <w:trPr>
          <w:jc w:val="center"/>
        </w:trPr>
        <w:tc>
          <w:tcPr>
            <w:tcW w:w="130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FA3C15" w:rsidRPr="00E86D6C" w:rsidTr="00F0150A">
        <w:trPr>
          <w:trHeight w:val="1869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FA3C15" w:rsidRPr="00E86D6C" w:rsidTr="00F0150A">
        <w:trPr>
          <w:trHeight w:val="4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C15" w:rsidRPr="00E86D6C" w:rsidTr="00F0150A">
        <w:trPr>
          <w:trHeight w:val="241"/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камеральні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A3C15" w:rsidRPr="00E86D6C" w:rsidTr="00F0150A">
        <w:trPr>
          <w:trHeight w:val="456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виїзні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A3C15" w:rsidRPr="00E86D6C" w:rsidTr="00F0150A">
        <w:trPr>
          <w:trHeight w:val="1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C15" w:rsidRPr="00E86D6C" w:rsidTr="00F0150A">
        <w:trPr>
          <w:trHeight w:val="1276"/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</w:t>
            </w:r>
          </w:p>
        </w:tc>
      </w:tr>
      <w:tr w:rsidR="00FA3C15" w:rsidRPr="00E86D6C" w:rsidTr="00F0150A">
        <w:trPr>
          <w:trHeight w:val="1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C15" w:rsidRPr="00E86D6C" w:rsidTr="00F0150A">
        <w:trPr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FA3C15" w:rsidRPr="00E86D6C" w:rsidTr="00F0150A">
        <w:trPr>
          <w:trHeight w:val="420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FA3C15" w:rsidRPr="00E86D6C" w:rsidTr="00F0150A">
        <w:trPr>
          <w:trHeight w:val="1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C15" w:rsidRPr="00E86D6C" w:rsidTr="00F0150A">
        <w:trPr>
          <w:trHeight w:val="1395"/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6. Підготовка звітності за результатами регулювання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FA3C15" w:rsidRPr="00E86D6C" w:rsidTr="00F0150A">
        <w:trPr>
          <w:trHeight w:val="1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C15" w:rsidRPr="00E86D6C" w:rsidTr="00F0150A">
        <w:trPr>
          <w:trHeight w:val="1365"/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7. Інші адміністративні процедури (уточнити):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FA3C15" w:rsidRPr="00E86D6C" w:rsidTr="00F0150A">
        <w:trPr>
          <w:trHeight w:val="45"/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C15" w:rsidRPr="00E86D6C" w:rsidTr="00F0150A">
        <w:trPr>
          <w:jc w:val="center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за рік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C15" w:rsidRPr="00E86D6C" w:rsidTr="00F0150A">
        <w:trPr>
          <w:jc w:val="center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Сумарно за п’ять років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15" w:rsidRPr="00E86D6C" w:rsidRDefault="00FA3C15" w:rsidP="003F0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23F9" w:rsidRPr="007A4C1D" w:rsidRDefault="000023F9" w:rsidP="00731359">
      <w:pPr>
        <w:shd w:val="clear" w:color="auto" w:fill="FFFFFF"/>
        <w:ind w:firstLine="540"/>
        <w:jc w:val="center"/>
        <w:textAlignment w:val="baseline"/>
        <w:rPr>
          <w:sz w:val="28"/>
          <w:szCs w:val="28"/>
        </w:rPr>
      </w:pPr>
    </w:p>
    <w:sectPr w:rsidR="000023F9" w:rsidRPr="007A4C1D" w:rsidSect="00F0150A">
      <w:pgSz w:w="11906" w:h="16838"/>
      <w:pgMar w:top="851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CD" w:rsidRDefault="002C61CD" w:rsidP="005F1746">
      <w:pPr>
        <w:spacing w:after="0" w:line="240" w:lineRule="auto"/>
      </w:pPr>
      <w:r>
        <w:separator/>
      </w:r>
    </w:p>
  </w:endnote>
  <w:endnote w:type="continuationSeparator" w:id="0">
    <w:p w:rsidR="002C61CD" w:rsidRDefault="002C61CD" w:rsidP="005F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adea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CD" w:rsidRDefault="002C61CD" w:rsidP="005F1746">
      <w:pPr>
        <w:spacing w:after="0" w:line="240" w:lineRule="auto"/>
      </w:pPr>
      <w:r>
        <w:separator/>
      </w:r>
    </w:p>
  </w:footnote>
  <w:footnote w:type="continuationSeparator" w:id="0">
    <w:p w:rsidR="002C61CD" w:rsidRDefault="002C61CD" w:rsidP="005F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501301"/>
      <w:docPartObj>
        <w:docPartGallery w:val="Page Numbers (Top of Page)"/>
        <w:docPartUnique/>
      </w:docPartObj>
    </w:sdtPr>
    <w:sdtContent>
      <w:p w:rsidR="008D29F4" w:rsidRDefault="008D29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EC" w:rsidRPr="004D14EC">
          <w:rPr>
            <w:noProof/>
            <w:lang w:val="ru-RU"/>
          </w:rPr>
          <w:t>2</w:t>
        </w:r>
        <w:r>
          <w:fldChar w:fldCharType="end"/>
        </w:r>
      </w:p>
    </w:sdtContent>
  </w:sdt>
  <w:p w:rsidR="008D29F4" w:rsidRDefault="008D2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AED"/>
    <w:multiLevelType w:val="hybridMultilevel"/>
    <w:tmpl w:val="A0D22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07BB8"/>
    <w:multiLevelType w:val="hybridMultilevel"/>
    <w:tmpl w:val="0D46BCAC"/>
    <w:lvl w:ilvl="0" w:tplc="7E700B90">
      <w:start w:val="6"/>
      <w:numFmt w:val="upperRoman"/>
      <w:lvlText w:val="%1."/>
      <w:lvlJc w:val="left"/>
      <w:pPr>
        <w:ind w:left="1287" w:hanging="7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D961DB"/>
    <w:multiLevelType w:val="hybridMultilevel"/>
    <w:tmpl w:val="92F4FF66"/>
    <w:lvl w:ilvl="0" w:tplc="17BA9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B0F43"/>
    <w:multiLevelType w:val="hybridMultilevel"/>
    <w:tmpl w:val="112AF7C4"/>
    <w:lvl w:ilvl="0" w:tplc="A728290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color w:val="auto"/>
      </w:rPr>
    </w:lvl>
    <w:lvl w:ilvl="1" w:tplc="AE4AE88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6424D61"/>
    <w:multiLevelType w:val="hybridMultilevel"/>
    <w:tmpl w:val="428A3E78"/>
    <w:lvl w:ilvl="0" w:tplc="64C8BBC0">
      <w:start w:val="4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44076"/>
    <w:multiLevelType w:val="hybridMultilevel"/>
    <w:tmpl w:val="BE28767C"/>
    <w:lvl w:ilvl="0" w:tplc="3B8A78D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E27D2A"/>
    <w:multiLevelType w:val="hybridMultilevel"/>
    <w:tmpl w:val="D374AA22"/>
    <w:lvl w:ilvl="0" w:tplc="57A239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47132"/>
    <w:multiLevelType w:val="hybridMultilevel"/>
    <w:tmpl w:val="112AF7C4"/>
    <w:lvl w:ilvl="0" w:tplc="A728290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color w:val="auto"/>
      </w:rPr>
    </w:lvl>
    <w:lvl w:ilvl="1" w:tplc="AE4AE88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A4"/>
    <w:rsid w:val="000023F9"/>
    <w:rsid w:val="00006D89"/>
    <w:rsid w:val="00016944"/>
    <w:rsid w:val="000265FC"/>
    <w:rsid w:val="000357D3"/>
    <w:rsid w:val="00035808"/>
    <w:rsid w:val="0004276D"/>
    <w:rsid w:val="00057061"/>
    <w:rsid w:val="00062C05"/>
    <w:rsid w:val="00065D70"/>
    <w:rsid w:val="00070779"/>
    <w:rsid w:val="000B2045"/>
    <w:rsid w:val="000C6552"/>
    <w:rsid w:val="000D222A"/>
    <w:rsid w:val="000D445A"/>
    <w:rsid w:val="000E2CB4"/>
    <w:rsid w:val="00113077"/>
    <w:rsid w:val="0013294E"/>
    <w:rsid w:val="001524B2"/>
    <w:rsid w:val="00185A68"/>
    <w:rsid w:val="001A0843"/>
    <w:rsid w:val="001A285B"/>
    <w:rsid w:val="001B7601"/>
    <w:rsid w:val="001C15A2"/>
    <w:rsid w:val="00202FA4"/>
    <w:rsid w:val="00224F07"/>
    <w:rsid w:val="00242F3A"/>
    <w:rsid w:val="002C4E3F"/>
    <w:rsid w:val="002C61CD"/>
    <w:rsid w:val="002D1D4C"/>
    <w:rsid w:val="002E2BF7"/>
    <w:rsid w:val="002F2664"/>
    <w:rsid w:val="00303968"/>
    <w:rsid w:val="003135FB"/>
    <w:rsid w:val="00314526"/>
    <w:rsid w:val="003209A9"/>
    <w:rsid w:val="00322DE5"/>
    <w:rsid w:val="003230C3"/>
    <w:rsid w:val="00332794"/>
    <w:rsid w:val="003516CF"/>
    <w:rsid w:val="00353C7F"/>
    <w:rsid w:val="00361D5A"/>
    <w:rsid w:val="003773B5"/>
    <w:rsid w:val="00385AC6"/>
    <w:rsid w:val="003939FF"/>
    <w:rsid w:val="0039540D"/>
    <w:rsid w:val="003A1B32"/>
    <w:rsid w:val="003B7FF7"/>
    <w:rsid w:val="003C3811"/>
    <w:rsid w:val="003E1A6A"/>
    <w:rsid w:val="003F22F3"/>
    <w:rsid w:val="00406E34"/>
    <w:rsid w:val="004139CE"/>
    <w:rsid w:val="00423C1E"/>
    <w:rsid w:val="00424C2F"/>
    <w:rsid w:val="004426C2"/>
    <w:rsid w:val="0045630E"/>
    <w:rsid w:val="00480ABE"/>
    <w:rsid w:val="004B06E9"/>
    <w:rsid w:val="004D003F"/>
    <w:rsid w:val="004D10EF"/>
    <w:rsid w:val="004D14EC"/>
    <w:rsid w:val="004D25CD"/>
    <w:rsid w:val="004D4B75"/>
    <w:rsid w:val="004F24E6"/>
    <w:rsid w:val="004F4573"/>
    <w:rsid w:val="004F78AA"/>
    <w:rsid w:val="00504DE5"/>
    <w:rsid w:val="0051546C"/>
    <w:rsid w:val="00523100"/>
    <w:rsid w:val="0052485B"/>
    <w:rsid w:val="00526D6A"/>
    <w:rsid w:val="0053129C"/>
    <w:rsid w:val="005333D9"/>
    <w:rsid w:val="00542691"/>
    <w:rsid w:val="00554192"/>
    <w:rsid w:val="00564AFB"/>
    <w:rsid w:val="00587D6A"/>
    <w:rsid w:val="005D6464"/>
    <w:rsid w:val="005E190D"/>
    <w:rsid w:val="005E566A"/>
    <w:rsid w:val="005F1746"/>
    <w:rsid w:val="0060453B"/>
    <w:rsid w:val="006100DA"/>
    <w:rsid w:val="00627AF2"/>
    <w:rsid w:val="00636B32"/>
    <w:rsid w:val="006558C4"/>
    <w:rsid w:val="006577C9"/>
    <w:rsid w:val="00675321"/>
    <w:rsid w:val="006A1A46"/>
    <w:rsid w:val="006A4668"/>
    <w:rsid w:val="006A68B7"/>
    <w:rsid w:val="006C4FB7"/>
    <w:rsid w:val="006C715D"/>
    <w:rsid w:val="006E0375"/>
    <w:rsid w:val="006F1C01"/>
    <w:rsid w:val="006F2333"/>
    <w:rsid w:val="00710A84"/>
    <w:rsid w:val="00721A4A"/>
    <w:rsid w:val="00723423"/>
    <w:rsid w:val="007254E3"/>
    <w:rsid w:val="0073028C"/>
    <w:rsid w:val="00730547"/>
    <w:rsid w:val="00731359"/>
    <w:rsid w:val="0079236B"/>
    <w:rsid w:val="0079398E"/>
    <w:rsid w:val="00797022"/>
    <w:rsid w:val="007A4C1D"/>
    <w:rsid w:val="007B1C14"/>
    <w:rsid w:val="007F757F"/>
    <w:rsid w:val="008029A9"/>
    <w:rsid w:val="00827B93"/>
    <w:rsid w:val="0083547C"/>
    <w:rsid w:val="00846D45"/>
    <w:rsid w:val="00847A37"/>
    <w:rsid w:val="00851142"/>
    <w:rsid w:val="008540F3"/>
    <w:rsid w:val="00857B28"/>
    <w:rsid w:val="00867A96"/>
    <w:rsid w:val="00871DB6"/>
    <w:rsid w:val="0087585C"/>
    <w:rsid w:val="008B0C93"/>
    <w:rsid w:val="008B6F05"/>
    <w:rsid w:val="008D29F4"/>
    <w:rsid w:val="008D621D"/>
    <w:rsid w:val="008D681C"/>
    <w:rsid w:val="008E3FD8"/>
    <w:rsid w:val="008F1C96"/>
    <w:rsid w:val="008F686E"/>
    <w:rsid w:val="009150B0"/>
    <w:rsid w:val="00915F11"/>
    <w:rsid w:val="00926B2E"/>
    <w:rsid w:val="00927E2B"/>
    <w:rsid w:val="00944342"/>
    <w:rsid w:val="00955D05"/>
    <w:rsid w:val="00962298"/>
    <w:rsid w:val="00965DB3"/>
    <w:rsid w:val="00965EBB"/>
    <w:rsid w:val="00994852"/>
    <w:rsid w:val="009A20EF"/>
    <w:rsid w:val="009B510D"/>
    <w:rsid w:val="009C13AC"/>
    <w:rsid w:val="009E2289"/>
    <w:rsid w:val="009F0691"/>
    <w:rsid w:val="009F4C42"/>
    <w:rsid w:val="009F69EC"/>
    <w:rsid w:val="00A25860"/>
    <w:rsid w:val="00A37B2B"/>
    <w:rsid w:val="00A423F0"/>
    <w:rsid w:val="00A656C3"/>
    <w:rsid w:val="00AD63C7"/>
    <w:rsid w:val="00AF245B"/>
    <w:rsid w:val="00AF48AC"/>
    <w:rsid w:val="00B13950"/>
    <w:rsid w:val="00B14831"/>
    <w:rsid w:val="00B202B6"/>
    <w:rsid w:val="00B53053"/>
    <w:rsid w:val="00B6592C"/>
    <w:rsid w:val="00B666A4"/>
    <w:rsid w:val="00B730FB"/>
    <w:rsid w:val="00B80FCF"/>
    <w:rsid w:val="00B858B3"/>
    <w:rsid w:val="00B86BFE"/>
    <w:rsid w:val="00B92A3B"/>
    <w:rsid w:val="00BD6329"/>
    <w:rsid w:val="00BD75DB"/>
    <w:rsid w:val="00BE10BD"/>
    <w:rsid w:val="00BE3626"/>
    <w:rsid w:val="00BE48CC"/>
    <w:rsid w:val="00BE661E"/>
    <w:rsid w:val="00C0444F"/>
    <w:rsid w:val="00C073B9"/>
    <w:rsid w:val="00C1403C"/>
    <w:rsid w:val="00C30653"/>
    <w:rsid w:val="00C3419E"/>
    <w:rsid w:val="00C36A15"/>
    <w:rsid w:val="00C36D38"/>
    <w:rsid w:val="00C6276A"/>
    <w:rsid w:val="00C63A26"/>
    <w:rsid w:val="00C64482"/>
    <w:rsid w:val="00C91E1A"/>
    <w:rsid w:val="00CB174C"/>
    <w:rsid w:val="00CB7342"/>
    <w:rsid w:val="00CE527D"/>
    <w:rsid w:val="00CF6A47"/>
    <w:rsid w:val="00D0796D"/>
    <w:rsid w:val="00D15067"/>
    <w:rsid w:val="00D561BA"/>
    <w:rsid w:val="00D77E09"/>
    <w:rsid w:val="00D82ABE"/>
    <w:rsid w:val="00D83D5C"/>
    <w:rsid w:val="00D95559"/>
    <w:rsid w:val="00D96367"/>
    <w:rsid w:val="00DA3173"/>
    <w:rsid w:val="00DA43E0"/>
    <w:rsid w:val="00DC5651"/>
    <w:rsid w:val="00DD7A6F"/>
    <w:rsid w:val="00E02471"/>
    <w:rsid w:val="00E0258E"/>
    <w:rsid w:val="00E070E3"/>
    <w:rsid w:val="00E24C72"/>
    <w:rsid w:val="00E26181"/>
    <w:rsid w:val="00E327DF"/>
    <w:rsid w:val="00E37CA0"/>
    <w:rsid w:val="00E44C68"/>
    <w:rsid w:val="00E603AE"/>
    <w:rsid w:val="00E74AA4"/>
    <w:rsid w:val="00E76D57"/>
    <w:rsid w:val="00E92F08"/>
    <w:rsid w:val="00EA45A1"/>
    <w:rsid w:val="00EB7B51"/>
    <w:rsid w:val="00ED2AD3"/>
    <w:rsid w:val="00EF15D6"/>
    <w:rsid w:val="00EF1B3E"/>
    <w:rsid w:val="00EF7ECB"/>
    <w:rsid w:val="00F0150A"/>
    <w:rsid w:val="00F220CB"/>
    <w:rsid w:val="00F37ED8"/>
    <w:rsid w:val="00F42F77"/>
    <w:rsid w:val="00F575DF"/>
    <w:rsid w:val="00F621AA"/>
    <w:rsid w:val="00F6257E"/>
    <w:rsid w:val="00F760DF"/>
    <w:rsid w:val="00FA3C15"/>
    <w:rsid w:val="00FB13E9"/>
    <w:rsid w:val="00FC249F"/>
    <w:rsid w:val="00FC4FC3"/>
    <w:rsid w:val="00FD0FE0"/>
    <w:rsid w:val="00FD1E79"/>
    <w:rsid w:val="00FD681A"/>
    <w:rsid w:val="00FE14C7"/>
    <w:rsid w:val="00FE15F0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E7C0"/>
  <w15:docId w15:val="{4B86E659-EF82-4E13-80BF-F03CA9C4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F0"/>
  </w:style>
  <w:style w:type="paragraph" w:styleId="2">
    <w:name w:val="heading 2"/>
    <w:basedOn w:val="a"/>
    <w:link w:val="20"/>
    <w:qFormat/>
    <w:rsid w:val="008D621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21D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customStyle="1" w:styleId="1">
    <w:name w:val="Без інтервалів1"/>
    <w:rsid w:val="008D62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D5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561BA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rvps12">
    <w:name w:val="rvps12"/>
    <w:basedOn w:val="a"/>
    <w:rsid w:val="00B659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659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E02471"/>
    <w:pPr>
      <w:spacing w:after="125" w:line="240" w:lineRule="auto"/>
      <w:ind w:firstLine="37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Title"/>
    <w:basedOn w:val="a"/>
    <w:link w:val="a4"/>
    <w:qFormat/>
    <w:rsid w:val="004F78A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Заголовок Знак"/>
    <w:basedOn w:val="a0"/>
    <w:link w:val="a3"/>
    <w:rsid w:val="004F78AA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a5">
    <w:name w:val="Нормальний текст"/>
    <w:basedOn w:val="a"/>
    <w:link w:val="a6"/>
    <w:rsid w:val="00B666A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Нормальний текст Знак"/>
    <w:link w:val="a5"/>
    <w:rsid w:val="00B666A4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21AA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621AA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721A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rsid w:val="00D7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D77E09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41">
    <w:name w:val="Font Style41"/>
    <w:rsid w:val="00D77E09"/>
    <w:rPr>
      <w:rFonts w:ascii="Times New Roman" w:hAnsi="Times New Roman" w:cs="Times New Roman"/>
      <w:b/>
      <w:bCs/>
      <w:sz w:val="22"/>
      <w:szCs w:val="22"/>
    </w:rPr>
  </w:style>
  <w:style w:type="character" w:customStyle="1" w:styleId="rvts0">
    <w:name w:val="rvts0"/>
    <w:basedOn w:val="a0"/>
    <w:rsid w:val="00B14831"/>
  </w:style>
  <w:style w:type="character" w:styleId="ac">
    <w:name w:val="Hyperlink"/>
    <w:basedOn w:val="a0"/>
    <w:uiPriority w:val="99"/>
    <w:unhideWhenUsed/>
    <w:rsid w:val="00C91E1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90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2C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5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5F17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1746"/>
  </w:style>
  <w:style w:type="paragraph" w:customStyle="1" w:styleId="Textbody">
    <w:name w:val="Text body"/>
    <w:basedOn w:val="a"/>
    <w:rsid w:val="000B2045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Heading">
    <w:name w:val="Heading"/>
    <w:basedOn w:val="a"/>
    <w:next w:val="Textbody"/>
    <w:rsid w:val="004426C2"/>
    <w:pPr>
      <w:keepNext/>
      <w:suppressAutoHyphens/>
      <w:autoSpaceDN w:val="0"/>
      <w:spacing w:before="240" w:after="120" w:line="276" w:lineRule="auto"/>
      <w:textAlignment w:val="baseline"/>
    </w:pPr>
    <w:rPr>
      <w:rFonts w:ascii="Caladea" w:eastAsia="Caladea" w:hAnsi="Caladea" w:cs="Caladea"/>
      <w:color w:val="000000"/>
      <w:kern w:val="3"/>
      <w:sz w:val="28"/>
      <w:szCs w:val="28"/>
      <w:lang w:val="en-US" w:eastAsia="zh-CN" w:bidi="hi-IN"/>
    </w:rPr>
  </w:style>
  <w:style w:type="character" w:customStyle="1" w:styleId="aa">
    <w:name w:val="Абзац списка Знак"/>
    <w:link w:val="a9"/>
    <w:uiPriority w:val="34"/>
    <w:rsid w:val="003F22F3"/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03580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y.edbo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17</Pages>
  <Words>16587</Words>
  <Characters>9456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 Олена Миколаївна</cp:lastModifiedBy>
  <cp:revision>49</cp:revision>
  <cp:lastPrinted>2021-12-23T10:56:00Z</cp:lastPrinted>
  <dcterms:created xsi:type="dcterms:W3CDTF">2022-10-26T09:27:00Z</dcterms:created>
  <dcterms:modified xsi:type="dcterms:W3CDTF">2022-10-27T13:46:00Z</dcterms:modified>
</cp:coreProperties>
</file>