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4A0FD" w14:textId="77777777" w:rsidR="00194B50" w:rsidRPr="005D73F0" w:rsidRDefault="00194B50" w:rsidP="00194B50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bookmarkStart w:id="0" w:name="_GoBack"/>
      <w:bookmarkEnd w:id="0"/>
      <w:r w:rsidRPr="00667FA4">
        <w:rPr>
          <w:rFonts w:ascii="Times New Roman" w:hAnsi="Times New Roman"/>
          <w:sz w:val="28"/>
          <w:szCs w:val="28"/>
        </w:rPr>
        <w:t>СХВАЛЕНО</w:t>
      </w:r>
      <w:r w:rsidRPr="00667FA4">
        <w:rPr>
          <w:rFonts w:ascii="Times New Roman" w:hAnsi="Times New Roman"/>
          <w:sz w:val="28"/>
          <w:szCs w:val="28"/>
        </w:rPr>
        <w:br/>
        <w:t>розпорядженням Кабінету Міністрів України</w:t>
      </w:r>
      <w:r w:rsidRPr="00667FA4">
        <w:rPr>
          <w:rFonts w:ascii="Times New Roman" w:hAnsi="Times New Roman"/>
          <w:sz w:val="28"/>
          <w:szCs w:val="28"/>
        </w:rPr>
        <w:br/>
        <w:t xml:space="preserve">від </w:t>
      </w:r>
      <w:r w:rsidRPr="005D73F0">
        <w:rPr>
          <w:rFonts w:ascii="Times New Roman" w:hAnsi="Times New Roman"/>
          <w:sz w:val="28"/>
          <w:szCs w:val="28"/>
        </w:rPr>
        <w:t>__</w:t>
      </w:r>
      <w:r w:rsidRPr="00667FA4">
        <w:rPr>
          <w:rFonts w:ascii="Times New Roman" w:hAnsi="Times New Roman"/>
          <w:sz w:val="28"/>
          <w:szCs w:val="28"/>
        </w:rPr>
        <w:t xml:space="preserve"> </w:t>
      </w:r>
      <w:r w:rsidRPr="005D73F0">
        <w:rPr>
          <w:rFonts w:ascii="Times New Roman" w:hAnsi="Times New Roman"/>
          <w:sz w:val="28"/>
          <w:szCs w:val="28"/>
        </w:rPr>
        <w:t>__________</w:t>
      </w:r>
      <w:r w:rsidRPr="00667FA4">
        <w:rPr>
          <w:rFonts w:ascii="Times New Roman" w:hAnsi="Times New Roman"/>
          <w:sz w:val="28"/>
          <w:szCs w:val="28"/>
        </w:rPr>
        <w:t xml:space="preserve"> 20</w:t>
      </w:r>
      <w:r w:rsidRPr="005D73F0">
        <w:rPr>
          <w:rFonts w:ascii="Times New Roman" w:hAnsi="Times New Roman"/>
          <w:sz w:val="28"/>
          <w:szCs w:val="28"/>
        </w:rPr>
        <w:t>___</w:t>
      </w:r>
      <w:r w:rsidRPr="00667FA4">
        <w:rPr>
          <w:rFonts w:ascii="Times New Roman" w:hAnsi="Times New Roman"/>
          <w:sz w:val="28"/>
          <w:szCs w:val="28"/>
        </w:rPr>
        <w:t xml:space="preserve"> р. № </w:t>
      </w:r>
      <w:r w:rsidRPr="005D73F0">
        <w:rPr>
          <w:rFonts w:ascii="Times New Roman" w:hAnsi="Times New Roman"/>
          <w:sz w:val="28"/>
          <w:szCs w:val="28"/>
        </w:rPr>
        <w:t>______</w:t>
      </w:r>
    </w:p>
    <w:p w14:paraId="0830DE48" w14:textId="77777777" w:rsidR="00194B50" w:rsidRDefault="00194B50" w:rsidP="00194B50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55CC37DD" w14:textId="77777777" w:rsidR="00194B50" w:rsidRDefault="00194B50" w:rsidP="00194B5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3B8890D8" w14:textId="77777777" w:rsidR="009B137E" w:rsidRDefault="009B137E" w:rsidP="00194B5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687EC9C" w14:textId="71E00E11" w:rsidR="00194B50" w:rsidRPr="00153EF9" w:rsidRDefault="00194B50" w:rsidP="00194B5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153EF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МЕТОДИЧНІ РЕКОМЕНДАЦІЇ</w:t>
      </w:r>
    </w:p>
    <w:p w14:paraId="778CCF8C" w14:textId="77777777" w:rsidR="00194B50" w:rsidRPr="00153EF9" w:rsidRDefault="00194B50" w:rsidP="00194B5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153EF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щодо формування оптимальної мережі</w:t>
      </w:r>
    </w:p>
    <w:p w14:paraId="70031482" w14:textId="77777777" w:rsidR="00194B50" w:rsidRDefault="00194B50" w:rsidP="00194B50">
      <w:pPr>
        <w:keepNext/>
        <w:keepLines/>
        <w:spacing w:after="0" w:line="240" w:lineRule="auto"/>
        <w:ind w:left="360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153EF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закладів професійної (професійно-технічної) освіти</w:t>
      </w:r>
    </w:p>
    <w:p w14:paraId="3B6946F9" w14:textId="4136B9BC" w:rsidR="00194B50" w:rsidRDefault="00194B50" w:rsidP="006D28AE">
      <w:pPr>
        <w:spacing w:after="0" w:line="240" w:lineRule="auto"/>
      </w:pPr>
    </w:p>
    <w:p w14:paraId="6B803A89" w14:textId="0B008389" w:rsidR="00194B50" w:rsidRPr="00BC6145" w:rsidRDefault="006D28AE" w:rsidP="006D28A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D28AE">
        <w:rPr>
          <w:rFonts w:ascii="Times New Roman" w:hAnsi="Times New Roman"/>
          <w:sz w:val="28"/>
          <w:szCs w:val="28"/>
        </w:rPr>
        <w:t xml:space="preserve">Ці методичні рекомендації розроблені з метою забезпечення довгострокового планування розвитку регіону, формування </w:t>
      </w:r>
      <w:r>
        <w:rPr>
          <w:rFonts w:ascii="Times New Roman" w:hAnsi="Times New Roman"/>
          <w:sz w:val="28"/>
          <w:szCs w:val="28"/>
        </w:rPr>
        <w:t xml:space="preserve">мережі багатопрофільних, багаторівневих </w:t>
      </w:r>
      <w:r w:rsidRPr="006D28AE">
        <w:rPr>
          <w:rFonts w:ascii="Times New Roman" w:hAnsi="Times New Roman"/>
          <w:sz w:val="28"/>
          <w:szCs w:val="28"/>
        </w:rPr>
        <w:t>закладів</w:t>
      </w:r>
      <w:r>
        <w:rPr>
          <w:rFonts w:ascii="Times New Roman" w:hAnsi="Times New Roman"/>
          <w:sz w:val="28"/>
          <w:szCs w:val="28"/>
        </w:rPr>
        <w:t xml:space="preserve"> професійної (професійно-технічної) освіти</w:t>
      </w:r>
      <w:r w:rsidRPr="006D28AE">
        <w:rPr>
          <w:rFonts w:ascii="Times New Roman" w:hAnsi="Times New Roman"/>
          <w:sz w:val="28"/>
          <w:szCs w:val="28"/>
        </w:rPr>
        <w:t xml:space="preserve">, </w:t>
      </w:r>
      <w:r w:rsidR="00BC6145">
        <w:rPr>
          <w:rFonts w:ascii="Times New Roman" w:hAnsi="Times New Roman"/>
          <w:sz w:val="28"/>
          <w:szCs w:val="28"/>
        </w:rPr>
        <w:t>що дозволить</w:t>
      </w:r>
      <w:r w:rsidRPr="006D28AE">
        <w:rPr>
          <w:rFonts w:ascii="Times New Roman" w:hAnsi="Times New Roman"/>
          <w:sz w:val="28"/>
          <w:szCs w:val="28"/>
        </w:rPr>
        <w:t xml:space="preserve"> нада</w:t>
      </w:r>
      <w:r w:rsidR="00BC6145">
        <w:rPr>
          <w:rFonts w:ascii="Times New Roman" w:hAnsi="Times New Roman"/>
          <w:sz w:val="28"/>
          <w:szCs w:val="28"/>
        </w:rPr>
        <w:t>вати якісну освіту (включаючи можливість безперервного навчання)</w:t>
      </w:r>
      <w:r w:rsidRPr="006D28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6145">
        <w:rPr>
          <w:rFonts w:ascii="Times New Roman" w:hAnsi="Times New Roman"/>
          <w:sz w:val="28"/>
          <w:szCs w:val="28"/>
        </w:rPr>
        <w:t>гнучко</w:t>
      </w:r>
      <w:proofErr w:type="spellEnd"/>
      <w:r w:rsidR="00BC6145">
        <w:rPr>
          <w:rFonts w:ascii="Times New Roman" w:hAnsi="Times New Roman"/>
          <w:sz w:val="28"/>
          <w:szCs w:val="28"/>
        </w:rPr>
        <w:t xml:space="preserve"> задовольняти потреби регіонального ринку праці та бути доступною для всіх цільових груп.</w:t>
      </w:r>
    </w:p>
    <w:p w14:paraId="056BC084" w14:textId="6D94D76F" w:rsidR="00BC6145" w:rsidRPr="00C8767E" w:rsidRDefault="00BC6145" w:rsidP="00C8767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219ACBF" w14:textId="434CA72D" w:rsidR="00BC6145" w:rsidRDefault="00C8767E" w:rsidP="004939C8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939C8">
        <w:rPr>
          <w:rFonts w:ascii="Times New Roman" w:hAnsi="Times New Roman"/>
          <w:sz w:val="28"/>
          <w:szCs w:val="28"/>
        </w:rPr>
        <w:t>Рішення щодо створення, реорганізації закладів</w:t>
      </w:r>
      <w:r w:rsidR="00BD5B39" w:rsidRPr="004939C8">
        <w:rPr>
          <w:rFonts w:ascii="Times New Roman" w:hAnsi="Times New Roman"/>
          <w:sz w:val="28"/>
          <w:szCs w:val="28"/>
        </w:rPr>
        <w:t xml:space="preserve"> професійної (професійно-технічної) освіти (далі – заклади П(ПТ)О), формування їх оптимальної мережі </w:t>
      </w:r>
      <w:r w:rsidRPr="004939C8">
        <w:rPr>
          <w:rFonts w:ascii="Times New Roman" w:hAnsi="Times New Roman"/>
          <w:sz w:val="28"/>
          <w:szCs w:val="28"/>
        </w:rPr>
        <w:t xml:space="preserve">повинні прийматися з урахуванням думки </w:t>
      </w:r>
      <w:r w:rsidR="004939C8" w:rsidRPr="004939C8">
        <w:rPr>
          <w:rFonts w:ascii="Times New Roman" w:hAnsi="Times New Roman"/>
          <w:sz w:val="28"/>
          <w:szCs w:val="28"/>
        </w:rPr>
        <w:t>місцевих органів виконавчої влади, місцевого самоврядування, роботодавців та їх об’єднань</w:t>
      </w:r>
      <w:r w:rsidR="00BA56E0">
        <w:rPr>
          <w:rFonts w:ascii="Times New Roman" w:hAnsi="Times New Roman"/>
          <w:sz w:val="28"/>
          <w:szCs w:val="28"/>
        </w:rPr>
        <w:t>, а також</w:t>
      </w:r>
      <w:r w:rsidR="004939C8">
        <w:rPr>
          <w:rFonts w:ascii="Times New Roman" w:hAnsi="Times New Roman"/>
          <w:sz w:val="28"/>
          <w:szCs w:val="28"/>
        </w:rPr>
        <w:t xml:space="preserve"> </w:t>
      </w:r>
      <w:r w:rsidR="004939C8" w:rsidRPr="004939C8">
        <w:rPr>
          <w:rFonts w:ascii="Times New Roman" w:hAnsi="Times New Roman"/>
          <w:sz w:val="28"/>
          <w:szCs w:val="28"/>
        </w:rPr>
        <w:t>соціальних партнерів</w:t>
      </w:r>
      <w:r w:rsidR="004939C8">
        <w:rPr>
          <w:rFonts w:ascii="Times New Roman" w:hAnsi="Times New Roman"/>
          <w:sz w:val="28"/>
          <w:szCs w:val="28"/>
        </w:rPr>
        <w:t>.</w:t>
      </w:r>
    </w:p>
    <w:p w14:paraId="199E5429" w14:textId="77777777" w:rsidR="004939C8" w:rsidRPr="004939C8" w:rsidRDefault="004939C8" w:rsidP="004939C8">
      <w:pPr>
        <w:pStyle w:val="a3"/>
        <w:rPr>
          <w:rFonts w:ascii="Times New Roman" w:hAnsi="Times New Roman"/>
          <w:sz w:val="28"/>
          <w:szCs w:val="28"/>
        </w:rPr>
      </w:pPr>
    </w:p>
    <w:p w14:paraId="544B2C05" w14:textId="6EB63313" w:rsidR="00DB5CFB" w:rsidRPr="00DB5CFB" w:rsidRDefault="00BA7A66" w:rsidP="00DB5CFB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A7A66">
        <w:rPr>
          <w:rFonts w:ascii="Times New Roman" w:hAnsi="Times New Roman"/>
          <w:sz w:val="28"/>
          <w:szCs w:val="28"/>
        </w:rPr>
        <w:t xml:space="preserve">Складення планів </w:t>
      </w:r>
      <w:r>
        <w:rPr>
          <w:rFonts w:ascii="Times New Roman" w:hAnsi="Times New Roman"/>
          <w:sz w:val="28"/>
          <w:szCs w:val="28"/>
        </w:rPr>
        <w:t xml:space="preserve">формування оптимальної </w:t>
      </w:r>
      <w:r w:rsidRPr="00BA7A66">
        <w:rPr>
          <w:rFonts w:ascii="Times New Roman" w:hAnsi="Times New Roman"/>
          <w:sz w:val="28"/>
          <w:szCs w:val="28"/>
        </w:rPr>
        <w:t xml:space="preserve">мережі </w:t>
      </w:r>
      <w:r>
        <w:rPr>
          <w:rFonts w:ascii="Times New Roman" w:hAnsi="Times New Roman"/>
          <w:sz w:val="28"/>
          <w:szCs w:val="28"/>
        </w:rPr>
        <w:t>закладів професійної (</w:t>
      </w:r>
      <w:r w:rsidRPr="00BA7A66">
        <w:rPr>
          <w:rFonts w:ascii="Times New Roman" w:hAnsi="Times New Roman"/>
          <w:sz w:val="28"/>
          <w:szCs w:val="28"/>
        </w:rPr>
        <w:t>професійно-технічн</w:t>
      </w:r>
      <w:r>
        <w:rPr>
          <w:rFonts w:ascii="Times New Roman" w:hAnsi="Times New Roman"/>
          <w:sz w:val="28"/>
          <w:szCs w:val="28"/>
        </w:rPr>
        <w:t>ої</w:t>
      </w:r>
      <w:r w:rsidR="0016309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освіти</w:t>
      </w:r>
      <w:r w:rsidRPr="00BA7A66">
        <w:rPr>
          <w:rFonts w:ascii="Times New Roman" w:hAnsi="Times New Roman"/>
          <w:sz w:val="28"/>
          <w:szCs w:val="28"/>
        </w:rPr>
        <w:t xml:space="preserve"> здійснюється виходячи з необхідності:</w:t>
      </w:r>
    </w:p>
    <w:p w14:paraId="41C538D2" w14:textId="7C1ED282" w:rsidR="00DB5CFB" w:rsidRDefault="00DB5CFB" w:rsidP="001630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n12"/>
      <w:bookmarkEnd w:id="1"/>
      <w:r>
        <w:rPr>
          <w:rFonts w:ascii="Times New Roman" w:hAnsi="Times New Roman"/>
          <w:sz w:val="28"/>
          <w:szCs w:val="28"/>
        </w:rPr>
        <w:t xml:space="preserve">задоволення </w:t>
      </w:r>
      <w:r w:rsidRPr="00631F46">
        <w:rPr>
          <w:rFonts w:ascii="Times New Roman" w:eastAsia="MS Mincho" w:hAnsi="Times New Roman" w:cs="Times New Roman"/>
          <w:sz w:val="28"/>
          <w:szCs w:val="28"/>
          <w:lang w:eastAsia="ja-JP"/>
        </w:rPr>
        <w:t>освітніх запитів молоді та дорослого населення у здобутті професійної (професійно-технічної) освіти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BA56E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професійного (професійно-технічного)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навчання, підвищення кваліфікації, перепідготовки</w:t>
      </w:r>
      <w:r w:rsidRPr="00631F4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 урахуванням потреб регіональної освітньої політики та демографічної ситуації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51B5EF48" w14:textId="0CE471F8" w:rsidR="00BA7A66" w:rsidRPr="0016309B" w:rsidRDefault="00BA7A66" w:rsidP="001630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09B">
        <w:rPr>
          <w:rFonts w:ascii="Times New Roman" w:hAnsi="Times New Roman"/>
          <w:sz w:val="28"/>
          <w:szCs w:val="28"/>
        </w:rPr>
        <w:t xml:space="preserve">забезпечення доступності </w:t>
      </w:r>
      <w:r w:rsidR="0016309B">
        <w:rPr>
          <w:rFonts w:ascii="Times New Roman" w:hAnsi="Times New Roman"/>
          <w:sz w:val="28"/>
          <w:szCs w:val="28"/>
        </w:rPr>
        <w:t>професійної (</w:t>
      </w:r>
      <w:r w:rsidR="0016309B" w:rsidRPr="00BA7A66">
        <w:rPr>
          <w:rFonts w:ascii="Times New Roman" w:hAnsi="Times New Roman"/>
          <w:sz w:val="28"/>
          <w:szCs w:val="28"/>
        </w:rPr>
        <w:t>професійно-технічн</w:t>
      </w:r>
      <w:r w:rsidR="0016309B">
        <w:rPr>
          <w:rFonts w:ascii="Times New Roman" w:hAnsi="Times New Roman"/>
          <w:sz w:val="28"/>
          <w:szCs w:val="28"/>
        </w:rPr>
        <w:t xml:space="preserve">ої) </w:t>
      </w:r>
      <w:r w:rsidRPr="0016309B">
        <w:rPr>
          <w:rFonts w:ascii="Times New Roman" w:hAnsi="Times New Roman"/>
          <w:sz w:val="28"/>
          <w:szCs w:val="28"/>
        </w:rPr>
        <w:t xml:space="preserve">освіти </w:t>
      </w:r>
      <w:r w:rsidR="0016309B">
        <w:rPr>
          <w:rFonts w:ascii="Times New Roman" w:hAnsi="Times New Roman"/>
          <w:sz w:val="28"/>
          <w:szCs w:val="28"/>
        </w:rPr>
        <w:t xml:space="preserve">та навчання </w:t>
      </w:r>
      <w:r w:rsidRPr="0016309B">
        <w:rPr>
          <w:rFonts w:ascii="Times New Roman" w:hAnsi="Times New Roman"/>
          <w:sz w:val="28"/>
          <w:szCs w:val="28"/>
        </w:rPr>
        <w:t>для молоді</w:t>
      </w:r>
      <w:r w:rsidR="0016309B">
        <w:rPr>
          <w:rFonts w:ascii="Times New Roman" w:hAnsi="Times New Roman"/>
          <w:sz w:val="28"/>
          <w:szCs w:val="28"/>
        </w:rPr>
        <w:t xml:space="preserve"> та дорослого населення</w:t>
      </w:r>
      <w:r w:rsidRPr="0016309B">
        <w:rPr>
          <w:rFonts w:ascii="Times New Roman" w:hAnsi="Times New Roman"/>
          <w:sz w:val="28"/>
          <w:szCs w:val="28"/>
        </w:rPr>
        <w:t xml:space="preserve"> регіону незалежно від місця проживання;</w:t>
      </w:r>
    </w:p>
    <w:p w14:paraId="6AE408A8" w14:textId="058A613D" w:rsidR="0009559F" w:rsidRDefault="00BA7A66" w:rsidP="000061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n13"/>
      <w:bookmarkStart w:id="3" w:name="n14"/>
      <w:bookmarkEnd w:id="2"/>
      <w:bookmarkEnd w:id="3"/>
      <w:r w:rsidRPr="0009559F">
        <w:rPr>
          <w:rFonts w:ascii="Times New Roman" w:hAnsi="Times New Roman"/>
          <w:sz w:val="28"/>
          <w:szCs w:val="28"/>
        </w:rPr>
        <w:t>підвищення</w:t>
      </w:r>
      <w:r w:rsidR="00DB5CFB">
        <w:rPr>
          <w:rFonts w:ascii="Times New Roman" w:hAnsi="Times New Roman"/>
          <w:sz w:val="28"/>
          <w:szCs w:val="28"/>
        </w:rPr>
        <w:t xml:space="preserve"> </w:t>
      </w:r>
      <w:r w:rsidRPr="0009559F">
        <w:rPr>
          <w:rFonts w:ascii="Times New Roman" w:hAnsi="Times New Roman"/>
          <w:sz w:val="28"/>
          <w:szCs w:val="28"/>
        </w:rPr>
        <w:t>якості освітніх послуг</w:t>
      </w:r>
      <w:r w:rsidR="0009559F" w:rsidRPr="0009559F">
        <w:rPr>
          <w:rFonts w:ascii="Times New Roman" w:hAnsi="Times New Roman"/>
          <w:sz w:val="28"/>
          <w:szCs w:val="28"/>
        </w:rPr>
        <w:t xml:space="preserve"> з урахуванням індивідуальних </w:t>
      </w:r>
      <w:r w:rsidR="0009559F" w:rsidRPr="000061A0">
        <w:rPr>
          <w:rFonts w:ascii="Times New Roman" w:hAnsi="Times New Roman"/>
          <w:sz w:val="28"/>
          <w:szCs w:val="28"/>
        </w:rPr>
        <w:t>запитів</w:t>
      </w:r>
      <w:r w:rsidR="00DB5CFB">
        <w:rPr>
          <w:rFonts w:ascii="Times New Roman" w:hAnsi="Times New Roman"/>
          <w:sz w:val="28"/>
          <w:szCs w:val="28"/>
        </w:rPr>
        <w:t>,</w:t>
      </w:r>
      <w:r w:rsidR="000061A0" w:rsidRPr="000061A0">
        <w:rPr>
          <w:rFonts w:ascii="Times New Roman" w:hAnsi="Times New Roman"/>
          <w:sz w:val="28"/>
          <w:szCs w:val="28"/>
        </w:rPr>
        <w:t xml:space="preserve"> у тому числі особам з особливими освітніми потребами</w:t>
      </w:r>
      <w:r w:rsidR="0009559F" w:rsidRPr="000061A0">
        <w:rPr>
          <w:rFonts w:ascii="Times New Roman" w:hAnsi="Times New Roman"/>
          <w:sz w:val="28"/>
          <w:szCs w:val="28"/>
        </w:rPr>
        <w:t>;</w:t>
      </w:r>
    </w:p>
    <w:p w14:paraId="10787774" w14:textId="77777777" w:rsidR="0082607F" w:rsidRPr="00631F46" w:rsidRDefault="0082607F" w:rsidP="0082607F">
      <w:pPr>
        <w:tabs>
          <w:tab w:val="left" w:pos="33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31F46">
        <w:rPr>
          <w:rFonts w:ascii="Times New Roman" w:eastAsia="MS Mincho" w:hAnsi="Times New Roman" w:cs="Times New Roman"/>
          <w:sz w:val="28"/>
          <w:szCs w:val="28"/>
          <w:lang w:eastAsia="ja-JP"/>
        </w:rPr>
        <w:t>створення потужних закладів П(ПТ)О на засадах об’єднання малокомплектних закладів П(ПТ)О за територіальним або галузевим принципами;</w:t>
      </w:r>
      <w:r w:rsidRPr="00631F46">
        <w:rPr>
          <w:rFonts w:ascii="Times New Roman" w:eastAsia="MS Mincho" w:hAnsi="Times New Roman" w:cs="Times New Roman"/>
          <w:i/>
          <w:color w:val="00B050"/>
          <w:sz w:val="28"/>
          <w:szCs w:val="28"/>
          <w:lang w:eastAsia="ja-JP"/>
        </w:rPr>
        <w:t xml:space="preserve"> </w:t>
      </w:r>
    </w:p>
    <w:p w14:paraId="5105E223" w14:textId="1FA24B7A" w:rsidR="00BA7A66" w:rsidRPr="000061A0" w:rsidRDefault="000061A0" w:rsidP="008260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забезпечення </w:t>
      </w:r>
      <w:r w:rsidR="00BA7A66" w:rsidRPr="0009559F">
        <w:rPr>
          <w:rFonts w:ascii="Times New Roman" w:hAnsi="Times New Roman"/>
          <w:sz w:val="28"/>
          <w:szCs w:val="28"/>
        </w:rPr>
        <w:t>ефективно</w:t>
      </w:r>
      <w:r>
        <w:rPr>
          <w:rFonts w:ascii="Times New Roman" w:hAnsi="Times New Roman"/>
          <w:sz w:val="28"/>
          <w:szCs w:val="28"/>
        </w:rPr>
        <w:t>го</w:t>
      </w:r>
      <w:r w:rsidR="00BA7A66" w:rsidRPr="0009559F">
        <w:rPr>
          <w:rFonts w:ascii="Times New Roman" w:hAnsi="Times New Roman"/>
          <w:sz w:val="28"/>
          <w:szCs w:val="28"/>
        </w:rPr>
        <w:t xml:space="preserve"> </w:t>
      </w:r>
      <w:r w:rsidR="0009559F" w:rsidRPr="0009559F">
        <w:rPr>
          <w:rFonts w:ascii="Times New Roman" w:hAnsi="Times New Roman"/>
          <w:sz w:val="28"/>
          <w:szCs w:val="28"/>
        </w:rPr>
        <w:t xml:space="preserve">використання </w:t>
      </w:r>
      <w:r w:rsidR="00BA7A66" w:rsidRPr="0009559F">
        <w:rPr>
          <w:rFonts w:ascii="Times New Roman" w:hAnsi="Times New Roman"/>
          <w:sz w:val="28"/>
          <w:szCs w:val="28"/>
        </w:rPr>
        <w:t>навчально-</w:t>
      </w:r>
      <w:r w:rsidR="0009559F" w:rsidRPr="0009559F">
        <w:rPr>
          <w:rFonts w:ascii="Times New Roman" w:hAnsi="Times New Roman"/>
          <w:sz w:val="28"/>
          <w:szCs w:val="28"/>
        </w:rPr>
        <w:t>виробничої бази</w:t>
      </w:r>
      <w:r w:rsidR="00BA7A66" w:rsidRPr="0009559F">
        <w:rPr>
          <w:rFonts w:ascii="Times New Roman" w:hAnsi="Times New Roman"/>
          <w:sz w:val="28"/>
          <w:szCs w:val="28"/>
        </w:rPr>
        <w:t xml:space="preserve"> </w:t>
      </w:r>
      <w:r w:rsidR="0009559F" w:rsidRPr="0009559F">
        <w:rPr>
          <w:rFonts w:ascii="Times New Roman" w:hAnsi="Times New Roman"/>
          <w:sz w:val="28"/>
          <w:szCs w:val="28"/>
        </w:rPr>
        <w:t>закладу П(ПТ)О;</w:t>
      </w:r>
    </w:p>
    <w:p w14:paraId="68B27265" w14:textId="1C3D1CBD" w:rsidR="00BA7A66" w:rsidRDefault="00BA7A66" w:rsidP="007059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n16"/>
      <w:bookmarkStart w:id="5" w:name="n17"/>
      <w:bookmarkStart w:id="6" w:name="n19"/>
      <w:bookmarkStart w:id="7" w:name="n20"/>
      <w:bookmarkStart w:id="8" w:name="n21"/>
      <w:bookmarkEnd w:id="4"/>
      <w:bookmarkEnd w:id="5"/>
      <w:bookmarkEnd w:id="6"/>
      <w:bookmarkEnd w:id="7"/>
      <w:bookmarkEnd w:id="8"/>
      <w:r w:rsidRPr="007059D7">
        <w:rPr>
          <w:rFonts w:ascii="Times New Roman" w:hAnsi="Times New Roman"/>
          <w:sz w:val="28"/>
          <w:szCs w:val="28"/>
        </w:rPr>
        <w:t>забезпечення раціональної концентрації та ефективного використання матеріальних, фінансових, кадрових ресурсів регіону;</w:t>
      </w:r>
    </w:p>
    <w:p w14:paraId="401C3C83" w14:textId="77777777" w:rsidR="00420FBF" w:rsidRPr="00631F46" w:rsidRDefault="00420FBF" w:rsidP="00420FBF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31F4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створення регіональних </w:t>
      </w:r>
      <w:proofErr w:type="spellStart"/>
      <w:r w:rsidRPr="00631F46">
        <w:rPr>
          <w:rFonts w:ascii="Times New Roman" w:eastAsia="MS Mincho" w:hAnsi="Times New Roman" w:cs="Times New Roman"/>
          <w:sz w:val="28"/>
          <w:szCs w:val="28"/>
          <w:lang w:eastAsia="ja-JP"/>
        </w:rPr>
        <w:t>освітньо</w:t>
      </w:r>
      <w:proofErr w:type="spellEnd"/>
      <w:r w:rsidRPr="00631F46">
        <w:rPr>
          <w:rFonts w:ascii="Times New Roman" w:eastAsia="MS Mincho" w:hAnsi="Times New Roman" w:cs="Times New Roman"/>
          <w:sz w:val="28"/>
          <w:szCs w:val="28"/>
          <w:lang w:eastAsia="ja-JP"/>
        </w:rPr>
        <w:t>-виробничих кластерів, які сприятимуть впровадженню дуальної форми здобуття освіти;</w:t>
      </w:r>
    </w:p>
    <w:p w14:paraId="6978C3C1" w14:textId="2B6EB988" w:rsidR="00420FBF" w:rsidRDefault="00420FBF" w:rsidP="00420FB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31F4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залучення інвестицій соціальних партнерів для створення навчально-практичних центрів за галузевим спрямуванням, оновлення </w:t>
      </w:r>
      <w:r w:rsidR="00BA56E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інфраструктури та </w:t>
      </w:r>
      <w:r w:rsidRPr="00631F46">
        <w:rPr>
          <w:rFonts w:ascii="Times New Roman" w:eastAsia="MS Mincho" w:hAnsi="Times New Roman" w:cs="Times New Roman"/>
          <w:sz w:val="28"/>
          <w:szCs w:val="28"/>
          <w:lang w:eastAsia="ja-JP"/>
        </w:rPr>
        <w:t>змісту професійної (професійно-технічної) освіти, упровадження інноваційних виробничих технологій.</w:t>
      </w:r>
    </w:p>
    <w:p w14:paraId="6591FEC4" w14:textId="2CE786D6" w:rsidR="00630F69" w:rsidRDefault="00630F69" w:rsidP="00420FB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1E43E87A" w14:textId="72CC940B" w:rsidR="00630F69" w:rsidRPr="00630F69" w:rsidRDefault="00630F69" w:rsidP="001A4C5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30F6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Для підготовки Плану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формування </w:t>
      </w:r>
      <w:r w:rsidRPr="00630F69">
        <w:rPr>
          <w:rFonts w:ascii="Times New Roman" w:eastAsia="MS Mincho" w:hAnsi="Times New Roman" w:cs="Times New Roman"/>
          <w:sz w:val="28"/>
          <w:szCs w:val="28"/>
          <w:lang w:eastAsia="ja-JP"/>
        </w:rPr>
        <w:t>оптим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альної</w:t>
      </w:r>
      <w:r w:rsidRPr="00630F6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мережі закладів П(ПТ)О створюється робоча група, склад якої затверджується розпорядженням голови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обласної державної адміністрації</w:t>
      </w:r>
      <w:r w:rsidRPr="00630F69">
        <w:rPr>
          <w:rFonts w:ascii="Times New Roman" w:eastAsia="MS Mincho" w:hAnsi="Times New Roman" w:cs="Times New Roman"/>
          <w:sz w:val="28"/>
          <w:szCs w:val="28"/>
          <w:lang w:eastAsia="ja-JP"/>
        </w:rPr>
        <w:t>. Мінімальна кількість членів робочої групи</w:t>
      </w:r>
      <w:r w:rsidR="001A4C5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– </w:t>
      </w:r>
      <w:r w:rsidRPr="00630F69">
        <w:rPr>
          <w:rFonts w:ascii="Times New Roman" w:eastAsia="MS Mincho" w:hAnsi="Times New Roman" w:cs="Times New Roman"/>
          <w:sz w:val="28"/>
          <w:szCs w:val="28"/>
          <w:lang w:eastAsia="ja-JP"/>
        </w:rPr>
        <w:t>сім осіб.</w:t>
      </w:r>
    </w:p>
    <w:p w14:paraId="16E4E7C7" w14:textId="77777777" w:rsidR="001A4C50" w:rsidRPr="00165A8C" w:rsidRDefault="001A4C50" w:rsidP="00630F69">
      <w:pPr>
        <w:contextualSpacing/>
        <w:jc w:val="both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18C7753F" w14:textId="5270AF92" w:rsidR="00630F69" w:rsidRPr="00B12A5C" w:rsidRDefault="001A4C50" w:rsidP="0092692D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>До складу</w:t>
      </w:r>
      <w:r w:rsidR="00630F69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робочої групи</w:t>
      </w:r>
      <w:r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включаються</w:t>
      </w:r>
      <w:r w:rsidR="00B12A5C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  <w:r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30F69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заступник голови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обласної державної адміністрації</w:t>
      </w:r>
      <w:r w:rsidR="00630F69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>, який координує питання функціонування освітньої галузі</w:t>
      </w:r>
      <w:r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630F69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>керівник департаменту/управління або заступник керівника департаменту/управління освіти і науки</w:t>
      </w:r>
      <w:r w:rsidRPr="001A4C5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обласної державної адміністрації</w:t>
      </w:r>
      <w:r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630F69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представник структурного підрозділу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обласної державної адміністрації</w:t>
      </w:r>
      <w:r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30F69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>з питань соціально-економічного розвитку</w:t>
      </w:r>
      <w:r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630F69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>профільні заступники голів територіальних громад, де розташовані заклади П(ПТ)О</w:t>
      </w:r>
      <w:r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630F69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>представник регіонального органу служби зайнятості</w:t>
      </w:r>
      <w:r w:rsidR="00B12A5C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630F69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>представник регіонального об</w:t>
      </w:r>
      <w:r w:rsidR="00BA56E0" w:rsidRPr="00BA56E0">
        <w:rPr>
          <w:rFonts w:ascii="Times New Roman" w:eastAsia="MS Mincho" w:hAnsi="Times New Roman" w:cs="Times New Roman"/>
          <w:sz w:val="28"/>
          <w:szCs w:val="28"/>
          <w:lang w:eastAsia="ja-JP"/>
        </w:rPr>
        <w:t>’</w:t>
      </w:r>
      <w:r w:rsidR="00630F69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>єднання роботодавців</w:t>
      </w:r>
      <w:r w:rsidR="00B12A5C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630F69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>представники роботодавців (ключові роботодавці регіону)</w:t>
      </w:r>
      <w:r w:rsidR="00B12A5C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630F69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>представник регіонального об’єднання професійних спілок або професійного, громадського об’єднання (асоціації)</w:t>
      </w:r>
      <w:r w:rsidR="00B12A5C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="00630F69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представник навчально-методичного (науково-методичного) центру (кабінету) професійно-технічної освіти</w:t>
      </w:r>
      <w:r w:rsidR="00B12A5C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630F69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>керівник ради директорів закладів П(ПТ)О</w:t>
      </w:r>
      <w:r w:rsidR="00B12A5C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630F69"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>представник регіональної неурядової організації.</w:t>
      </w:r>
    </w:p>
    <w:p w14:paraId="36E9B4E0" w14:textId="77777777" w:rsidR="00630F69" w:rsidRPr="00BA56E0" w:rsidRDefault="00630F69" w:rsidP="00630F69">
      <w:pPr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ECCB7B0" w14:textId="018BD401" w:rsidR="00630F69" w:rsidRPr="0092692D" w:rsidRDefault="00D54AC7" w:rsidP="0092692D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54A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Керівником робочої групи доцільно призначити </w:t>
      </w:r>
      <w:r w:rsidR="00630F69" w:rsidRPr="00D54AC7">
        <w:rPr>
          <w:rFonts w:ascii="Times New Roman" w:eastAsia="MS Mincho" w:hAnsi="Times New Roman" w:cs="Times New Roman"/>
          <w:sz w:val="28"/>
          <w:szCs w:val="28"/>
          <w:lang w:eastAsia="ja-JP"/>
        </w:rPr>
        <w:t>заступник</w:t>
      </w:r>
      <w:r w:rsidRPr="00D54AC7">
        <w:rPr>
          <w:rFonts w:ascii="Times New Roman" w:eastAsia="MS Mincho" w:hAnsi="Times New Roman" w:cs="Times New Roman"/>
          <w:sz w:val="28"/>
          <w:szCs w:val="28"/>
          <w:lang w:eastAsia="ja-JP"/>
        </w:rPr>
        <w:t>а</w:t>
      </w:r>
      <w:r w:rsidR="00630F69" w:rsidRPr="00D54A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голови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обласної державної адміністрації</w:t>
      </w:r>
      <w:r w:rsidRPr="00B12A5C"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="00630F69" w:rsidRPr="00D54A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який координує питання освітньої галузі</w:t>
      </w:r>
      <w:r w:rsidRPr="00D54AC7"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="00630F69" w:rsidRPr="00D54A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D54AC7">
        <w:rPr>
          <w:rFonts w:ascii="Times New Roman" w:eastAsia="MS Mincho" w:hAnsi="Times New Roman" w:cs="Times New Roman"/>
          <w:sz w:val="28"/>
          <w:szCs w:val="28"/>
          <w:lang w:eastAsia="ja-JP"/>
        </w:rPr>
        <w:t>з</w:t>
      </w:r>
      <w:r w:rsidR="00630F69" w:rsidRPr="00D54A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аступником </w:t>
      </w:r>
      <w:r w:rsidRPr="00D54A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– </w:t>
      </w:r>
      <w:r w:rsidR="00630F69" w:rsidRPr="00D54AC7">
        <w:rPr>
          <w:rFonts w:ascii="Times New Roman" w:eastAsia="MS Mincho" w:hAnsi="Times New Roman" w:cs="Times New Roman"/>
          <w:sz w:val="28"/>
          <w:szCs w:val="28"/>
          <w:lang w:eastAsia="ja-JP"/>
        </w:rPr>
        <w:t>керівник</w:t>
      </w:r>
      <w:r w:rsidRPr="00D54AC7">
        <w:rPr>
          <w:rFonts w:ascii="Times New Roman" w:eastAsia="MS Mincho" w:hAnsi="Times New Roman" w:cs="Times New Roman"/>
          <w:sz w:val="28"/>
          <w:szCs w:val="28"/>
          <w:lang w:eastAsia="ja-JP"/>
        </w:rPr>
        <w:t>а</w:t>
      </w:r>
      <w:r w:rsidR="00630F69" w:rsidRPr="00D54A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департаменту/управління або заступник</w:t>
      </w:r>
      <w:r w:rsidRPr="00D54AC7">
        <w:rPr>
          <w:rFonts w:ascii="Times New Roman" w:eastAsia="MS Mincho" w:hAnsi="Times New Roman" w:cs="Times New Roman"/>
          <w:sz w:val="28"/>
          <w:szCs w:val="28"/>
          <w:lang w:eastAsia="ja-JP"/>
        </w:rPr>
        <w:t>а</w:t>
      </w:r>
      <w:r w:rsidR="00630F69" w:rsidRPr="00D54A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керівника департаменту/управління освіти і науки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обласної державної адміністрації.</w:t>
      </w:r>
      <w:r w:rsidR="00630F69" w:rsidRPr="0092692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="0092692D" w:rsidRPr="0092692D">
        <w:rPr>
          <w:rFonts w:ascii="Times New Roman" w:eastAsia="MS Mincho" w:hAnsi="Times New Roman" w:cs="Times New Roman"/>
          <w:sz w:val="28"/>
          <w:szCs w:val="28"/>
          <w:lang w:eastAsia="ja-JP"/>
        </w:rPr>
        <w:t>C</w:t>
      </w:r>
      <w:r w:rsidR="00630F69" w:rsidRPr="0092692D">
        <w:rPr>
          <w:rFonts w:ascii="Times New Roman" w:eastAsia="MS Mincho" w:hAnsi="Times New Roman" w:cs="Times New Roman"/>
          <w:sz w:val="28"/>
          <w:szCs w:val="28"/>
          <w:lang w:eastAsia="ja-JP"/>
        </w:rPr>
        <w:t>екретар</w:t>
      </w:r>
      <w:r w:rsidR="0092692D" w:rsidRPr="0092692D">
        <w:rPr>
          <w:rFonts w:ascii="Times New Roman" w:eastAsia="MS Mincho" w:hAnsi="Times New Roman" w:cs="Times New Roman"/>
          <w:sz w:val="28"/>
          <w:szCs w:val="28"/>
          <w:lang w:eastAsia="ja-JP"/>
        </w:rPr>
        <w:t>ем</w:t>
      </w:r>
      <w:proofErr w:type="spellEnd"/>
      <w:r w:rsidR="00630F69" w:rsidRPr="0092692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групи </w:t>
      </w:r>
      <w:r w:rsidR="0092692D" w:rsidRPr="0092692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рекомендовано визначити </w:t>
      </w:r>
      <w:r w:rsidR="00630F69" w:rsidRPr="0092692D">
        <w:rPr>
          <w:rFonts w:ascii="Times New Roman" w:eastAsia="MS Mincho" w:hAnsi="Times New Roman" w:cs="Times New Roman"/>
          <w:sz w:val="28"/>
          <w:szCs w:val="28"/>
          <w:lang w:eastAsia="ja-JP"/>
        </w:rPr>
        <w:t>фахівц</w:t>
      </w:r>
      <w:r w:rsidR="0092692D" w:rsidRPr="0092692D">
        <w:rPr>
          <w:rFonts w:ascii="Times New Roman" w:eastAsia="MS Mincho" w:hAnsi="Times New Roman" w:cs="Times New Roman"/>
          <w:sz w:val="28"/>
          <w:szCs w:val="28"/>
          <w:lang w:eastAsia="ja-JP"/>
        </w:rPr>
        <w:t>я</w:t>
      </w:r>
      <w:r w:rsidR="00630F69" w:rsidRPr="0092692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департаменту/управління освіти і науки </w:t>
      </w:r>
      <w:r w:rsidR="0092692D">
        <w:rPr>
          <w:rFonts w:ascii="Times New Roman" w:eastAsia="MS Mincho" w:hAnsi="Times New Roman" w:cs="Times New Roman"/>
          <w:sz w:val="28"/>
          <w:szCs w:val="28"/>
          <w:lang w:eastAsia="ja-JP"/>
        </w:rPr>
        <w:t>обласної державної адміністрації</w:t>
      </w:r>
      <w:r w:rsidR="00630F69" w:rsidRPr="0092692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</w:t>
      </w:r>
    </w:p>
    <w:p w14:paraId="29F4BC9B" w14:textId="61C1B19E" w:rsidR="0092692D" w:rsidRPr="00BA56E0" w:rsidRDefault="0092692D" w:rsidP="00630F69">
      <w:pPr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14:paraId="33B5B35E" w14:textId="77777777" w:rsidR="003A4781" w:rsidRPr="00630F69" w:rsidRDefault="003A4781" w:rsidP="009B137E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A4781">
        <w:rPr>
          <w:rFonts w:ascii="Times New Roman" w:eastAsia="MS Mincho" w:hAnsi="Times New Roman" w:cs="Times New Roman"/>
          <w:sz w:val="28"/>
          <w:szCs w:val="28"/>
          <w:lang w:eastAsia="ja-JP"/>
        </w:rPr>
        <w:t>Робоча група має право залучати експертів для виконання певних завдань зі збору та аналізу інформації.</w:t>
      </w:r>
    </w:p>
    <w:p w14:paraId="5EC7D7FB" w14:textId="77777777" w:rsidR="003A4781" w:rsidRPr="00BA56E0" w:rsidRDefault="003A4781" w:rsidP="00630F69">
      <w:pPr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14:paraId="3396065A" w14:textId="1AE38EB9" w:rsidR="003A4781" w:rsidRDefault="0092692D" w:rsidP="0054367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A4781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Засідання </w:t>
      </w:r>
      <w:r w:rsidR="00630F69" w:rsidRPr="003A478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робочої групи </w:t>
      </w:r>
      <w:r w:rsidRPr="003A4781">
        <w:rPr>
          <w:rFonts w:ascii="Times New Roman" w:eastAsia="MS Mincho" w:hAnsi="Times New Roman" w:cs="Times New Roman"/>
          <w:sz w:val="28"/>
          <w:szCs w:val="28"/>
          <w:lang w:eastAsia="ja-JP"/>
        </w:rPr>
        <w:t>можуть проводитись</w:t>
      </w:r>
      <w:r w:rsidR="00BA56E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3A478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3A4781" w:rsidRPr="003A478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дистанційно. </w:t>
      </w:r>
    </w:p>
    <w:p w14:paraId="3302BD7E" w14:textId="0B2C49F1" w:rsidR="009B137E" w:rsidRDefault="009B137E" w:rsidP="0054367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4089B266" w14:textId="2968A7BC" w:rsidR="00935651" w:rsidRDefault="00935651" w:rsidP="0054367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35651">
        <w:rPr>
          <w:rFonts w:ascii="Times New Roman" w:eastAsia="MS Mincho" w:hAnsi="Times New Roman" w:cs="Times New Roman"/>
          <w:sz w:val="28"/>
          <w:szCs w:val="28"/>
          <w:lang w:eastAsia="ja-JP"/>
        </w:rPr>
        <w:t>Робоча група здійснює роботу за такими етапами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14:paraId="680F2CDC" w14:textId="545C7FA6" w:rsidR="002A1FE6" w:rsidRPr="002A1FE6" w:rsidRDefault="003529C2" w:rsidP="0054367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3EA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проведення аналізу діючої мережі закладів професійної (професійно-технічної), фахової </w:t>
      </w:r>
      <w:proofErr w:type="spellStart"/>
      <w:r w:rsidRPr="00663EA7">
        <w:rPr>
          <w:rFonts w:ascii="Times New Roman" w:eastAsia="MS Mincho" w:hAnsi="Times New Roman" w:cs="Times New Roman"/>
          <w:sz w:val="28"/>
          <w:szCs w:val="28"/>
          <w:lang w:eastAsia="ja-JP"/>
        </w:rPr>
        <w:t>передвищої</w:t>
      </w:r>
      <w:proofErr w:type="spellEnd"/>
      <w:r w:rsidRPr="00663EA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та загальної середньої освіти в регіоні</w:t>
      </w:r>
      <w:r w:rsidR="00663EA7" w:rsidRPr="00663EA7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  <w:r w:rsidR="00D3408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 цією метою здійснюється:</w:t>
      </w:r>
    </w:p>
    <w:p w14:paraId="293DB564" w14:textId="7C49681E" w:rsidR="00663EA7" w:rsidRPr="002525EA" w:rsidRDefault="00D34081" w:rsidP="005436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2525EA">
        <w:rPr>
          <w:rFonts w:ascii="Times New Roman" w:eastAsia="Calibri" w:hAnsi="Times New Roman" w:cs="Times New Roman"/>
          <w:bCs/>
          <w:sz w:val="28"/>
          <w:szCs w:val="28"/>
          <w:u w:val="single"/>
        </w:rPr>
        <w:t>збір і</w:t>
      </w:r>
      <w:r w:rsidR="00BA56E0" w:rsidRPr="002525EA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аналіз і</w:t>
      </w:r>
      <w:r w:rsidRPr="002525EA">
        <w:rPr>
          <w:rFonts w:ascii="Times New Roman" w:eastAsia="Calibri" w:hAnsi="Times New Roman" w:cs="Times New Roman"/>
          <w:bCs/>
          <w:sz w:val="28"/>
          <w:szCs w:val="28"/>
          <w:u w:val="single"/>
        </w:rPr>
        <w:t>нформації щодо</w:t>
      </w:r>
      <w:r w:rsidR="00663EA7" w:rsidRPr="002525EA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: </w:t>
      </w:r>
    </w:p>
    <w:p w14:paraId="18D522F3" w14:textId="31A3BCC7" w:rsidR="00663EA7" w:rsidRPr="00663EA7" w:rsidRDefault="009B4370" w:rsidP="005436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1FE6">
        <w:rPr>
          <w:rFonts w:ascii="Times New Roman" w:eastAsia="Calibri" w:hAnsi="Times New Roman" w:cs="Times New Roman"/>
          <w:bCs/>
          <w:sz w:val="28"/>
          <w:szCs w:val="28"/>
        </w:rPr>
        <w:t>розташування</w:t>
      </w:r>
      <w:r w:rsidRPr="00663EA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63EA7" w:rsidRPr="00663EA7">
        <w:rPr>
          <w:rFonts w:ascii="Times New Roman" w:eastAsia="Calibri" w:hAnsi="Times New Roman" w:cs="Times New Roman"/>
          <w:bCs/>
          <w:sz w:val="28"/>
          <w:szCs w:val="28"/>
        </w:rPr>
        <w:t>закладів П(ПТ)О і відстань між ними;</w:t>
      </w:r>
    </w:p>
    <w:p w14:paraId="1C8979B1" w14:textId="6D389209" w:rsidR="00663EA7" w:rsidRDefault="009B4370" w:rsidP="005436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віддаленості </w:t>
      </w:r>
      <w:r w:rsidR="00663EA7" w:rsidRPr="00663EA7">
        <w:rPr>
          <w:rFonts w:ascii="Times New Roman" w:eastAsia="Calibri" w:hAnsi="Times New Roman" w:cs="Times New Roman"/>
          <w:bCs/>
          <w:sz w:val="28"/>
          <w:szCs w:val="28"/>
        </w:rPr>
        <w:t>закладів П(ПТ)О</w:t>
      </w:r>
      <w:r w:rsidR="00E60525" w:rsidRPr="00E605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60525">
        <w:rPr>
          <w:rFonts w:ascii="Times New Roman" w:eastAsia="Calibri" w:hAnsi="Times New Roman" w:cs="Times New Roman"/>
          <w:bCs/>
          <w:sz w:val="28"/>
          <w:szCs w:val="28"/>
        </w:rPr>
        <w:t>від</w:t>
      </w:r>
      <w:r w:rsidR="00E60525" w:rsidRPr="00E605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60525">
        <w:rPr>
          <w:rFonts w:ascii="Times New Roman" w:eastAsia="Calibri" w:hAnsi="Times New Roman" w:cs="Times New Roman"/>
          <w:bCs/>
          <w:sz w:val="28"/>
          <w:szCs w:val="28"/>
        </w:rPr>
        <w:t xml:space="preserve">закладів </w:t>
      </w:r>
      <w:r w:rsidR="00E60525" w:rsidRPr="00663EA7">
        <w:rPr>
          <w:rFonts w:ascii="Times New Roman" w:eastAsia="Calibri" w:hAnsi="Times New Roman" w:cs="Times New Roman"/>
          <w:bCs/>
          <w:sz w:val="28"/>
          <w:szCs w:val="28"/>
        </w:rPr>
        <w:t>загальної середньої</w:t>
      </w:r>
      <w:r w:rsidR="00E6052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E60525" w:rsidRPr="00663EA7">
        <w:rPr>
          <w:rFonts w:ascii="Times New Roman" w:eastAsia="Calibri" w:hAnsi="Times New Roman" w:cs="Times New Roman"/>
          <w:bCs/>
          <w:sz w:val="28"/>
          <w:szCs w:val="28"/>
        </w:rPr>
        <w:t xml:space="preserve">фахової </w:t>
      </w:r>
      <w:proofErr w:type="spellStart"/>
      <w:r w:rsidR="00E60525" w:rsidRPr="00663EA7">
        <w:rPr>
          <w:rFonts w:ascii="Times New Roman" w:eastAsia="Calibri" w:hAnsi="Times New Roman" w:cs="Times New Roman"/>
          <w:bCs/>
          <w:sz w:val="28"/>
          <w:szCs w:val="28"/>
        </w:rPr>
        <w:t>передвищої</w:t>
      </w:r>
      <w:proofErr w:type="spellEnd"/>
      <w:r w:rsidR="00E60525" w:rsidRPr="00663EA7">
        <w:rPr>
          <w:rFonts w:ascii="Times New Roman" w:eastAsia="Calibri" w:hAnsi="Times New Roman" w:cs="Times New Roman"/>
          <w:bCs/>
          <w:sz w:val="28"/>
          <w:szCs w:val="28"/>
        </w:rPr>
        <w:t xml:space="preserve"> освіти</w:t>
      </w:r>
      <w:r w:rsidR="002525E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663EA7" w:rsidRPr="00663EA7">
        <w:rPr>
          <w:rFonts w:ascii="Times New Roman" w:eastAsia="Calibri" w:hAnsi="Times New Roman" w:cs="Times New Roman"/>
          <w:bCs/>
          <w:sz w:val="28"/>
          <w:szCs w:val="28"/>
        </w:rPr>
        <w:t xml:space="preserve">закладів освіти центрів зайнятості </w:t>
      </w:r>
      <w:r w:rsidR="002525EA">
        <w:rPr>
          <w:rFonts w:ascii="Times New Roman" w:eastAsia="Calibri" w:hAnsi="Times New Roman" w:cs="Times New Roman"/>
          <w:bCs/>
          <w:sz w:val="28"/>
          <w:szCs w:val="28"/>
        </w:rPr>
        <w:t>та від п</w:t>
      </w:r>
      <w:r w:rsidR="00663EA7" w:rsidRPr="00663EA7">
        <w:rPr>
          <w:rFonts w:ascii="Times New Roman" w:eastAsia="Calibri" w:hAnsi="Times New Roman" w:cs="Times New Roman"/>
          <w:bCs/>
          <w:sz w:val="28"/>
          <w:szCs w:val="28"/>
        </w:rPr>
        <w:t>ідприємств, на яких проход</w:t>
      </w:r>
      <w:r w:rsidR="002525EA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663EA7" w:rsidRPr="00663EA7">
        <w:rPr>
          <w:rFonts w:ascii="Times New Roman" w:eastAsia="Calibri" w:hAnsi="Times New Roman" w:cs="Times New Roman"/>
          <w:bCs/>
          <w:sz w:val="28"/>
          <w:szCs w:val="28"/>
        </w:rPr>
        <w:t xml:space="preserve">ть практику більшість здобувачів освіти </w:t>
      </w:r>
      <w:r w:rsidR="002525EA">
        <w:rPr>
          <w:rFonts w:ascii="Times New Roman" w:eastAsia="Calibri" w:hAnsi="Times New Roman" w:cs="Times New Roman"/>
          <w:bCs/>
          <w:sz w:val="28"/>
          <w:szCs w:val="28"/>
        </w:rPr>
        <w:t xml:space="preserve">конкретного </w:t>
      </w:r>
      <w:r w:rsidR="00663EA7" w:rsidRPr="00663EA7">
        <w:rPr>
          <w:rFonts w:ascii="Times New Roman" w:eastAsia="Calibri" w:hAnsi="Times New Roman" w:cs="Times New Roman"/>
          <w:bCs/>
          <w:sz w:val="28"/>
          <w:szCs w:val="28"/>
        </w:rPr>
        <w:t xml:space="preserve">закладу </w:t>
      </w:r>
      <w:r w:rsidR="00663EA7">
        <w:rPr>
          <w:rFonts w:ascii="Times New Roman" w:eastAsia="Calibri" w:hAnsi="Times New Roman" w:cs="Times New Roman"/>
          <w:bCs/>
          <w:sz w:val="28"/>
          <w:szCs w:val="28"/>
        </w:rPr>
        <w:t>П(ПТ)О</w:t>
      </w:r>
      <w:r w:rsidR="00D3408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6900E320" w14:textId="621625C1" w:rsidR="002A1FE6" w:rsidRPr="009B137E" w:rsidRDefault="002A1FE6" w:rsidP="005436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6190BC0" w14:textId="58DB6E65" w:rsidR="002A1FE6" w:rsidRPr="002525EA" w:rsidRDefault="00D34081" w:rsidP="00543670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2525EA">
        <w:rPr>
          <w:rFonts w:ascii="Times New Roman" w:eastAsia="Calibri" w:hAnsi="Times New Roman" w:cs="Times New Roman"/>
          <w:bCs/>
          <w:sz w:val="28"/>
          <w:szCs w:val="28"/>
          <w:u w:val="single"/>
        </w:rPr>
        <w:t>з</w:t>
      </w:r>
      <w:r w:rsidR="002A1FE6" w:rsidRPr="002525EA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бір </w:t>
      </w:r>
      <w:r w:rsidR="002525EA" w:rsidRPr="002525EA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і аналіз </w:t>
      </w:r>
      <w:r w:rsidR="002A1FE6" w:rsidRPr="002525EA">
        <w:rPr>
          <w:rFonts w:ascii="Times New Roman" w:eastAsia="Calibri" w:hAnsi="Times New Roman" w:cs="Times New Roman"/>
          <w:bCs/>
          <w:sz w:val="28"/>
          <w:szCs w:val="28"/>
          <w:u w:val="single"/>
        </w:rPr>
        <w:t>інформації по кожному закладу П(ПТ)О за 3 роки:</w:t>
      </w:r>
    </w:p>
    <w:p w14:paraId="421DBE9B" w14:textId="5F0E44F2" w:rsidR="002A1FE6" w:rsidRPr="002A1FE6" w:rsidRDefault="002A1FE6" w:rsidP="005436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1FE6">
        <w:rPr>
          <w:rFonts w:ascii="Times New Roman" w:eastAsia="Calibri" w:hAnsi="Times New Roman" w:cs="Times New Roman"/>
          <w:bCs/>
          <w:sz w:val="28"/>
          <w:szCs w:val="28"/>
        </w:rPr>
        <w:t xml:space="preserve">кількість здобувачів освіти денної форми навчання за кожною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професією</w:t>
      </w:r>
      <w:r w:rsidRPr="002A1FE6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</w:p>
    <w:p w14:paraId="0A261B93" w14:textId="17ED77CE" w:rsidR="002A1FE6" w:rsidRPr="002A1FE6" w:rsidRDefault="002A1FE6" w:rsidP="005436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1FE6">
        <w:rPr>
          <w:rFonts w:ascii="Times New Roman" w:eastAsia="Calibri" w:hAnsi="Times New Roman" w:cs="Times New Roman"/>
          <w:bCs/>
          <w:sz w:val="28"/>
          <w:szCs w:val="28"/>
        </w:rPr>
        <w:t>кількість випускників з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2A1FE6">
        <w:rPr>
          <w:rFonts w:ascii="Times New Roman" w:eastAsia="Calibri" w:hAnsi="Times New Roman" w:cs="Times New Roman"/>
          <w:bCs/>
          <w:sz w:val="28"/>
          <w:szCs w:val="28"/>
        </w:rPr>
        <w:t xml:space="preserve"> кожно</w:t>
      </w:r>
      <w:r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2A1FE6">
        <w:rPr>
          <w:rFonts w:ascii="Times New Roman" w:eastAsia="Calibri" w:hAnsi="Times New Roman" w:cs="Times New Roman"/>
          <w:bCs/>
          <w:sz w:val="28"/>
          <w:szCs w:val="28"/>
        </w:rPr>
        <w:t xml:space="preserve"> професі</w:t>
      </w:r>
      <w:r>
        <w:rPr>
          <w:rFonts w:ascii="Times New Roman" w:eastAsia="Calibri" w:hAnsi="Times New Roman" w:cs="Times New Roman"/>
          <w:bCs/>
          <w:sz w:val="28"/>
          <w:szCs w:val="28"/>
        </w:rPr>
        <w:t>єю</w:t>
      </w:r>
      <w:r w:rsidRPr="002A1FE6">
        <w:rPr>
          <w:rFonts w:ascii="Times New Roman" w:eastAsia="Calibri" w:hAnsi="Times New Roman" w:cs="Times New Roman"/>
          <w:bCs/>
          <w:sz w:val="28"/>
          <w:szCs w:val="28"/>
        </w:rPr>
        <w:t xml:space="preserve"> в рік;</w:t>
      </w:r>
    </w:p>
    <w:p w14:paraId="72FC9304" w14:textId="77777777" w:rsidR="002A1FE6" w:rsidRPr="002A1FE6" w:rsidRDefault="002A1FE6" w:rsidP="005436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1FE6">
        <w:rPr>
          <w:rFonts w:ascii="Times New Roman" w:eastAsia="Calibri" w:hAnsi="Times New Roman" w:cs="Times New Roman"/>
          <w:bCs/>
          <w:sz w:val="28"/>
          <w:szCs w:val="28"/>
        </w:rPr>
        <w:t>кількість здобувачів освіти з особливими освітніми потребами;</w:t>
      </w:r>
    </w:p>
    <w:p w14:paraId="5EA0FEA1" w14:textId="77777777" w:rsidR="002A1FE6" w:rsidRPr="002A1FE6" w:rsidRDefault="002A1FE6" w:rsidP="005436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1FE6">
        <w:rPr>
          <w:rFonts w:ascii="Times New Roman" w:eastAsia="Calibri" w:hAnsi="Times New Roman" w:cs="Times New Roman"/>
          <w:bCs/>
          <w:sz w:val="28"/>
          <w:szCs w:val="28"/>
        </w:rPr>
        <w:t>кількість іногородніх здобувачів освіти, які потребують гуртожитку;</w:t>
      </w:r>
    </w:p>
    <w:p w14:paraId="61556231" w14:textId="53BE350E" w:rsidR="002A1FE6" w:rsidRPr="002A1FE6" w:rsidRDefault="002A1FE6" w:rsidP="005436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1FE6">
        <w:rPr>
          <w:rFonts w:ascii="Times New Roman" w:eastAsia="Calibri" w:hAnsi="Times New Roman" w:cs="Times New Roman"/>
          <w:bCs/>
          <w:sz w:val="28"/>
          <w:szCs w:val="28"/>
        </w:rPr>
        <w:t>кількість дорослих, які пройшли програму перепідготовки або підвищення кваліфікації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23A4EDBC" w14:textId="77777777" w:rsidR="002A1FE6" w:rsidRPr="002A1FE6" w:rsidRDefault="002A1FE6" w:rsidP="005436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1FE6">
        <w:rPr>
          <w:rFonts w:ascii="Times New Roman" w:eastAsia="Calibri" w:hAnsi="Times New Roman" w:cs="Times New Roman"/>
          <w:bCs/>
          <w:sz w:val="28"/>
          <w:szCs w:val="28"/>
        </w:rPr>
        <w:t xml:space="preserve">кількість здобувачів освіти, які проживають у гуртожитку; </w:t>
      </w:r>
    </w:p>
    <w:p w14:paraId="09410969" w14:textId="77777777" w:rsidR="002A1FE6" w:rsidRPr="002A1FE6" w:rsidRDefault="002A1FE6" w:rsidP="005436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1FE6">
        <w:rPr>
          <w:rFonts w:ascii="Times New Roman" w:eastAsia="Calibri" w:hAnsi="Times New Roman" w:cs="Times New Roman"/>
          <w:bCs/>
          <w:sz w:val="28"/>
          <w:szCs w:val="28"/>
        </w:rPr>
        <w:t xml:space="preserve">кількість  вільних місць у гуртожитку; </w:t>
      </w:r>
    </w:p>
    <w:p w14:paraId="1F12B8E5" w14:textId="0CE5FCA1" w:rsidR="002A1FE6" w:rsidRPr="002A1FE6" w:rsidRDefault="000A336D" w:rsidP="005436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показник</w:t>
      </w:r>
      <w:r w:rsidR="002A1FE6" w:rsidRPr="002A1FE6">
        <w:rPr>
          <w:rFonts w:ascii="Times New Roman" w:eastAsia="Calibri" w:hAnsi="Times New Roman" w:cs="Times New Roman"/>
          <w:bCs/>
          <w:sz w:val="28"/>
          <w:szCs w:val="28"/>
        </w:rPr>
        <w:t xml:space="preserve"> відповідності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обсягів </w:t>
      </w:r>
      <w:r w:rsidR="002A1FE6" w:rsidRPr="002A1FE6">
        <w:rPr>
          <w:rFonts w:ascii="Times New Roman" w:eastAsia="Calibri" w:hAnsi="Times New Roman" w:cs="Times New Roman"/>
          <w:bCs/>
          <w:sz w:val="28"/>
          <w:szCs w:val="28"/>
        </w:rPr>
        <w:t>регіонального замовлення на підготовку робітничих кадрів потребам ринку праці;</w:t>
      </w:r>
    </w:p>
    <w:p w14:paraId="2C4BE210" w14:textId="210BA269" w:rsidR="002A1FE6" w:rsidRPr="002A1FE6" w:rsidRDefault="002A1FE6" w:rsidP="005436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1FE6">
        <w:rPr>
          <w:rFonts w:ascii="Times New Roman" w:eastAsia="Calibri" w:hAnsi="Times New Roman" w:cs="Times New Roman"/>
          <w:bCs/>
          <w:sz w:val="28"/>
          <w:szCs w:val="28"/>
        </w:rPr>
        <w:t xml:space="preserve">обсяг замовлення роботодавців на підготовку </w:t>
      </w:r>
      <w:r>
        <w:rPr>
          <w:rFonts w:ascii="Times New Roman" w:eastAsia="Calibri" w:hAnsi="Times New Roman" w:cs="Times New Roman"/>
          <w:bCs/>
          <w:sz w:val="28"/>
          <w:szCs w:val="28"/>
        </w:rPr>
        <w:t>фахівців</w:t>
      </w:r>
      <w:r w:rsidRPr="002A1FE6">
        <w:rPr>
          <w:rFonts w:ascii="Times New Roman" w:eastAsia="Calibri" w:hAnsi="Times New Roman" w:cs="Times New Roman"/>
          <w:bCs/>
          <w:sz w:val="28"/>
          <w:szCs w:val="28"/>
        </w:rPr>
        <w:t xml:space="preserve"> в рік;</w:t>
      </w:r>
    </w:p>
    <w:p w14:paraId="762C547A" w14:textId="75FB5CF0" w:rsidR="002A1FE6" w:rsidRPr="002A1FE6" w:rsidRDefault="002A1FE6" w:rsidP="005436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1FE6">
        <w:rPr>
          <w:rFonts w:ascii="Times New Roman" w:eastAsia="Calibri" w:hAnsi="Times New Roman" w:cs="Times New Roman"/>
          <w:bCs/>
          <w:sz w:val="28"/>
          <w:szCs w:val="28"/>
        </w:rPr>
        <w:t>кількість працевлаштованих випускників, у тому числі через 2 рок</w:t>
      </w:r>
      <w:r w:rsidR="002525EA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2A1FE6">
        <w:rPr>
          <w:rFonts w:ascii="Times New Roman" w:eastAsia="Calibri" w:hAnsi="Times New Roman" w:cs="Times New Roman"/>
          <w:bCs/>
          <w:sz w:val="28"/>
          <w:szCs w:val="28"/>
        </w:rPr>
        <w:t xml:space="preserve"> після випуску;</w:t>
      </w:r>
    </w:p>
    <w:p w14:paraId="1DB1D644" w14:textId="055B2338" w:rsidR="002A1FE6" w:rsidRDefault="002A1FE6" w:rsidP="005436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1FE6">
        <w:rPr>
          <w:rFonts w:ascii="Times New Roman" w:eastAsia="Calibri" w:hAnsi="Times New Roman" w:cs="Times New Roman"/>
          <w:bCs/>
          <w:sz w:val="28"/>
          <w:szCs w:val="28"/>
        </w:rPr>
        <w:t>стан матеріально-технічної бази та її відповідність сучасним вимогам галузі;</w:t>
      </w:r>
    </w:p>
    <w:p w14:paraId="1462CF1F" w14:textId="11F23708" w:rsidR="00F71A8C" w:rsidRPr="002A1FE6" w:rsidRDefault="00F71A8C" w:rsidP="005436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звіт про фінансово-господарську діяльність;</w:t>
      </w:r>
    </w:p>
    <w:p w14:paraId="4A75B19D" w14:textId="737839C2" w:rsidR="002A1FE6" w:rsidRPr="002A1FE6" w:rsidRDefault="002525EA" w:rsidP="005436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% </w:t>
      </w:r>
      <w:r w:rsidR="002A1FE6" w:rsidRPr="002A1FE6">
        <w:rPr>
          <w:rFonts w:ascii="Times New Roman" w:eastAsia="Calibri" w:hAnsi="Times New Roman" w:cs="Times New Roman"/>
          <w:bCs/>
          <w:sz w:val="28"/>
          <w:szCs w:val="28"/>
        </w:rPr>
        <w:t>укомплектован</w:t>
      </w:r>
      <w:r>
        <w:rPr>
          <w:rFonts w:ascii="Times New Roman" w:eastAsia="Calibri" w:hAnsi="Times New Roman" w:cs="Times New Roman"/>
          <w:bCs/>
          <w:sz w:val="28"/>
          <w:szCs w:val="28"/>
        </w:rPr>
        <w:t>ості</w:t>
      </w:r>
      <w:r w:rsidR="002A1FE6" w:rsidRPr="002A1FE6">
        <w:rPr>
          <w:rFonts w:ascii="Times New Roman" w:eastAsia="Calibri" w:hAnsi="Times New Roman" w:cs="Times New Roman"/>
          <w:bCs/>
          <w:sz w:val="28"/>
          <w:szCs w:val="28"/>
        </w:rPr>
        <w:t xml:space="preserve"> педагогічними працівниками та рівень їх кваліфікаці</w:t>
      </w:r>
      <w:r w:rsidR="000A336D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="00D34081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="002A1FE6" w:rsidRPr="002A1FE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02BB5BE" w14:textId="77777777" w:rsidR="002A1FE6" w:rsidRPr="009B137E" w:rsidRDefault="002A1FE6" w:rsidP="005436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7E80E78" w14:textId="213621F8" w:rsidR="002A1FE6" w:rsidRPr="002A1FE6" w:rsidRDefault="00D34081" w:rsidP="005436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25EA">
        <w:rPr>
          <w:rFonts w:ascii="Times New Roman" w:eastAsia="Calibri" w:hAnsi="Times New Roman" w:cs="Times New Roman"/>
          <w:bCs/>
          <w:sz w:val="28"/>
          <w:szCs w:val="28"/>
          <w:u w:val="single"/>
        </w:rPr>
        <w:t>з</w:t>
      </w:r>
      <w:r w:rsidR="002A1FE6" w:rsidRPr="002525EA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бір </w:t>
      </w:r>
      <w:r w:rsidR="002525EA" w:rsidRPr="002525EA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і аналіз </w:t>
      </w:r>
      <w:r w:rsidR="002A1FE6" w:rsidRPr="002525EA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інформації щодо потенційних здобувачів </w:t>
      </w:r>
      <w:r w:rsidR="000A336D" w:rsidRPr="002525EA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професійної (професійно-технічної) </w:t>
      </w:r>
      <w:r w:rsidR="002A1FE6" w:rsidRPr="002525EA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освіти</w:t>
      </w:r>
      <w:r w:rsidR="002A1FE6" w:rsidRPr="002A1FE6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2C7FE045" w14:textId="10C885FB" w:rsidR="002A1FE6" w:rsidRPr="000A336D" w:rsidRDefault="002A1FE6" w:rsidP="00543670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A336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кількість випускників </w:t>
      </w:r>
      <w:r w:rsidRPr="000A336D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закладів загальної середньої освіти</w:t>
      </w:r>
      <w:r w:rsidRPr="000A336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(в регіоні, в логістичному центрі)</w:t>
      </w:r>
      <w:r w:rsidR="00D34081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40CB8644" w14:textId="77777777" w:rsidR="002A1FE6" w:rsidRPr="009B137E" w:rsidRDefault="002A1FE6" w:rsidP="00543670">
      <w:pPr>
        <w:ind w:firstLine="709"/>
        <w:contextualSpacing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25933FA8" w14:textId="77777777" w:rsidR="009B137E" w:rsidRPr="009B137E" w:rsidRDefault="003529C2" w:rsidP="0054367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2DE">
        <w:rPr>
          <w:rFonts w:ascii="Times New Roman" w:eastAsia="Calibri" w:hAnsi="Times New Roman" w:cs="Times New Roman"/>
          <w:sz w:val="28"/>
          <w:szCs w:val="28"/>
        </w:rPr>
        <w:lastRenderedPageBreak/>
        <w:t>проведення аналізу потреб економіки в кваліфікован</w:t>
      </w:r>
      <w:r w:rsidR="00FC412F" w:rsidRPr="008D02DE">
        <w:rPr>
          <w:rFonts w:ascii="Times New Roman" w:eastAsia="Calibri" w:hAnsi="Times New Roman" w:cs="Times New Roman"/>
          <w:sz w:val="28"/>
          <w:szCs w:val="28"/>
        </w:rPr>
        <w:t>их</w:t>
      </w:r>
      <w:r w:rsidRPr="008D02DE">
        <w:rPr>
          <w:rFonts w:ascii="Times New Roman" w:eastAsia="Calibri" w:hAnsi="Times New Roman" w:cs="Times New Roman"/>
          <w:sz w:val="28"/>
          <w:szCs w:val="28"/>
        </w:rPr>
        <w:t xml:space="preserve"> роб</w:t>
      </w:r>
      <w:r w:rsidR="00FC412F" w:rsidRPr="008D02DE">
        <w:rPr>
          <w:rFonts w:ascii="Times New Roman" w:eastAsia="Calibri" w:hAnsi="Times New Roman" w:cs="Times New Roman"/>
          <w:sz w:val="28"/>
          <w:szCs w:val="28"/>
        </w:rPr>
        <w:t xml:space="preserve">ітниках на </w:t>
      </w:r>
      <w:r w:rsidR="00FC412F" w:rsidRPr="009B137E">
        <w:rPr>
          <w:rFonts w:ascii="Times New Roman" w:eastAsia="Calibri" w:hAnsi="Times New Roman" w:cs="Times New Roman"/>
          <w:sz w:val="28"/>
          <w:szCs w:val="28"/>
        </w:rPr>
        <w:t>регіональному рівні</w:t>
      </w:r>
      <w:r w:rsidR="008D02DE" w:rsidRPr="009B137E">
        <w:rPr>
          <w:rFonts w:ascii="Times New Roman" w:eastAsia="Calibri" w:hAnsi="Times New Roman" w:cs="Times New Roman"/>
          <w:sz w:val="28"/>
          <w:szCs w:val="28"/>
        </w:rPr>
        <w:t>. З цією метою здійснюється</w:t>
      </w:r>
      <w:r w:rsidRPr="009B137E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="008D02DE" w:rsidRPr="009B137E">
        <w:rPr>
          <w:rFonts w:ascii="Times New Roman" w:eastAsia="Calibri" w:hAnsi="Times New Roman" w:cs="Times New Roman"/>
          <w:sz w:val="28"/>
          <w:szCs w:val="28"/>
        </w:rPr>
        <w:t>збір інформації</w:t>
      </w:r>
      <w:r w:rsidR="009B137E" w:rsidRPr="009B137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2C9F57D" w14:textId="13A55DC6" w:rsidR="008D02DE" w:rsidRPr="009B137E" w:rsidRDefault="008D02DE" w:rsidP="005436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137E" w:rsidRPr="009B137E">
        <w:rPr>
          <w:rFonts w:ascii="Times New Roman" w:eastAsia="Calibri" w:hAnsi="Times New Roman" w:cs="Times New Roman"/>
          <w:sz w:val="28"/>
          <w:szCs w:val="28"/>
        </w:rPr>
        <w:t>на</w:t>
      </w:r>
      <w:r w:rsidRPr="009B137E">
        <w:rPr>
          <w:rFonts w:ascii="Times New Roman" w:eastAsia="Calibri" w:hAnsi="Times New Roman" w:cs="Times New Roman"/>
          <w:sz w:val="28"/>
          <w:szCs w:val="28"/>
        </w:rPr>
        <w:t xml:space="preserve"> підприємствах регіону щодо потенційного попиту в кваліфікованих робітниках;</w:t>
      </w:r>
    </w:p>
    <w:p w14:paraId="28DB8F82" w14:textId="45415F5B" w:rsidR="008D02DE" w:rsidRPr="009B137E" w:rsidRDefault="008D02DE" w:rsidP="005436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137E">
        <w:rPr>
          <w:rFonts w:ascii="Times New Roman" w:eastAsia="Calibri" w:hAnsi="Times New Roman" w:cs="Times New Roman"/>
          <w:sz w:val="28"/>
          <w:szCs w:val="28"/>
        </w:rPr>
        <w:t>відповід</w:t>
      </w:r>
      <w:r w:rsidR="009B137E" w:rsidRPr="009B137E">
        <w:rPr>
          <w:rFonts w:ascii="Times New Roman" w:eastAsia="Calibri" w:hAnsi="Times New Roman" w:cs="Times New Roman"/>
          <w:sz w:val="28"/>
          <w:szCs w:val="28"/>
        </w:rPr>
        <w:t>ності</w:t>
      </w:r>
      <w:r w:rsidRPr="009B137E">
        <w:rPr>
          <w:rFonts w:ascii="Times New Roman" w:eastAsia="Calibri" w:hAnsi="Times New Roman" w:cs="Times New Roman"/>
          <w:sz w:val="28"/>
          <w:szCs w:val="28"/>
        </w:rPr>
        <w:t xml:space="preserve"> структури підготовки закладів П(ПТ)О пріоритетам, визначени</w:t>
      </w:r>
      <w:r w:rsidR="009B137E" w:rsidRPr="009B137E">
        <w:rPr>
          <w:rFonts w:ascii="Times New Roman" w:eastAsia="Calibri" w:hAnsi="Times New Roman" w:cs="Times New Roman"/>
          <w:sz w:val="28"/>
          <w:szCs w:val="28"/>
        </w:rPr>
        <w:t>х</w:t>
      </w:r>
      <w:r w:rsidRPr="009B137E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Pr="009B137E">
        <w:rPr>
          <w:rFonts w:ascii="Times New Roman" w:eastAsia="Calibri" w:hAnsi="Times New Roman" w:cs="Times New Roman"/>
          <w:bCs/>
          <w:sz w:val="28"/>
          <w:szCs w:val="28"/>
        </w:rPr>
        <w:t xml:space="preserve">стратегічному плані </w:t>
      </w:r>
      <w:r w:rsidRPr="007F3114">
        <w:rPr>
          <w:rFonts w:ascii="Times New Roman" w:eastAsia="Calibri" w:hAnsi="Times New Roman" w:cs="Times New Roman"/>
          <w:bCs/>
          <w:sz w:val="28"/>
          <w:szCs w:val="28"/>
        </w:rPr>
        <w:t xml:space="preserve">розвитку регіональної системи </w:t>
      </w:r>
      <w:r w:rsidR="007F3114" w:rsidRPr="007F3114">
        <w:rPr>
          <w:rFonts w:ascii="Times New Roman" w:eastAsia="Calibri" w:hAnsi="Times New Roman" w:cs="Times New Roman"/>
          <w:bCs/>
          <w:sz w:val="28"/>
          <w:szCs w:val="28"/>
        </w:rPr>
        <w:t>професійної (професійно-технічної) освіти</w:t>
      </w:r>
      <w:r w:rsidRPr="007F311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A1D3291" w14:textId="77777777" w:rsidR="008D02DE" w:rsidRPr="009B137E" w:rsidRDefault="008D02DE" w:rsidP="00543670">
      <w:pPr>
        <w:spacing w:after="0" w:line="240" w:lineRule="auto"/>
        <w:ind w:left="36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37E">
        <w:rPr>
          <w:rFonts w:ascii="Times New Roman" w:eastAsia="Calibri" w:hAnsi="Times New Roman" w:cs="Times New Roman"/>
          <w:sz w:val="28"/>
          <w:szCs w:val="28"/>
        </w:rPr>
        <w:t>рівень зайнятості в галузі, підгалузі.</w:t>
      </w:r>
    </w:p>
    <w:p w14:paraId="7AFFA377" w14:textId="77777777" w:rsidR="00663EA7" w:rsidRPr="009B137E" w:rsidRDefault="00663EA7" w:rsidP="0054367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B050"/>
          <w:sz w:val="20"/>
          <w:szCs w:val="20"/>
          <w:lang w:eastAsia="ja-JP"/>
        </w:rPr>
      </w:pPr>
    </w:p>
    <w:p w14:paraId="35F7DC46" w14:textId="756298E6" w:rsidR="003529C2" w:rsidRDefault="003529C2" w:rsidP="0054367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37E">
        <w:rPr>
          <w:rFonts w:ascii="Times New Roman" w:eastAsia="Calibri" w:hAnsi="Times New Roman" w:cs="Times New Roman"/>
          <w:sz w:val="28"/>
          <w:szCs w:val="28"/>
        </w:rPr>
        <w:t>підготовк</w:t>
      </w:r>
      <w:r w:rsidR="009B137E" w:rsidRPr="009B137E">
        <w:rPr>
          <w:rFonts w:ascii="Times New Roman" w:eastAsia="Calibri" w:hAnsi="Times New Roman" w:cs="Times New Roman"/>
          <w:sz w:val="28"/>
          <w:szCs w:val="28"/>
        </w:rPr>
        <w:t>а</w:t>
      </w:r>
      <w:r w:rsidRPr="009B137E">
        <w:rPr>
          <w:rFonts w:ascii="Times New Roman" w:eastAsia="Calibri" w:hAnsi="Times New Roman" w:cs="Times New Roman"/>
          <w:sz w:val="28"/>
          <w:szCs w:val="28"/>
        </w:rPr>
        <w:t xml:space="preserve"> Плану формування оптимальної мережі закладів П(ПТ)О в регіоні; </w:t>
      </w:r>
    </w:p>
    <w:p w14:paraId="617FCCE3" w14:textId="77777777" w:rsidR="009B137E" w:rsidRPr="009B137E" w:rsidRDefault="009B137E" w:rsidP="00543670">
      <w:pPr>
        <w:spacing w:after="0" w:line="240" w:lineRule="auto"/>
        <w:ind w:left="108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23C985" w14:textId="17917AD4" w:rsidR="003529C2" w:rsidRPr="003529C2" w:rsidRDefault="003529C2" w:rsidP="0054367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9C2">
        <w:rPr>
          <w:rFonts w:ascii="Times New Roman" w:eastAsia="Calibri" w:hAnsi="Times New Roman" w:cs="Times New Roman"/>
          <w:sz w:val="28"/>
          <w:szCs w:val="28"/>
        </w:rPr>
        <w:t xml:space="preserve">проведення консультацій та погодження регіональною радою професійної (професійно-технічної) освіти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3529C2">
        <w:rPr>
          <w:rFonts w:ascii="Times New Roman" w:eastAsia="Calibri" w:hAnsi="Times New Roman" w:cs="Times New Roman"/>
          <w:sz w:val="28"/>
          <w:szCs w:val="28"/>
        </w:rPr>
        <w:t xml:space="preserve">лану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формування </w:t>
      </w:r>
      <w:r w:rsidR="00B76CFC">
        <w:rPr>
          <w:rFonts w:ascii="Times New Roman" w:eastAsia="Calibri" w:hAnsi="Times New Roman" w:cs="Times New Roman"/>
          <w:sz w:val="28"/>
          <w:szCs w:val="28"/>
        </w:rPr>
        <w:t>о</w:t>
      </w:r>
      <w:r w:rsidRPr="003529C2">
        <w:rPr>
          <w:rFonts w:ascii="Times New Roman" w:eastAsia="Calibri" w:hAnsi="Times New Roman" w:cs="Times New Roman"/>
          <w:sz w:val="28"/>
          <w:szCs w:val="28"/>
        </w:rPr>
        <w:t>птим</w:t>
      </w:r>
      <w:r>
        <w:rPr>
          <w:rFonts w:ascii="Times New Roman" w:eastAsia="Calibri" w:hAnsi="Times New Roman" w:cs="Times New Roman"/>
          <w:sz w:val="28"/>
          <w:szCs w:val="28"/>
        </w:rPr>
        <w:t>альної</w:t>
      </w:r>
      <w:r w:rsidRPr="003529C2">
        <w:rPr>
          <w:rFonts w:ascii="Times New Roman" w:eastAsia="Calibri" w:hAnsi="Times New Roman" w:cs="Times New Roman"/>
          <w:sz w:val="28"/>
          <w:szCs w:val="28"/>
        </w:rPr>
        <w:t xml:space="preserve"> мережі закладів П(ПТ)О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3529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8544DF2" w14:textId="2B5DD96A" w:rsidR="00165A8C" w:rsidRPr="00165A8C" w:rsidRDefault="003529C2" w:rsidP="00543670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529C2">
        <w:rPr>
          <w:rFonts w:ascii="Times New Roman" w:eastAsia="Calibri" w:hAnsi="Times New Roman" w:cs="Times New Roman"/>
          <w:sz w:val="28"/>
          <w:szCs w:val="28"/>
        </w:rPr>
        <w:t xml:space="preserve">затвердження </w:t>
      </w:r>
      <w:r w:rsidRPr="008145F3">
        <w:rPr>
          <w:rFonts w:ascii="Times New Roman" w:eastAsia="Calibri" w:hAnsi="Times New Roman" w:cs="Times New Roman"/>
          <w:sz w:val="28"/>
          <w:szCs w:val="28"/>
        </w:rPr>
        <w:t>обласними, Київською міською державними адміністраціями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3529C2">
        <w:rPr>
          <w:rFonts w:ascii="Times New Roman" w:eastAsia="Calibri" w:hAnsi="Times New Roman" w:cs="Times New Roman"/>
          <w:sz w:val="28"/>
          <w:szCs w:val="28"/>
        </w:rPr>
        <w:t xml:space="preserve">лану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щодо формування </w:t>
      </w:r>
      <w:r w:rsidRPr="003529C2">
        <w:rPr>
          <w:rFonts w:ascii="Times New Roman" w:eastAsia="Calibri" w:hAnsi="Times New Roman" w:cs="Times New Roman"/>
          <w:sz w:val="28"/>
          <w:szCs w:val="28"/>
        </w:rPr>
        <w:t>оптим</w:t>
      </w:r>
      <w:r>
        <w:rPr>
          <w:rFonts w:ascii="Times New Roman" w:eastAsia="Calibri" w:hAnsi="Times New Roman" w:cs="Times New Roman"/>
          <w:sz w:val="28"/>
          <w:szCs w:val="28"/>
        </w:rPr>
        <w:t>альної</w:t>
      </w:r>
      <w:r w:rsidRPr="003529C2">
        <w:rPr>
          <w:rFonts w:ascii="Times New Roman" w:eastAsia="Calibri" w:hAnsi="Times New Roman" w:cs="Times New Roman"/>
          <w:sz w:val="28"/>
          <w:szCs w:val="28"/>
        </w:rPr>
        <w:t xml:space="preserve"> мережі закладів </w:t>
      </w:r>
      <w:r w:rsidRPr="00165A8C">
        <w:rPr>
          <w:rFonts w:ascii="Times New Roman" w:eastAsia="MS Mincho" w:hAnsi="Times New Roman" w:cs="Times New Roman"/>
          <w:sz w:val="28"/>
          <w:szCs w:val="28"/>
          <w:lang w:eastAsia="ja-JP"/>
        </w:rPr>
        <w:t>П(ПТ)О.</w:t>
      </w:r>
    </w:p>
    <w:p w14:paraId="4DB6E71D" w14:textId="1E8F5CA8" w:rsidR="00CA7D82" w:rsidRPr="001405B6" w:rsidRDefault="00955995" w:rsidP="00B76C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bookmarkStart w:id="9" w:name="n22"/>
      <w:bookmarkEnd w:id="9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Для підготовки Плану </w:t>
      </w:r>
      <w:r w:rsidRPr="009B137E">
        <w:rPr>
          <w:rFonts w:ascii="Times New Roman" w:eastAsia="Calibri" w:hAnsi="Times New Roman" w:cs="Times New Roman"/>
          <w:sz w:val="28"/>
          <w:szCs w:val="28"/>
        </w:rPr>
        <w:t>формування оптимальної мережі закладів П(ПТ)О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робоча група використовує такі критерії та індикатори</w:t>
      </w:r>
      <w:r w:rsidR="00F71A8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8F60524" w14:textId="36B30680" w:rsidR="00955995" w:rsidRDefault="00CA7D82" w:rsidP="001405B6">
      <w:pPr>
        <w:pStyle w:val="a3"/>
        <w:numPr>
          <w:ilvl w:val="0"/>
          <w:numId w:val="6"/>
        </w:numPr>
        <w:spacing w:line="360" w:lineRule="auto"/>
        <w:ind w:hanging="153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е</w:t>
      </w:r>
      <w:r w:rsidR="00955995">
        <w:rPr>
          <w:rFonts w:ascii="Times New Roman" w:eastAsia="MS Mincho" w:hAnsi="Times New Roman" w:cs="Times New Roman"/>
          <w:sz w:val="28"/>
          <w:szCs w:val="28"/>
          <w:lang w:eastAsia="ja-JP"/>
        </w:rPr>
        <w:t>кономічний</w:t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52"/>
      </w:tblGrid>
      <w:tr w:rsidR="002A7EDE" w:rsidRPr="001405B6" w14:paraId="6FA4F76E" w14:textId="77777777" w:rsidTr="00980931">
        <w:tc>
          <w:tcPr>
            <w:tcW w:w="3969" w:type="dxa"/>
          </w:tcPr>
          <w:p w14:paraId="5F3550A9" w14:textId="6DDCDBC7" w:rsidR="002A7EDE" w:rsidRPr="001405B6" w:rsidRDefault="00CA7D82" w:rsidP="00980931">
            <w:pPr>
              <w:tabs>
                <w:tab w:val="left" w:pos="3432"/>
              </w:tabs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Індикатор</w:t>
            </w:r>
          </w:p>
        </w:tc>
        <w:tc>
          <w:tcPr>
            <w:tcW w:w="5052" w:type="dxa"/>
          </w:tcPr>
          <w:p w14:paraId="1B643DD6" w14:textId="65D30029" w:rsidR="002A7EDE" w:rsidRPr="001405B6" w:rsidRDefault="00CA7D82" w:rsidP="00980931">
            <w:pPr>
              <w:ind w:left="315" w:firstLine="141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Показник індикатора</w:t>
            </w:r>
          </w:p>
        </w:tc>
      </w:tr>
      <w:tr w:rsidR="00CA7D82" w:rsidRPr="001405B6" w14:paraId="248A6712" w14:textId="77777777" w:rsidTr="00980931">
        <w:tc>
          <w:tcPr>
            <w:tcW w:w="3969" w:type="dxa"/>
          </w:tcPr>
          <w:p w14:paraId="68104E96" w14:textId="77777777" w:rsidR="00CA7D82" w:rsidRPr="001405B6" w:rsidRDefault="00CA7D82" w:rsidP="00F71A8C">
            <w:pPr>
              <w:tabs>
                <w:tab w:val="left" w:pos="3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здобувачів освіти за професіями/спеціальностями у групах (від </w:t>
            </w:r>
            <w:r w:rsidRPr="001405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24 осіб) </w:t>
            </w:r>
          </w:p>
          <w:p w14:paraId="7FCB7EFE" w14:textId="5A96D904" w:rsidR="00F71A8C" w:rsidRPr="001405B6" w:rsidRDefault="00F71A8C" w:rsidP="00F71A8C">
            <w:pPr>
              <w:tabs>
                <w:tab w:val="left" w:pos="3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2" w:type="dxa"/>
          </w:tcPr>
          <w:p w14:paraId="3CD3CDC9" w14:textId="72E02BC9" w:rsidR="00CA7D82" w:rsidRPr="001405B6" w:rsidRDefault="00CA7D82" w:rsidP="001405B6">
            <w:pPr>
              <w:ind w:left="315" w:firstLine="141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80%</w:t>
            </w:r>
          </w:p>
        </w:tc>
      </w:tr>
      <w:tr w:rsidR="00CA7D82" w:rsidRPr="001405B6" w14:paraId="60C12323" w14:textId="77777777" w:rsidTr="00980931">
        <w:tc>
          <w:tcPr>
            <w:tcW w:w="3969" w:type="dxa"/>
          </w:tcPr>
          <w:p w14:paraId="260C6D94" w14:textId="77777777" w:rsidR="00CA7D82" w:rsidRPr="001405B6" w:rsidRDefault="00CA7D82" w:rsidP="00F71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 місць для проходження практики на підприємствах/установах/ організаціях</w:t>
            </w:r>
          </w:p>
          <w:p w14:paraId="38499004" w14:textId="54A3AC0E" w:rsidR="00F71A8C" w:rsidRPr="001405B6" w:rsidRDefault="00F71A8C" w:rsidP="00F71A8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052" w:type="dxa"/>
          </w:tcPr>
          <w:p w14:paraId="727C6713" w14:textId="77777777" w:rsidR="00CA7D82" w:rsidRPr="001405B6" w:rsidRDefault="00CA7D82" w:rsidP="001405B6">
            <w:pPr>
              <w:ind w:left="315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  <w:p w14:paraId="7926CE31" w14:textId="77777777" w:rsidR="00CA7D82" w:rsidRPr="001405B6" w:rsidRDefault="00CA7D82" w:rsidP="001405B6">
            <w:pPr>
              <w:ind w:left="315" w:firstLine="141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CA7D82" w:rsidRPr="001405B6" w14:paraId="3B8CE504" w14:textId="77777777" w:rsidTr="00980931">
        <w:tc>
          <w:tcPr>
            <w:tcW w:w="3969" w:type="dxa"/>
          </w:tcPr>
          <w:p w14:paraId="1B0A5027" w14:textId="298B4861" w:rsidR="00CA7D82" w:rsidRPr="001405B6" w:rsidRDefault="00CA7D82" w:rsidP="00F71A8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Оптимальний контингент здобувачів освіти закладу П(ПТ)О</w:t>
            </w:r>
          </w:p>
        </w:tc>
        <w:tc>
          <w:tcPr>
            <w:tcW w:w="5052" w:type="dxa"/>
          </w:tcPr>
          <w:p w14:paraId="5F646A1B" w14:textId="09505FD3" w:rsidR="00CA7D82" w:rsidRPr="001405B6" w:rsidRDefault="001405B6" w:rsidP="001405B6">
            <w:pPr>
              <w:spacing w:after="0" w:line="240" w:lineRule="auto"/>
              <w:ind w:left="32" w:firstLine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CA7D82"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ело, смт, малі міста (до 50 тисяч мешканців) – 400 здобувачів освіти</w:t>
            </w:r>
          </w:p>
          <w:p w14:paraId="2A4788D8" w14:textId="17B74C17" w:rsidR="00CA7D82" w:rsidRPr="001405B6" w:rsidRDefault="001405B6" w:rsidP="001405B6">
            <w:pPr>
              <w:spacing w:after="0" w:line="240" w:lineRule="auto"/>
              <w:ind w:left="32" w:firstLine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A7D82"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аселені пункти із статусом гірських</w:t>
            </w:r>
            <w:r w:rsidR="00CA7D82" w:rsidRPr="001405B6">
              <w:rPr>
                <w:rFonts w:ascii="Times New Roman" w:eastAsia="Calibri" w:hAnsi="Times New Roman" w:cs="Times New Roman"/>
                <w:i/>
                <w:color w:val="A5A5A5" w:themeColor="accent3"/>
                <w:sz w:val="24"/>
                <w:szCs w:val="24"/>
              </w:rPr>
              <w:t xml:space="preserve"> </w:t>
            </w:r>
            <w:r w:rsidR="00CA7D82" w:rsidRPr="001405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="00CA7D82"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250 здобувачів освіти</w:t>
            </w:r>
          </w:p>
          <w:p w14:paraId="155983B0" w14:textId="7EE1B3C4" w:rsidR="00CA7D82" w:rsidRPr="001405B6" w:rsidRDefault="001405B6" w:rsidP="001405B6">
            <w:pPr>
              <w:spacing w:after="0" w:line="240" w:lineRule="auto"/>
              <w:ind w:left="32" w:firstLine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CA7D82"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ередні, великі міста (50 – 500 тисяч мешканців) – 800  здобувачів освіти</w:t>
            </w:r>
          </w:p>
          <w:p w14:paraId="75B1A827" w14:textId="4BC2C3B9" w:rsidR="001405B6" w:rsidRPr="001405B6" w:rsidRDefault="001405B6" w:rsidP="00543670">
            <w:pPr>
              <w:tabs>
                <w:tab w:val="left" w:pos="31"/>
              </w:tabs>
              <w:spacing w:after="0" w:line="240" w:lineRule="auto"/>
              <w:ind w:left="32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A7D82"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рупні, найкрупніші міста (від 500 тисяч мешканців) – 1200 здобувачів освіти</w:t>
            </w:r>
          </w:p>
        </w:tc>
      </w:tr>
      <w:tr w:rsidR="00CA7D82" w:rsidRPr="001405B6" w14:paraId="6C570B81" w14:textId="77777777" w:rsidTr="00980931">
        <w:tc>
          <w:tcPr>
            <w:tcW w:w="3969" w:type="dxa"/>
          </w:tcPr>
          <w:p w14:paraId="36655765" w14:textId="77777777" w:rsidR="00CA7D82" w:rsidRDefault="00CA7D82" w:rsidP="00F71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Середня тижнева зайнятість навчальних майстерень, лабораторій, навчальних господарств, полігонів впродовж навчального року</w:t>
            </w:r>
          </w:p>
          <w:p w14:paraId="26B53C1C" w14:textId="65F6569B" w:rsidR="001405B6" w:rsidRPr="001405B6" w:rsidRDefault="001405B6" w:rsidP="00F71A8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052" w:type="dxa"/>
          </w:tcPr>
          <w:p w14:paraId="2F6867B0" w14:textId="77777777" w:rsidR="00CA7D82" w:rsidRPr="001405B6" w:rsidRDefault="00CA7D82" w:rsidP="00140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 w:firstLine="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1405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німум 26 </w:t>
            </w: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годин</w:t>
            </w:r>
          </w:p>
          <w:p w14:paraId="11CFCF79" w14:textId="535E993D" w:rsidR="00CA7D82" w:rsidRPr="001405B6" w:rsidRDefault="00CA7D82" w:rsidP="00543670">
            <w:pPr>
              <w:spacing w:after="0" w:line="240" w:lineRule="auto"/>
              <w:ind w:left="46" w:firstLine="41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(75 % від кількості навчальних годин на тиждень)</w:t>
            </w:r>
          </w:p>
        </w:tc>
      </w:tr>
      <w:tr w:rsidR="00CA7D82" w:rsidRPr="001405B6" w14:paraId="212FD5F4" w14:textId="77777777" w:rsidTr="00980931">
        <w:tc>
          <w:tcPr>
            <w:tcW w:w="3969" w:type="dxa"/>
          </w:tcPr>
          <w:p w14:paraId="78A039CC" w14:textId="77777777" w:rsidR="00CA7D82" w:rsidRDefault="00CA7D82" w:rsidP="00F71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 професій/спеціальностей, профіль яких входить до переліку найбільш поширених і затребуваних професій в регіоні</w:t>
            </w:r>
          </w:p>
          <w:p w14:paraId="626136B1" w14:textId="13E5F978" w:rsidR="001405B6" w:rsidRPr="001405B6" w:rsidRDefault="001405B6" w:rsidP="00F71A8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052" w:type="dxa"/>
          </w:tcPr>
          <w:p w14:paraId="27E824F6" w14:textId="77777777" w:rsidR="00CA7D82" w:rsidRPr="001405B6" w:rsidRDefault="00CA7D82" w:rsidP="001405B6">
            <w:pPr>
              <w:spacing w:after="0" w:line="240" w:lineRule="auto"/>
              <w:ind w:left="315" w:firstLine="141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70 %</w:t>
            </w:r>
          </w:p>
          <w:p w14:paraId="467C149E" w14:textId="77777777" w:rsidR="00CA7D82" w:rsidRPr="001405B6" w:rsidRDefault="00CA7D82" w:rsidP="001405B6">
            <w:pPr>
              <w:spacing w:after="0" w:line="240" w:lineRule="auto"/>
              <w:ind w:left="315" w:firstLine="141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CA7D82" w:rsidRPr="001405B6" w14:paraId="09CBA8CA" w14:textId="77777777" w:rsidTr="00980931">
        <w:tc>
          <w:tcPr>
            <w:tcW w:w="3969" w:type="dxa"/>
          </w:tcPr>
          <w:p w14:paraId="75641D4C" w14:textId="77777777" w:rsidR="00CA7D82" w:rsidRDefault="00CA7D82" w:rsidP="00F71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Загальне працевлаштування (1) та працевлаштування за професією (2) випускників закладів П(ПТ)О через  2 роки після випуску</w:t>
            </w:r>
          </w:p>
          <w:p w14:paraId="432FC257" w14:textId="35D632B5" w:rsidR="001405B6" w:rsidRPr="001405B6" w:rsidRDefault="001405B6" w:rsidP="00F71A8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052" w:type="dxa"/>
          </w:tcPr>
          <w:p w14:paraId="6C863735" w14:textId="77777777" w:rsidR="00CA7D82" w:rsidRPr="001405B6" w:rsidRDefault="00CA7D82" w:rsidP="001405B6">
            <w:pPr>
              <w:spacing w:after="0" w:line="240" w:lineRule="auto"/>
              <w:ind w:left="315" w:firstLine="141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(1) 80%</w:t>
            </w:r>
          </w:p>
          <w:p w14:paraId="5E26882B" w14:textId="06C0BB9E" w:rsidR="00CA7D82" w:rsidRPr="001405B6" w:rsidRDefault="00CA7D82" w:rsidP="001405B6">
            <w:pPr>
              <w:spacing w:after="0" w:line="240" w:lineRule="auto"/>
              <w:ind w:left="315" w:firstLine="141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(2) 60%</w:t>
            </w:r>
          </w:p>
          <w:p w14:paraId="0742CBE4" w14:textId="77777777" w:rsidR="00CA7D82" w:rsidRPr="001405B6" w:rsidRDefault="00CA7D82" w:rsidP="001405B6">
            <w:pPr>
              <w:spacing w:after="0" w:line="240" w:lineRule="auto"/>
              <w:ind w:left="315" w:firstLine="141"/>
              <w:rPr>
                <w:rFonts w:ascii="Times New Roman" w:eastAsia="MS Mincho" w:hAnsi="Times New Roman" w:cs="Times New Roman"/>
                <w:bCs/>
                <w:color w:val="C00000"/>
                <w:sz w:val="24"/>
                <w:szCs w:val="24"/>
                <w:lang w:eastAsia="ja-JP"/>
              </w:rPr>
            </w:pPr>
          </w:p>
          <w:p w14:paraId="1A3F4F23" w14:textId="77777777" w:rsidR="00CA7D82" w:rsidRPr="001405B6" w:rsidRDefault="00CA7D82" w:rsidP="001405B6">
            <w:pPr>
              <w:spacing w:after="0" w:line="240" w:lineRule="auto"/>
              <w:ind w:left="315" w:firstLine="141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CA7D82" w:rsidRPr="001405B6" w14:paraId="31E7C74B" w14:textId="77777777" w:rsidTr="00980931">
        <w:tc>
          <w:tcPr>
            <w:tcW w:w="3969" w:type="dxa"/>
          </w:tcPr>
          <w:p w14:paraId="4708F88D" w14:textId="77777777" w:rsidR="00CA7D82" w:rsidRDefault="00CA7D82" w:rsidP="00F7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Задоволеність роботодавців рівнем професійної підготовки випускників закладів П(ПТ)О </w:t>
            </w:r>
            <w:r w:rsidRPr="001405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через 2 роки </w:t>
            </w:r>
            <w:r w:rsidRPr="0014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після випуску </w:t>
            </w:r>
          </w:p>
          <w:p w14:paraId="65171443" w14:textId="1CC4DAC2" w:rsidR="001405B6" w:rsidRPr="001405B6" w:rsidRDefault="001405B6" w:rsidP="00F71A8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052" w:type="dxa"/>
          </w:tcPr>
          <w:p w14:paraId="3C1F0F02" w14:textId="07DC0361" w:rsidR="00CA7D82" w:rsidRPr="001405B6" w:rsidRDefault="00CA7D82" w:rsidP="001405B6">
            <w:pPr>
              <w:spacing w:after="0" w:line="240" w:lineRule="auto"/>
              <w:ind w:left="32" w:firstLine="4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середній показник задоволеності</w:t>
            </w:r>
            <w:r w:rsidR="00543670" w:rsidRPr="005436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≥4</w:t>
            </w:r>
            <w:r w:rsidR="0014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(за 5- бальною шкалою). Опитування не менше 60% роботодавців</w:t>
            </w:r>
          </w:p>
          <w:p w14:paraId="41714819" w14:textId="77777777" w:rsidR="00CA7D82" w:rsidRPr="001405B6" w:rsidRDefault="00CA7D82" w:rsidP="001405B6">
            <w:pPr>
              <w:spacing w:after="0" w:line="240" w:lineRule="auto"/>
              <w:ind w:left="32" w:firstLine="42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CA7D82" w:rsidRPr="001405B6" w14:paraId="09470173" w14:textId="77777777" w:rsidTr="00980931">
        <w:tc>
          <w:tcPr>
            <w:tcW w:w="3969" w:type="dxa"/>
          </w:tcPr>
          <w:p w14:paraId="23D5446A" w14:textId="0E8F8E54" w:rsidR="00CA7D82" w:rsidRPr="001405B6" w:rsidRDefault="00CA7D82" w:rsidP="00F71A8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Матеріально-технічна база дозволяє в процесі навчання опанувати необхідний рівень </w:t>
            </w:r>
            <w:proofErr w:type="spellStart"/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, зазначених в освітньому  стандарті з професії</w:t>
            </w:r>
          </w:p>
        </w:tc>
        <w:tc>
          <w:tcPr>
            <w:tcW w:w="5052" w:type="dxa"/>
          </w:tcPr>
          <w:p w14:paraId="3453F4BF" w14:textId="3A5A6DA3" w:rsidR="00CA7D82" w:rsidRPr="001405B6" w:rsidRDefault="00CA7D82" w:rsidP="001405B6">
            <w:pPr>
              <w:spacing w:after="0" w:line="240" w:lineRule="auto"/>
              <w:ind w:left="32" w:firstLine="4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 ліцензії та вчасне проходження атестації;</w:t>
            </w:r>
          </w:p>
          <w:p w14:paraId="45D195CE" w14:textId="77777777" w:rsidR="00CA7D82" w:rsidRDefault="00CA7D82" w:rsidP="001405B6">
            <w:pPr>
              <w:spacing w:after="0" w:line="240" w:lineRule="auto"/>
              <w:ind w:left="32" w:firstLine="424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 xml:space="preserve">&gt; 50 % </w:t>
            </w:r>
            <w:proofErr w:type="spellStart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>обладнання</w:t>
            </w:r>
            <w:proofErr w:type="spellEnd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 xml:space="preserve">, </w:t>
            </w:r>
            <w:proofErr w:type="spellStart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>що</w:t>
            </w:r>
            <w:proofErr w:type="spellEnd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 xml:space="preserve"> </w:t>
            </w:r>
            <w:proofErr w:type="spellStart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>виростовується</w:t>
            </w:r>
            <w:proofErr w:type="spellEnd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 xml:space="preserve"> в </w:t>
            </w:r>
            <w:proofErr w:type="spellStart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>освітньому</w:t>
            </w:r>
            <w:proofErr w:type="spellEnd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 xml:space="preserve"> </w:t>
            </w:r>
            <w:proofErr w:type="spellStart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>процесі</w:t>
            </w:r>
            <w:proofErr w:type="spellEnd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 xml:space="preserve"> – </w:t>
            </w:r>
            <w:proofErr w:type="spellStart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>це</w:t>
            </w:r>
            <w:proofErr w:type="spellEnd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 xml:space="preserve"> </w:t>
            </w:r>
            <w:proofErr w:type="spellStart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>обладнання</w:t>
            </w:r>
            <w:proofErr w:type="spellEnd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 xml:space="preserve">, яке </w:t>
            </w:r>
            <w:proofErr w:type="spellStart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>придатне</w:t>
            </w:r>
            <w:proofErr w:type="spellEnd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 xml:space="preserve"> до </w:t>
            </w:r>
            <w:proofErr w:type="spellStart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>використання</w:t>
            </w:r>
            <w:proofErr w:type="spellEnd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 xml:space="preserve"> та </w:t>
            </w:r>
            <w:proofErr w:type="spellStart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>дозволяє</w:t>
            </w:r>
            <w:proofErr w:type="spellEnd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 xml:space="preserve"> </w:t>
            </w:r>
            <w:proofErr w:type="spellStart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>опанувати</w:t>
            </w:r>
            <w:proofErr w:type="spellEnd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 xml:space="preserve"> </w:t>
            </w:r>
            <w:proofErr w:type="spellStart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>навички</w:t>
            </w:r>
            <w:proofErr w:type="spellEnd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 xml:space="preserve">, </w:t>
            </w:r>
            <w:proofErr w:type="spellStart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>зазначені</w:t>
            </w:r>
            <w:proofErr w:type="spellEnd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 xml:space="preserve"> у </w:t>
            </w:r>
            <w:proofErr w:type="spellStart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>професійному</w:t>
            </w:r>
            <w:proofErr w:type="spellEnd"/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  <w:t>/</w:t>
            </w:r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освітньому стандарті</w:t>
            </w:r>
          </w:p>
          <w:p w14:paraId="47AE6AE0" w14:textId="7F71A4F0" w:rsidR="001405B6" w:rsidRPr="001405B6" w:rsidRDefault="001405B6" w:rsidP="001405B6">
            <w:pPr>
              <w:spacing w:after="0" w:line="240" w:lineRule="auto"/>
              <w:ind w:left="32" w:firstLine="424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 w:eastAsia="ja-JP"/>
              </w:rPr>
            </w:pPr>
          </w:p>
        </w:tc>
      </w:tr>
      <w:tr w:rsidR="00CA7D82" w:rsidRPr="001405B6" w14:paraId="00B46C6D" w14:textId="77777777" w:rsidTr="00980931">
        <w:tc>
          <w:tcPr>
            <w:tcW w:w="3969" w:type="dxa"/>
          </w:tcPr>
          <w:p w14:paraId="040F45BD" w14:textId="3EC08505" w:rsidR="00CA7D82" w:rsidRPr="001405B6" w:rsidRDefault="00CA7D82" w:rsidP="00F71A8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Укомплектованість педагогічними працівниками та рівень їх кваліфікації</w:t>
            </w:r>
          </w:p>
        </w:tc>
        <w:tc>
          <w:tcPr>
            <w:tcW w:w="5052" w:type="dxa"/>
          </w:tcPr>
          <w:p w14:paraId="7ABBD3B9" w14:textId="52B5AA49" w:rsidR="00CA7D82" w:rsidRPr="001405B6" w:rsidRDefault="00CA7D82" w:rsidP="00F71A8C">
            <w:pPr>
              <w:spacing w:after="0" w:line="240" w:lineRule="auto"/>
              <w:ind w:firstLine="3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вакансії педагогічних працівників складає не більше 5 %; </w:t>
            </w:r>
          </w:p>
          <w:p w14:paraId="58F31689" w14:textId="12B66848" w:rsidR="00CA7D82" w:rsidRPr="001405B6" w:rsidRDefault="00CA7D82" w:rsidP="00F71A8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% співвідношення педагогічних працівників за рівнем кваліфікації</w:t>
            </w:r>
          </w:p>
        </w:tc>
      </w:tr>
    </w:tbl>
    <w:p w14:paraId="1617D4B1" w14:textId="77777777" w:rsidR="00CA7D82" w:rsidRPr="001405B6" w:rsidRDefault="00CA7D82" w:rsidP="00F71A8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4F01AEA" w14:textId="70981984" w:rsidR="002A7EDE" w:rsidRPr="00CA7D82" w:rsidRDefault="00CA7D82" w:rsidP="00CA7D82">
      <w:pPr>
        <w:pStyle w:val="a3"/>
        <w:numPr>
          <w:ilvl w:val="0"/>
          <w:numId w:val="6"/>
        </w:numPr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A7D82">
        <w:rPr>
          <w:rFonts w:ascii="Times New Roman" w:eastAsia="Times New Roman" w:hAnsi="Times New Roman" w:cs="Times New Roman"/>
          <w:sz w:val="28"/>
          <w:szCs w:val="28"/>
        </w:rPr>
        <w:t>демографічно-статистичний</w:t>
      </w:r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052"/>
      </w:tblGrid>
      <w:tr w:rsidR="00CA7D82" w14:paraId="52F38B8D" w14:textId="77777777" w:rsidTr="00980931">
        <w:tc>
          <w:tcPr>
            <w:tcW w:w="4111" w:type="dxa"/>
          </w:tcPr>
          <w:p w14:paraId="55C592D8" w14:textId="6851C496" w:rsidR="00CA7D82" w:rsidRPr="00980931" w:rsidRDefault="00CA7D82" w:rsidP="0098093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8093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Індикатор</w:t>
            </w:r>
          </w:p>
        </w:tc>
        <w:tc>
          <w:tcPr>
            <w:tcW w:w="5052" w:type="dxa"/>
          </w:tcPr>
          <w:p w14:paraId="179F3CFE" w14:textId="27DC6E89" w:rsidR="00CA7D82" w:rsidRPr="00980931" w:rsidRDefault="00CA7D82" w:rsidP="00CA7D8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8093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Показник індикатора</w:t>
            </w:r>
          </w:p>
        </w:tc>
      </w:tr>
      <w:tr w:rsidR="00CA7D82" w:rsidRPr="001405B6" w14:paraId="695A0A22" w14:textId="77777777" w:rsidTr="00980931">
        <w:tc>
          <w:tcPr>
            <w:tcW w:w="4111" w:type="dxa"/>
          </w:tcPr>
          <w:p w14:paraId="15B5EDAE" w14:textId="21700A90" w:rsidR="00CA7D82" w:rsidRPr="001405B6" w:rsidRDefault="00CA7D82" w:rsidP="001405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Співвідношення кількості закладів П(ПТ)О до кількості населення в регіоні</w:t>
            </w:r>
          </w:p>
        </w:tc>
        <w:tc>
          <w:tcPr>
            <w:tcW w:w="5052" w:type="dxa"/>
          </w:tcPr>
          <w:p w14:paraId="6252098E" w14:textId="67BA7449" w:rsidR="00CA7D82" w:rsidRPr="001405B6" w:rsidRDefault="001405B6" w:rsidP="001405B6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CA7D82"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ело, смт, малі міста (до 50 тисяч мешканців) та населені пункти із статусом гірських</w:t>
            </w:r>
            <w:r w:rsidR="00CA7D82" w:rsidRPr="001405B6">
              <w:rPr>
                <w:rFonts w:ascii="Times New Roman" w:eastAsia="Calibri" w:hAnsi="Times New Roman" w:cs="Times New Roman"/>
                <w:i/>
                <w:color w:val="A5A5A5" w:themeColor="accent3"/>
                <w:sz w:val="24"/>
                <w:szCs w:val="24"/>
              </w:rPr>
              <w:t xml:space="preserve"> </w:t>
            </w:r>
            <w:r w:rsidR="00CA7D82"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– 1 заклад П(ПТ)О / 40 тис</w:t>
            </w:r>
          </w:p>
          <w:p w14:paraId="0045853A" w14:textId="22C38E91" w:rsidR="00CA7D82" w:rsidRPr="001405B6" w:rsidRDefault="001405B6" w:rsidP="001405B6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ED7D3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CA7D82"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ередні, великі міста (50 – 500 тисяч мешканців) – 1 заклад П(ПТ)О / 80-тисяч мешканців </w:t>
            </w:r>
          </w:p>
          <w:p w14:paraId="7F6BE5C1" w14:textId="3AEF4866" w:rsidR="00CA7D82" w:rsidRPr="001405B6" w:rsidRDefault="001405B6" w:rsidP="001405B6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A7D82"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рупні, найкрупніші міста (від 500 тисяч мешканців) – 1 заклад П(ПТ)О / 100 тисяч мешканців </w:t>
            </w:r>
          </w:p>
        </w:tc>
      </w:tr>
    </w:tbl>
    <w:p w14:paraId="26030364" w14:textId="439DB875" w:rsidR="00196D3D" w:rsidRDefault="00196D3D" w:rsidP="001405B6">
      <w:pPr>
        <w:pStyle w:val="a3"/>
        <w:keepNext/>
        <w:keepLines/>
        <w:numPr>
          <w:ilvl w:val="0"/>
          <w:numId w:val="6"/>
        </w:numPr>
        <w:spacing w:after="0" w:line="240" w:lineRule="auto"/>
        <w:ind w:right="-567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05B6">
        <w:rPr>
          <w:rFonts w:ascii="Times New Roman" w:eastAsia="Times New Roman" w:hAnsi="Times New Roman" w:cs="Times New Roman"/>
          <w:sz w:val="28"/>
          <w:szCs w:val="28"/>
        </w:rPr>
        <w:lastRenderedPageBreak/>
        <w:t>доступність</w:t>
      </w:r>
    </w:p>
    <w:p w14:paraId="14BA4775" w14:textId="77777777" w:rsidR="001405B6" w:rsidRPr="001405B6" w:rsidRDefault="001405B6" w:rsidP="001405B6">
      <w:pPr>
        <w:keepNext/>
        <w:keepLines/>
        <w:spacing w:after="0" w:line="240" w:lineRule="auto"/>
        <w:ind w:left="360" w:right="-567"/>
        <w:outlineLvl w:val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921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196D3D" w:rsidRPr="001405B6" w14:paraId="2B084C3C" w14:textId="77777777" w:rsidTr="00980931">
        <w:tc>
          <w:tcPr>
            <w:tcW w:w="4820" w:type="dxa"/>
          </w:tcPr>
          <w:p w14:paraId="5EA5B8AD" w14:textId="77777777" w:rsidR="00196D3D" w:rsidRDefault="00196D3D" w:rsidP="00980931">
            <w:pPr>
              <w:keepNext/>
              <w:keepLines/>
              <w:spacing w:after="0" w:line="240" w:lineRule="auto"/>
              <w:ind w:right="-567"/>
              <w:outlineLvl w:val="1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Індикатор</w:t>
            </w:r>
          </w:p>
          <w:p w14:paraId="797E96E1" w14:textId="588E1AC4" w:rsidR="00980931" w:rsidRPr="001405B6" w:rsidRDefault="00980931" w:rsidP="00980931">
            <w:pPr>
              <w:keepNext/>
              <w:keepLines/>
              <w:spacing w:after="0" w:line="240" w:lineRule="auto"/>
              <w:ind w:right="-56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86F25C3" w14:textId="14E69B59" w:rsidR="00196D3D" w:rsidRPr="001405B6" w:rsidRDefault="00196D3D" w:rsidP="00980931">
            <w:pPr>
              <w:keepNext/>
              <w:keepLines/>
              <w:spacing w:after="0" w:line="240" w:lineRule="auto"/>
              <w:ind w:right="-56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Показник індикатора</w:t>
            </w:r>
          </w:p>
        </w:tc>
      </w:tr>
      <w:tr w:rsidR="00196D3D" w:rsidRPr="001405B6" w14:paraId="7C09E806" w14:textId="77777777" w:rsidTr="00980931">
        <w:tc>
          <w:tcPr>
            <w:tcW w:w="4820" w:type="dxa"/>
          </w:tcPr>
          <w:p w14:paraId="34E4F9E4" w14:textId="77777777" w:rsidR="00196D3D" w:rsidRDefault="00196D3D" w:rsidP="001405B6">
            <w:pPr>
              <w:keepNext/>
              <w:keepLines/>
              <w:tabs>
                <w:tab w:val="left" w:pos="3773"/>
                <w:tab w:val="left" w:pos="3915"/>
              </w:tabs>
              <w:spacing w:after="0" w:line="240" w:lineRule="auto"/>
              <w:ind w:right="18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Відстань до закладу П(ПТ)О або час, витрачений на дорогу до закладу П(ПТ)О в громадському транспорті </w:t>
            </w:r>
            <w:r w:rsidR="0014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(без гуртожитку)</w:t>
            </w:r>
          </w:p>
          <w:p w14:paraId="78615B95" w14:textId="29582089" w:rsidR="001405B6" w:rsidRPr="001405B6" w:rsidRDefault="001405B6" w:rsidP="001405B6">
            <w:pPr>
              <w:keepNext/>
              <w:keepLines/>
              <w:tabs>
                <w:tab w:val="left" w:pos="3773"/>
                <w:tab w:val="left" w:pos="3915"/>
              </w:tabs>
              <w:spacing w:after="0" w:line="240" w:lineRule="auto"/>
              <w:ind w:right="18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6951B3" w14:textId="77777777" w:rsidR="00196D3D" w:rsidRPr="001405B6" w:rsidRDefault="00196D3D" w:rsidP="00543670">
            <w:pPr>
              <w:spacing w:after="0" w:line="240" w:lineRule="auto"/>
              <w:ind w:right="-567" w:firstLine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до 30 км</w:t>
            </w:r>
          </w:p>
          <w:p w14:paraId="326FF7A0" w14:textId="77777777" w:rsidR="00196D3D" w:rsidRPr="001405B6" w:rsidRDefault="00196D3D" w:rsidP="00543670">
            <w:pPr>
              <w:spacing w:after="0" w:line="240" w:lineRule="auto"/>
              <w:ind w:right="-567" w:firstLine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або 1 година</w:t>
            </w:r>
          </w:p>
          <w:p w14:paraId="0C7B866D" w14:textId="77777777" w:rsidR="00196D3D" w:rsidRPr="001405B6" w:rsidRDefault="00196D3D" w:rsidP="00543670">
            <w:pPr>
              <w:spacing w:after="0" w:line="240" w:lineRule="auto"/>
              <w:ind w:right="-567" w:firstLine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034F66" w14:textId="77777777" w:rsidR="00196D3D" w:rsidRPr="001405B6" w:rsidRDefault="00196D3D" w:rsidP="00543670">
            <w:pPr>
              <w:keepNext/>
              <w:keepLines/>
              <w:spacing w:after="0" w:line="240" w:lineRule="auto"/>
              <w:ind w:right="-567" w:firstLine="46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D3D" w:rsidRPr="001405B6" w14:paraId="175C2225" w14:textId="77777777" w:rsidTr="00980931">
        <w:tc>
          <w:tcPr>
            <w:tcW w:w="4820" w:type="dxa"/>
          </w:tcPr>
          <w:p w14:paraId="23172492" w14:textId="15701711" w:rsidR="00196D3D" w:rsidRPr="001405B6" w:rsidRDefault="00196D3D" w:rsidP="001405B6">
            <w:pPr>
              <w:keepNext/>
              <w:keepLines/>
              <w:tabs>
                <w:tab w:val="left" w:pos="3915"/>
              </w:tabs>
              <w:spacing w:after="0" w:line="240" w:lineRule="auto"/>
              <w:ind w:right="18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Відстань до закладу П(ПТ)О або час, витрачений на дорогу до закладу П(ПТ)О в громадському транспорті </w:t>
            </w:r>
            <w:r w:rsidRPr="00140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забезпеченості здобувача освіти місцем у гуртожитку</w:t>
            </w:r>
          </w:p>
        </w:tc>
        <w:tc>
          <w:tcPr>
            <w:tcW w:w="4394" w:type="dxa"/>
          </w:tcPr>
          <w:p w14:paraId="6A668102" w14:textId="77777777" w:rsidR="00196D3D" w:rsidRPr="001405B6" w:rsidRDefault="00196D3D" w:rsidP="00543670">
            <w:pPr>
              <w:spacing w:after="0" w:line="240" w:lineRule="auto"/>
              <w:ind w:right="-567" w:firstLine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до 100 км</w:t>
            </w:r>
          </w:p>
          <w:p w14:paraId="79701073" w14:textId="77777777" w:rsidR="00196D3D" w:rsidRPr="001405B6" w:rsidRDefault="00196D3D" w:rsidP="00543670">
            <w:pPr>
              <w:spacing w:after="0" w:line="240" w:lineRule="auto"/>
              <w:ind w:right="-567" w:firstLine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або до 1,5 годин</w:t>
            </w:r>
          </w:p>
          <w:p w14:paraId="5B340D1A" w14:textId="77777777" w:rsidR="00196D3D" w:rsidRPr="001405B6" w:rsidRDefault="00196D3D" w:rsidP="00543670">
            <w:pPr>
              <w:spacing w:after="0" w:line="240" w:lineRule="auto"/>
              <w:ind w:right="-567" w:firstLine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E2A837" w14:textId="77777777" w:rsidR="00196D3D" w:rsidRPr="001405B6" w:rsidRDefault="00196D3D" w:rsidP="00543670">
            <w:pPr>
              <w:keepNext/>
              <w:keepLines/>
              <w:spacing w:after="0" w:line="240" w:lineRule="auto"/>
              <w:ind w:right="-567" w:firstLine="46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15E58B" w14:textId="77777777" w:rsidR="00196D3D" w:rsidRPr="001405B6" w:rsidRDefault="00196D3D" w:rsidP="001405B6">
      <w:pPr>
        <w:keepNext/>
        <w:keepLines/>
        <w:spacing w:after="0" w:line="240" w:lineRule="auto"/>
        <w:ind w:left="360" w:right="-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64ECB196" w14:textId="7311DF08" w:rsidR="0064548F" w:rsidRPr="001405B6" w:rsidRDefault="0064548F" w:rsidP="001405B6">
      <w:pPr>
        <w:pStyle w:val="a3"/>
        <w:keepNext/>
        <w:keepLines/>
        <w:numPr>
          <w:ilvl w:val="0"/>
          <w:numId w:val="6"/>
        </w:numPr>
        <w:spacing w:after="0" w:line="240" w:lineRule="auto"/>
        <w:ind w:right="-567"/>
        <w:jc w:val="both"/>
        <w:outlineLvl w:val="1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r w:rsidRPr="001405B6">
        <w:rPr>
          <w:rFonts w:ascii="Times New Roman" w:eastAsia="Times New Roman" w:hAnsi="Times New Roman" w:cs="Times New Roman"/>
          <w:sz w:val="28"/>
          <w:szCs w:val="28"/>
        </w:rPr>
        <w:t>соціальний</w:t>
      </w:r>
    </w:p>
    <w:p w14:paraId="0FA62853" w14:textId="77777777" w:rsidR="001405B6" w:rsidRPr="001405B6" w:rsidRDefault="001405B6" w:rsidP="001405B6">
      <w:pPr>
        <w:keepNext/>
        <w:keepLines/>
        <w:spacing w:after="0" w:line="240" w:lineRule="auto"/>
        <w:ind w:left="360" w:right="-567"/>
        <w:jc w:val="both"/>
        <w:outlineLvl w:val="1"/>
        <w:rPr>
          <w:rFonts w:ascii="Times New Roman" w:eastAsia="Times New Roman" w:hAnsi="Times New Roman" w:cs="Times New Roman"/>
          <w:color w:val="2F5496"/>
          <w:sz w:val="16"/>
          <w:szCs w:val="16"/>
        </w:rPr>
      </w:pPr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4328"/>
      </w:tblGrid>
      <w:tr w:rsidR="001405B6" w:rsidRPr="001405B6" w14:paraId="58B4EB5E" w14:textId="77777777" w:rsidTr="00980931">
        <w:tc>
          <w:tcPr>
            <w:tcW w:w="4835" w:type="dxa"/>
          </w:tcPr>
          <w:p w14:paraId="2F733F9D" w14:textId="77777777" w:rsidR="001405B6" w:rsidRDefault="001405B6" w:rsidP="001405B6">
            <w:pPr>
              <w:keepNext/>
              <w:keepLines/>
              <w:spacing w:after="0" w:line="240" w:lineRule="auto"/>
              <w:ind w:right="-567"/>
              <w:jc w:val="both"/>
              <w:outlineLvl w:val="1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Індикатор</w:t>
            </w:r>
          </w:p>
          <w:p w14:paraId="4CE590D2" w14:textId="16AABF22" w:rsidR="00980931" w:rsidRPr="001405B6" w:rsidRDefault="00980931" w:rsidP="001405B6">
            <w:pPr>
              <w:keepNext/>
              <w:keepLines/>
              <w:spacing w:after="0" w:line="240" w:lineRule="auto"/>
              <w:ind w:right="-567"/>
              <w:jc w:val="both"/>
              <w:outlineLvl w:val="1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</w:rPr>
            </w:pPr>
          </w:p>
        </w:tc>
        <w:tc>
          <w:tcPr>
            <w:tcW w:w="4328" w:type="dxa"/>
          </w:tcPr>
          <w:p w14:paraId="1DF19A30" w14:textId="37FDAB0C" w:rsidR="001405B6" w:rsidRPr="001405B6" w:rsidRDefault="001405B6" w:rsidP="001405B6">
            <w:pPr>
              <w:keepNext/>
              <w:keepLines/>
              <w:spacing w:after="0" w:line="240" w:lineRule="auto"/>
              <w:ind w:right="-567"/>
              <w:jc w:val="both"/>
              <w:outlineLvl w:val="1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</w:rPr>
            </w:pPr>
            <w:r w:rsidRPr="001405B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Показник індикатора</w:t>
            </w:r>
          </w:p>
        </w:tc>
      </w:tr>
      <w:tr w:rsidR="001405B6" w:rsidRPr="001405B6" w14:paraId="78DBC586" w14:textId="77777777" w:rsidTr="00980931">
        <w:tc>
          <w:tcPr>
            <w:tcW w:w="4835" w:type="dxa"/>
          </w:tcPr>
          <w:p w14:paraId="2FB65D60" w14:textId="59680D05" w:rsidR="001405B6" w:rsidRPr="001405B6" w:rsidRDefault="001405B6" w:rsidP="001405B6">
            <w:pPr>
              <w:keepNext/>
              <w:keepLines/>
              <w:spacing w:after="0" w:line="240" w:lineRule="auto"/>
              <w:ind w:right="195"/>
              <w:jc w:val="both"/>
              <w:outlineLvl w:val="1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Співвідношення кількості закладів  П(ПТ)О до кількості випускників закладів загальної середньої освіти в межах логістичного центру за останні 3 роки</w:t>
            </w:r>
          </w:p>
        </w:tc>
        <w:tc>
          <w:tcPr>
            <w:tcW w:w="4328" w:type="dxa"/>
          </w:tcPr>
          <w:p w14:paraId="723935EE" w14:textId="30C895C0" w:rsidR="001405B6" w:rsidRPr="001405B6" w:rsidRDefault="001405B6" w:rsidP="001405B6">
            <w:pPr>
              <w:spacing w:after="0" w:line="240" w:lineRule="auto"/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ело, смт, малі міста (до 50 тисяч мешканців), населені пункти із статусом гірських – 1 / 700 випускників закладів загальної середньої освіти</w:t>
            </w:r>
          </w:p>
          <w:p w14:paraId="17D6D423" w14:textId="34771CBF" w:rsidR="001405B6" w:rsidRPr="001405B6" w:rsidRDefault="001405B6" w:rsidP="001405B6">
            <w:pPr>
              <w:spacing w:after="0" w:line="240" w:lineRule="auto"/>
              <w:ind w:firstLine="44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ередні, великі міста (50 – 500 тисяч мешканців) - 1 / 1000 –  1200 випускників закладів загальної середньої освіти</w:t>
            </w:r>
          </w:p>
          <w:p w14:paraId="54E2F9C8" w14:textId="77777777" w:rsidR="001405B6" w:rsidRDefault="001405B6" w:rsidP="001405B6">
            <w:pPr>
              <w:keepNext/>
              <w:keepLines/>
              <w:spacing w:after="0" w:line="240" w:lineRule="auto"/>
              <w:ind w:right="-567" w:firstLine="446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рупні, найкрупніші міста (від 500 тисяч мешканців) – 1 / 1500 –  2000 випускників закладів загальної середньої освіти</w:t>
            </w:r>
          </w:p>
          <w:p w14:paraId="0228F8C1" w14:textId="5271053E" w:rsidR="001405B6" w:rsidRPr="001405B6" w:rsidRDefault="001405B6" w:rsidP="001405B6">
            <w:pPr>
              <w:keepNext/>
              <w:keepLines/>
              <w:spacing w:after="0" w:line="240" w:lineRule="auto"/>
              <w:ind w:right="-567" w:firstLine="446"/>
              <w:jc w:val="both"/>
              <w:outlineLvl w:val="1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</w:rPr>
            </w:pPr>
          </w:p>
        </w:tc>
      </w:tr>
      <w:tr w:rsidR="001405B6" w:rsidRPr="001405B6" w14:paraId="2842676F" w14:textId="77777777" w:rsidTr="00980931">
        <w:tc>
          <w:tcPr>
            <w:tcW w:w="4835" w:type="dxa"/>
          </w:tcPr>
          <w:p w14:paraId="56CA4371" w14:textId="60479E8B" w:rsidR="001405B6" w:rsidRDefault="001405B6" w:rsidP="001405B6">
            <w:pPr>
              <w:keepNext/>
              <w:keepLines/>
              <w:spacing w:after="0" w:line="240" w:lineRule="auto"/>
              <w:ind w:right="195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Частка місць навчання у закладах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П(ПТ)О відносно кількості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випускників закладів загальної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середньої освіти за останні 3 роки</w:t>
            </w:r>
          </w:p>
          <w:p w14:paraId="2235957A" w14:textId="22955AD4" w:rsidR="001405B6" w:rsidRPr="001405B6" w:rsidRDefault="001405B6" w:rsidP="001405B6">
            <w:pPr>
              <w:keepNext/>
              <w:keepLines/>
              <w:spacing w:after="0" w:line="240" w:lineRule="auto"/>
              <w:ind w:right="195"/>
              <w:jc w:val="both"/>
              <w:outlineLvl w:val="1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</w:rPr>
            </w:pPr>
          </w:p>
        </w:tc>
        <w:tc>
          <w:tcPr>
            <w:tcW w:w="4328" w:type="dxa"/>
          </w:tcPr>
          <w:p w14:paraId="0AD72F8D" w14:textId="77777777" w:rsidR="001405B6" w:rsidRPr="001405B6" w:rsidRDefault="001405B6" w:rsidP="001405B6">
            <w:pPr>
              <w:spacing w:after="0" w:line="240" w:lineRule="auto"/>
              <w:ind w:firstLine="4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менше 50 % </w:t>
            </w:r>
          </w:p>
          <w:p w14:paraId="7CB4342C" w14:textId="77777777" w:rsidR="001405B6" w:rsidRPr="001405B6" w:rsidRDefault="001405B6" w:rsidP="001405B6">
            <w:pPr>
              <w:keepNext/>
              <w:keepLines/>
              <w:spacing w:after="0" w:line="240" w:lineRule="auto"/>
              <w:ind w:right="-567" w:firstLine="446"/>
              <w:jc w:val="both"/>
              <w:outlineLvl w:val="1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</w:rPr>
            </w:pPr>
          </w:p>
        </w:tc>
      </w:tr>
      <w:tr w:rsidR="001405B6" w:rsidRPr="001405B6" w14:paraId="77093426" w14:textId="77777777" w:rsidTr="00980931">
        <w:tc>
          <w:tcPr>
            <w:tcW w:w="4835" w:type="dxa"/>
          </w:tcPr>
          <w:p w14:paraId="5788AD65" w14:textId="22B16936" w:rsidR="001405B6" w:rsidRDefault="001405B6" w:rsidP="001405B6">
            <w:pPr>
              <w:keepNext/>
              <w:keepLines/>
              <w:spacing w:after="0" w:line="240" w:lineRule="auto"/>
              <w:ind w:right="195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Частка здобувачів освіти з особливими освітніми потребами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1405B6">
              <w:rPr>
                <w:rFonts w:ascii="Times New Roman" w:eastAsia="Calibri" w:hAnsi="Times New Roman" w:cs="Times New Roman"/>
                <w:i/>
                <w:iCs/>
                <w:color w:val="0070C0"/>
                <w:sz w:val="24"/>
                <w:szCs w:val="24"/>
              </w:rPr>
              <w:t xml:space="preserve"> </w:t>
            </w: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(% від загального  контингенту здобувачів освіти) за останні 3 роки</w:t>
            </w:r>
          </w:p>
          <w:p w14:paraId="1686D316" w14:textId="288A2A62" w:rsidR="001405B6" w:rsidRPr="001405B6" w:rsidRDefault="001405B6" w:rsidP="001405B6">
            <w:pPr>
              <w:keepNext/>
              <w:keepLines/>
              <w:spacing w:after="0" w:line="240" w:lineRule="auto"/>
              <w:ind w:right="195"/>
              <w:jc w:val="both"/>
              <w:outlineLvl w:val="1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</w:rPr>
            </w:pPr>
          </w:p>
        </w:tc>
        <w:tc>
          <w:tcPr>
            <w:tcW w:w="4328" w:type="dxa"/>
          </w:tcPr>
          <w:p w14:paraId="0564CE21" w14:textId="77777777" w:rsidR="001405B6" w:rsidRPr="001405B6" w:rsidRDefault="001405B6" w:rsidP="001405B6">
            <w:pPr>
              <w:spacing w:after="0" w:line="240" w:lineRule="auto"/>
              <w:ind w:firstLine="4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1 - 4 %</w:t>
            </w:r>
          </w:p>
          <w:p w14:paraId="07448DC0" w14:textId="77777777" w:rsidR="001405B6" w:rsidRPr="001405B6" w:rsidRDefault="001405B6" w:rsidP="001405B6">
            <w:pPr>
              <w:spacing w:after="0" w:line="240" w:lineRule="auto"/>
              <w:ind w:firstLine="4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5CAA97" w14:textId="77777777" w:rsidR="001405B6" w:rsidRPr="001405B6" w:rsidRDefault="001405B6" w:rsidP="001405B6">
            <w:pPr>
              <w:keepNext/>
              <w:keepLines/>
              <w:spacing w:after="0" w:line="240" w:lineRule="auto"/>
              <w:ind w:right="-567" w:firstLine="446"/>
              <w:jc w:val="both"/>
              <w:outlineLvl w:val="1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</w:rPr>
            </w:pPr>
          </w:p>
        </w:tc>
      </w:tr>
      <w:tr w:rsidR="001405B6" w:rsidRPr="001405B6" w14:paraId="4780C3F6" w14:textId="77777777" w:rsidTr="00980931">
        <w:tc>
          <w:tcPr>
            <w:tcW w:w="4835" w:type="dxa"/>
          </w:tcPr>
          <w:p w14:paraId="5071D771" w14:textId="20A3095F" w:rsidR="001405B6" w:rsidRDefault="001405B6" w:rsidP="001405B6">
            <w:pPr>
              <w:keepNext/>
              <w:keepLines/>
              <w:spacing w:after="0" w:line="240" w:lineRule="auto"/>
              <w:ind w:right="195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Частка дорослих, які пройшли навчання, підвищення кваліфікації та перепідготовку (% від загального  контингенту здобувачів освіти)</w:t>
            </w:r>
            <w:r w:rsidRPr="001405B6">
              <w:rPr>
                <w:rFonts w:ascii="Times New Roman" w:eastAsia="Calibri" w:hAnsi="Times New Roman" w:cs="Times New Roman"/>
                <w:i/>
                <w:color w:val="00B050"/>
                <w:sz w:val="24"/>
                <w:szCs w:val="24"/>
              </w:rPr>
              <w:t xml:space="preserve"> </w:t>
            </w:r>
            <w:r w:rsidRPr="001405B6">
              <w:rPr>
                <w:rFonts w:ascii="Times New Roman" w:eastAsia="Calibri" w:hAnsi="Times New Roman" w:cs="Times New Roman"/>
                <w:sz w:val="24"/>
                <w:szCs w:val="24"/>
              </w:rPr>
              <w:t>за останні 3 роки</w:t>
            </w:r>
          </w:p>
          <w:p w14:paraId="37229914" w14:textId="3170D395" w:rsidR="001405B6" w:rsidRPr="001405B6" w:rsidRDefault="001405B6" w:rsidP="001405B6">
            <w:pPr>
              <w:keepNext/>
              <w:keepLines/>
              <w:spacing w:after="0" w:line="240" w:lineRule="auto"/>
              <w:ind w:right="195"/>
              <w:jc w:val="both"/>
              <w:outlineLvl w:val="1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</w:rPr>
            </w:pPr>
          </w:p>
        </w:tc>
        <w:tc>
          <w:tcPr>
            <w:tcW w:w="4328" w:type="dxa"/>
          </w:tcPr>
          <w:p w14:paraId="409A21C2" w14:textId="77777777" w:rsidR="001405B6" w:rsidRPr="001405B6" w:rsidRDefault="001405B6" w:rsidP="001405B6">
            <w:pPr>
              <w:spacing w:after="0" w:line="240" w:lineRule="auto"/>
              <w:ind w:firstLine="446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1405B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від 5 %</w:t>
            </w:r>
          </w:p>
          <w:p w14:paraId="740DD53B" w14:textId="77777777" w:rsidR="001405B6" w:rsidRPr="001405B6" w:rsidRDefault="001405B6" w:rsidP="001405B6">
            <w:pPr>
              <w:spacing w:after="0" w:line="240" w:lineRule="auto"/>
              <w:ind w:firstLine="446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  <w:p w14:paraId="45577719" w14:textId="77777777" w:rsidR="001405B6" w:rsidRPr="001405B6" w:rsidRDefault="001405B6" w:rsidP="001405B6">
            <w:pPr>
              <w:keepNext/>
              <w:keepLines/>
              <w:spacing w:after="0" w:line="240" w:lineRule="auto"/>
              <w:ind w:right="-567" w:firstLine="446"/>
              <w:jc w:val="both"/>
              <w:outlineLvl w:val="1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</w:rPr>
            </w:pPr>
          </w:p>
        </w:tc>
      </w:tr>
    </w:tbl>
    <w:p w14:paraId="1BC8B5E5" w14:textId="5A4A69CF" w:rsidR="001405B6" w:rsidRDefault="001405B6" w:rsidP="001405B6">
      <w:pPr>
        <w:keepNext/>
        <w:keepLines/>
        <w:spacing w:after="0" w:line="240" w:lineRule="auto"/>
        <w:ind w:left="360" w:right="-567"/>
        <w:outlineLvl w:val="1"/>
        <w:rPr>
          <w:rFonts w:ascii="Times New Roman" w:eastAsia="Times New Roman" w:hAnsi="Times New Roman" w:cs="Times New Roman"/>
          <w:color w:val="2F5496"/>
          <w:sz w:val="28"/>
          <w:szCs w:val="28"/>
        </w:rPr>
      </w:pPr>
    </w:p>
    <w:p w14:paraId="6EF65A40" w14:textId="197DCDAE" w:rsidR="00A60E46" w:rsidRPr="0064548F" w:rsidRDefault="00A60E46" w:rsidP="00A60E46">
      <w:pPr>
        <w:ind w:left="360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___________________________________</w:t>
      </w:r>
    </w:p>
    <w:sectPr w:rsidR="00A60E46" w:rsidRPr="0064548F" w:rsidSect="005B114C">
      <w:headerReference w:type="default" r:id="rId7"/>
      <w:footerReference w:type="default" r:id="rId8"/>
      <w:headerReference w:type="first" r:id="rId9"/>
      <w:pgSz w:w="11906" w:h="16838"/>
      <w:pgMar w:top="1440" w:right="1440" w:bottom="241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8DACB" w14:textId="77777777" w:rsidR="00BA56E0" w:rsidRDefault="00BA56E0" w:rsidP="00BA56E0">
      <w:pPr>
        <w:spacing w:after="0" w:line="240" w:lineRule="auto"/>
      </w:pPr>
      <w:r>
        <w:separator/>
      </w:r>
    </w:p>
  </w:endnote>
  <w:endnote w:type="continuationSeparator" w:id="0">
    <w:p w14:paraId="1938EC58" w14:textId="77777777" w:rsidR="00BA56E0" w:rsidRDefault="00BA56E0" w:rsidP="00BA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409E" w14:textId="7BC452BE" w:rsidR="00BA56E0" w:rsidRDefault="00BA56E0">
    <w:pPr>
      <w:pStyle w:val="a7"/>
      <w:jc w:val="center"/>
    </w:pPr>
  </w:p>
  <w:p w14:paraId="7CAA6078" w14:textId="77777777" w:rsidR="00BA56E0" w:rsidRDefault="00BA56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F377A" w14:textId="77777777" w:rsidR="00BA56E0" w:rsidRDefault="00BA56E0" w:rsidP="00BA56E0">
      <w:pPr>
        <w:spacing w:after="0" w:line="240" w:lineRule="auto"/>
      </w:pPr>
      <w:r>
        <w:separator/>
      </w:r>
    </w:p>
  </w:footnote>
  <w:footnote w:type="continuationSeparator" w:id="0">
    <w:p w14:paraId="6316A6C4" w14:textId="77777777" w:rsidR="00BA56E0" w:rsidRDefault="00BA56E0" w:rsidP="00BA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995717"/>
      <w:docPartObj>
        <w:docPartGallery w:val="Page Numbers (Top of Page)"/>
        <w:docPartUnique/>
      </w:docPartObj>
    </w:sdtPr>
    <w:sdtContent>
      <w:p w14:paraId="550EA995" w14:textId="4ECD6ACB" w:rsidR="005B114C" w:rsidRDefault="005B11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05FA80E" w14:textId="77777777" w:rsidR="005B114C" w:rsidRDefault="005B11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642260"/>
      <w:docPartObj>
        <w:docPartGallery w:val="Page Numbers (Top of Page)"/>
        <w:docPartUnique/>
      </w:docPartObj>
    </w:sdtPr>
    <w:sdtContent>
      <w:p w14:paraId="49EE31F4" w14:textId="23CD6747" w:rsidR="005B114C" w:rsidRDefault="005B11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FA7B9C5" w14:textId="77777777" w:rsidR="005B114C" w:rsidRDefault="005B11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2472"/>
    <w:multiLevelType w:val="hybridMultilevel"/>
    <w:tmpl w:val="BEAE9E84"/>
    <w:lvl w:ilvl="0" w:tplc="42A8B0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E07AF"/>
    <w:multiLevelType w:val="multilevel"/>
    <w:tmpl w:val="D05E4E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20A6112"/>
    <w:multiLevelType w:val="hybridMultilevel"/>
    <w:tmpl w:val="969C613A"/>
    <w:lvl w:ilvl="0" w:tplc="8782F8C6">
      <w:start w:val="1"/>
      <w:numFmt w:val="decimal"/>
      <w:lvlText w:val="%1)"/>
      <w:lvlJc w:val="left"/>
      <w:pPr>
        <w:ind w:left="1440" w:hanging="360"/>
      </w:pPr>
      <w:rPr>
        <w:rFonts w:eastAsia="MS Mincho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4C2093"/>
    <w:multiLevelType w:val="hybridMultilevel"/>
    <w:tmpl w:val="C4A21B90"/>
    <w:lvl w:ilvl="0" w:tplc="ADB0E9C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bCs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74E1C"/>
    <w:multiLevelType w:val="hybridMultilevel"/>
    <w:tmpl w:val="CEAAF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60C3C"/>
    <w:multiLevelType w:val="hybridMultilevel"/>
    <w:tmpl w:val="0BD651BA"/>
    <w:lvl w:ilvl="0" w:tplc="3D7A02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D66F1"/>
    <w:multiLevelType w:val="hybridMultilevel"/>
    <w:tmpl w:val="CEAAFEEA"/>
    <w:lvl w:ilvl="0" w:tplc="3C0859A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27"/>
    <w:rsid w:val="000061A0"/>
    <w:rsid w:val="0009559F"/>
    <w:rsid w:val="000A336D"/>
    <w:rsid w:val="001405B6"/>
    <w:rsid w:val="0016309B"/>
    <w:rsid w:val="00165A8C"/>
    <w:rsid w:val="00194B50"/>
    <w:rsid w:val="00196D3D"/>
    <w:rsid w:val="001A4C50"/>
    <w:rsid w:val="002525EA"/>
    <w:rsid w:val="002A1FE6"/>
    <w:rsid w:val="002A7EDE"/>
    <w:rsid w:val="003529C2"/>
    <w:rsid w:val="003A4781"/>
    <w:rsid w:val="00420FBF"/>
    <w:rsid w:val="004939C8"/>
    <w:rsid w:val="00543670"/>
    <w:rsid w:val="005B114C"/>
    <w:rsid w:val="00630F69"/>
    <w:rsid w:val="0064548F"/>
    <w:rsid w:val="00663EA7"/>
    <w:rsid w:val="006D28AE"/>
    <w:rsid w:val="007059D7"/>
    <w:rsid w:val="007F3114"/>
    <w:rsid w:val="0082607F"/>
    <w:rsid w:val="008D02DE"/>
    <w:rsid w:val="0092692D"/>
    <w:rsid w:val="00935651"/>
    <w:rsid w:val="00955995"/>
    <w:rsid w:val="00980931"/>
    <w:rsid w:val="009B137E"/>
    <w:rsid w:val="009B4370"/>
    <w:rsid w:val="00A60E46"/>
    <w:rsid w:val="00B12A5C"/>
    <w:rsid w:val="00B76CFC"/>
    <w:rsid w:val="00BA56E0"/>
    <w:rsid w:val="00BA7A66"/>
    <w:rsid w:val="00BC6145"/>
    <w:rsid w:val="00BD5B39"/>
    <w:rsid w:val="00C43727"/>
    <w:rsid w:val="00C8767E"/>
    <w:rsid w:val="00CA7D82"/>
    <w:rsid w:val="00D34081"/>
    <w:rsid w:val="00D54AC7"/>
    <w:rsid w:val="00DB5CFB"/>
    <w:rsid w:val="00E60525"/>
    <w:rsid w:val="00F71A8C"/>
    <w:rsid w:val="00F86F4C"/>
    <w:rsid w:val="00FC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1EA2"/>
  <w15:chartTrackingRefBased/>
  <w15:docId w15:val="{33850D82-931C-8947-B385-499D8720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B5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0F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8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0F6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table" w:styleId="a4">
    <w:name w:val="Table Grid"/>
    <w:basedOn w:val="a1"/>
    <w:uiPriority w:val="39"/>
    <w:rsid w:val="002A7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56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A56E0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A56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A56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6538</Words>
  <Characters>3727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Karbysheva V.O.</cp:lastModifiedBy>
  <cp:revision>20</cp:revision>
  <dcterms:created xsi:type="dcterms:W3CDTF">2022-08-30T08:06:00Z</dcterms:created>
  <dcterms:modified xsi:type="dcterms:W3CDTF">2022-09-06T11:13:00Z</dcterms:modified>
</cp:coreProperties>
</file>