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firstLine="567" w:right="-57"/>
        <w:jc w:val="center"/>
        <w:rPr>
          <w:rFonts w:ascii="Times New Roman" w:hAnsi="Times New Roman"/>
          <w:b w:val="1"/>
          <w:sz w:val="28"/>
          <w:szCs w:val="28"/>
        </w:rPr>
      </w:pPr>
      <w:r>
        <w:rPr>
          <w:rFonts w:ascii="Times New Roman" w:hAnsi="Times New Roman"/>
          <w:b w:val="1"/>
          <w:sz w:val="28"/>
          <w:szCs w:val="28"/>
        </w:rPr>
        <w:t>ПОЯСНЮВАЛЬНА ЗАПИСКА</w:t>
      </w:r>
    </w:p>
    <w:p>
      <w:pPr>
        <w:spacing w:lineRule="auto" w:line="240" w:after="0" w:beforeAutospacing="0" w:afterAutospacing="0"/>
        <w:ind w:firstLine="567" w:right="-57"/>
        <w:jc w:val="center"/>
        <w:rPr>
          <w:rFonts w:ascii="Times New Roman" w:hAnsi="Times New Roman"/>
          <w:b w:val="1"/>
          <w:sz w:val="28"/>
          <w:szCs w:val="28"/>
        </w:rPr>
      </w:pPr>
      <w:r>
        <w:rPr>
          <w:rFonts w:ascii="Times New Roman" w:hAnsi="Times New Roman"/>
          <w:b w:val="1"/>
          <w:sz w:val="28"/>
          <w:szCs w:val="28"/>
        </w:rPr>
        <w:t xml:space="preserve">до проєкту наказу Міністерства освіти і науки України </w:t>
      </w:r>
    </w:p>
    <w:p>
      <w:pPr>
        <w:spacing w:lineRule="auto" w:line="240" w:after="0" w:beforeAutospacing="0" w:afterAutospacing="0"/>
        <w:ind w:firstLine="567" w:right="-57"/>
        <w:jc w:val="center"/>
        <w:rPr>
          <w:rFonts w:ascii="Times New Roman" w:hAnsi="Times New Roman"/>
          <w:b w:val="1"/>
          <w:sz w:val="28"/>
          <w:szCs w:val="28"/>
        </w:rPr>
      </w:pPr>
      <w:r>
        <w:rPr>
          <w:rFonts w:ascii="Times New Roman" w:hAnsi="Times New Roman"/>
          <w:b w:val="1"/>
          <w:sz w:val="28"/>
          <w:szCs w:val="28"/>
        </w:rPr>
        <w:t>«Про внесення змін до наказу Міністерства освіти і науки України від 13 березня 2014 року № 221»</w:t>
      </w:r>
    </w:p>
    <w:p>
      <w:pPr>
        <w:shd w:val="clear" w:fill="FFFFFF"/>
        <w:spacing w:lineRule="auto" w:line="240" w:after="0" w:beforeAutospacing="0" w:afterAutospacing="0"/>
        <w:ind w:right="-57"/>
        <w:jc w:val="both"/>
        <w:rPr>
          <w:rFonts w:ascii="Times New Roman" w:hAnsi="Times New Roman"/>
          <w:sz w:val="28"/>
          <w:szCs w:val="28"/>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1. Мета</w:t>
      </w:r>
    </w:p>
    <w:p>
      <w:pPr>
        <w:spacing w:lineRule="auto" w:line="240" w:after="0" w:beforeAutospacing="0" w:afterAutospacing="0"/>
        <w:ind w:firstLine="709"/>
        <w:contextualSpacing w:val="1"/>
        <w:jc w:val="both"/>
        <w:rPr>
          <w:rFonts w:ascii="Times New Roman" w:hAnsi="Times New Roman"/>
          <w:sz w:val="28"/>
          <w:szCs w:val="28"/>
          <w:shd w:val="clear" w:color="auto" w:fill="FFFFFF"/>
          <w:lang w:eastAsia="ru-RU"/>
        </w:rPr>
      </w:pPr>
      <w:r>
        <w:rPr>
          <w:rFonts w:ascii="Times New Roman" w:hAnsi="Times New Roman"/>
          <w:sz w:val="28"/>
          <w:szCs w:val="28"/>
        </w:rPr>
        <w:t>Проєкт наказу Міністерства освіти і науки України «Про внесення змін до наказу Міністерства освіти і науки України від 13 березня 2014 року № 221» (далі – проєкт наказу) розроблено з метою</w:t>
      </w:r>
      <w:r>
        <w:rPr>
          <w:rFonts w:ascii="Times New Roman" w:hAnsi="Times New Roman"/>
          <w:bCs w:val="1"/>
          <w:color w:val="000000"/>
          <w:sz w:val="28"/>
          <w:szCs w:val="28"/>
          <w:lang w:eastAsia="ru-RU"/>
        </w:rPr>
        <w:t xml:space="preserve"> вдосконалення процедури </w:t>
      </w:r>
      <w:r>
        <w:rPr>
          <w:rFonts w:ascii="Times New Roman" w:hAnsi="Times New Roman"/>
          <w:sz w:val="28"/>
          <w:szCs w:val="28"/>
          <w:shd w:val="clear" w:color="auto" w:fill="FFFFFF"/>
          <w:lang w:eastAsia="ru-RU"/>
        </w:rPr>
        <w:t>здійснення контролю за напрямами використання коштів, одержаних у результаті трансферу технологій, створених за рахунок коштів державного бюджету, і виплатою винагороди авторам технологій та особам, які здійснюють їх трансфер.</w:t>
      </w:r>
    </w:p>
    <w:p>
      <w:pPr>
        <w:spacing w:lineRule="auto" w:line="240" w:after="0" w:beforeAutospacing="0" w:afterAutospacing="0"/>
        <w:ind w:firstLine="567"/>
        <w:jc w:val="both"/>
        <w:rPr>
          <w:rFonts w:ascii="Times New Roman" w:hAnsi="Times New Roman"/>
          <w:sz w:val="28"/>
          <w:szCs w:val="28"/>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2. Обґрунтування необхідності прийняття акта</w:t>
      </w:r>
    </w:p>
    <w:p>
      <w:pPr>
        <w:spacing w:lineRule="auto" w:line="240" w:after="0" w:beforeAutospacing="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Відповідно до пункту 3 </w:t>
      </w:r>
      <w:bookmarkStart w:id="0" w:name="_Hlk112407581"/>
      <w:r>
        <w:rPr>
          <w:rFonts w:ascii="Times New Roman" w:hAnsi="Times New Roman"/>
          <w:color w:val="000000"/>
          <w:sz w:val="28"/>
          <w:szCs w:val="28"/>
        </w:rPr>
        <w:t>Порядку і напрямів використання коштів, одержаних у результаті трансферу технологій, створених за рахунок коштів державного бюджету</w:t>
      </w:r>
      <w:bookmarkEnd w:id="0"/>
      <w:r>
        <w:rPr>
          <w:rFonts w:ascii="Times New Roman" w:hAnsi="Times New Roman"/>
          <w:color w:val="000000"/>
          <w:sz w:val="28"/>
          <w:szCs w:val="28"/>
        </w:rPr>
        <w:t xml:space="preserve">, затверджених постановою Кабінету Міністрів України від 22 квітня 2013 року № 300, пункту 6 Порядку здійснення контролю за виплатою винагороди авторам технологій та/або їх складових, затвердженого постановою Кабінету Міністрів України від 22 травня 2013 року № 351, та з метою здійснення контролю за напрямами використання коштів, одержаних у результаті трансферу технологій, створених за рахунок коштів державного бюджету, і виплатою винагороди авторам таких технологій органи державної влади, Національна академія наук та національні галузеві академії наук, які здійснювали фінансування науково-дослідних та дослідно-конструкторських робіт щороку до 15 квітня подають Міністерству освіти і науки України узагальнену звітну інформацію за формами, які затверджені наказом Міністерства освіти і науки України від 13.03.2014 р. № 221 «Про затвердження форм надання та узагальнення відомостей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таких технологій». </w:t>
      </w:r>
    </w:p>
    <w:p>
      <w:pPr>
        <w:spacing w:lineRule="auto" w:line="240" w:after="0" w:beforeAutospacing="0" w:afterAutospacing="0"/>
        <w:ind w:firstLine="709"/>
        <w:jc w:val="both"/>
        <w:rPr>
          <w:rFonts w:ascii="Times New Roman" w:hAnsi="Times New Roman"/>
          <w:color w:val="000000"/>
          <w:sz w:val="28"/>
          <w:szCs w:val="28"/>
          <w:spacing w:val="-4"/>
        </w:rPr>
      </w:pPr>
      <w:r>
        <w:rPr>
          <w:rFonts w:ascii="Times New Roman" w:hAnsi="Times New Roman"/>
          <w:color w:val="000000"/>
          <w:sz w:val="28"/>
          <w:szCs w:val="28"/>
          <w:spacing w:val="-4"/>
        </w:rPr>
        <w:t>З метою упорядкування та удосконалення правового регулювання процедури здійснення контролю за напрямами використання коштів, одержаних у результаті трансферу технологій, створених за рахунок коштів державного бюджету, і виплатою винагороди авторам таких технологій та особам, що здійснюють їх трансфер, наказом МОН від 12 січня 2021 року № 32 було внесено відповідні зміни до наказу МОН від 13 березня 2014 року № 221 обумовленні схваленням постанови Кабінету Міністрів України від 22 липня 2020 р. № 625, якою внесено зміни до постанов Кабінету Міністрів України від 22 квітня 2013 року № 300, від 22 травня 2013 року № 351 та від 04 грудня 2019 р. № 1030</w:t>
      </w:r>
      <w:r>
        <w:rPr>
          <w:rFonts w:ascii="Times New Roman" w:hAnsi="Times New Roman"/>
          <w:bCs w:val="1"/>
          <w:color w:val="000000"/>
          <w:sz w:val="28"/>
          <w:szCs w:val="28"/>
          <w:spacing w:val="-4"/>
        </w:rPr>
        <w:t>, в частині внесення змін до форм, які затверджені зазначеним наказом.</w:t>
      </w:r>
    </w:p>
    <w:p>
      <w:pPr>
        <w:spacing w:lineRule="auto" w:line="240" w:after="0" w:beforeAutospacing="0" w:afterAutospacing="0"/>
        <w:ind w:firstLine="709"/>
        <w:jc w:val="both"/>
        <w:rPr>
          <w:rFonts w:ascii="Times New Roman" w:hAnsi="Times New Roman"/>
          <w:color w:val="000000"/>
          <w:sz w:val="28"/>
          <w:szCs w:val="28"/>
        </w:rPr>
      </w:pPr>
      <w:r>
        <w:rPr>
          <w:rFonts w:ascii="Times New Roman" w:hAnsi="Times New Roman"/>
          <w:color w:val="000000"/>
          <w:sz w:val="28"/>
          <w:szCs w:val="28"/>
        </w:rPr>
        <w:t>У 2022 році, в ході проведення моніторингу порядку і напрямів використання коштів, одержаних у результаті трансферу технологій, створених за рахунок коштів державного бюджету, від розпорядників бюджетних коштів отримано пропозиції щодо внесення змін у затверджені наказом МОН від 12 січня 2021 року № 32 форми та інструкцію щодо їх заповнення з метою усунення дублювання відомостей, які подаються у зазначених формах, а також урахування усіх можливих видів доходів, отриманих за договорами про трансфер технологій, що матиме позитивний вплив на подальше формування політики у сфері трансферу технологій.</w:t>
      </w:r>
    </w:p>
    <w:p>
      <w:pPr>
        <w:spacing w:lineRule="auto" w:line="240" w:after="0" w:beforeAutospacing="0" w:afterAutospacing="0"/>
        <w:ind w:right="79"/>
        <w:contextualSpacing w:val="1"/>
        <w:jc w:val="both"/>
        <w:rPr>
          <w:rFonts w:ascii="Times New Roman" w:hAnsi="Times New Roman"/>
          <w:color w:val="000000"/>
          <w:sz w:val="28"/>
          <w:szCs w:val="28"/>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3. Основні положення проєкту акта</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Проєктом акта передбачається внесення змін до форм надання та узагальнення відомостей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технологій та/або їх складових та особам, які здійснюють їх трансфер, та інструкції щ</w:t>
      </w:r>
      <w:bookmarkStart w:id="1" w:name="_GoBack"/>
      <w:bookmarkEnd w:id="1"/>
      <w:r>
        <w:rPr>
          <w:rFonts w:ascii="Times New Roman" w:hAnsi="Times New Roman"/>
          <w:bCs w:val="1"/>
          <w:color w:val="000000"/>
          <w:sz w:val="28"/>
          <w:szCs w:val="28"/>
          <w:lang w:eastAsia="ru-RU"/>
        </w:rPr>
        <w:t>одо їх заповнення.</w:t>
      </w:r>
    </w:p>
    <w:p>
      <w:pPr>
        <w:spacing w:lineRule="auto" w:line="240" w:after="0" w:beforeAutospacing="0" w:afterAutospacing="0"/>
        <w:ind w:firstLine="567"/>
        <w:jc w:val="both"/>
        <w:outlineLvl w:val="2"/>
        <w:rPr>
          <w:rFonts w:ascii="Times New Roman" w:hAnsi="Times New Roman"/>
          <w:bCs w:val="1"/>
          <w:sz w:val="28"/>
          <w:szCs w:val="28"/>
          <w:lang w:eastAsia="ru-RU"/>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4. Правові аспекти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Проєкт акта розроблений відповідно до пункту 4 Положення про Міністерство освіти і науки України, затвердженого постановою Кабінету Міністрів України від 16 жовтня 2014 року № 630 (зі змінами), постанови Кабінету Міністрів України від 22 квітня 2013 року № 300, постанови Кабінету Міністрів України від 22 травня 2013 року № 351</w:t>
      </w:r>
      <w:r>
        <w:rPr>
          <w:rFonts w:ascii="Times New Roman" w:hAnsi="Times New Roman"/>
          <w:color w:val="000000"/>
          <w:sz w:val="28"/>
          <w:szCs w:val="28"/>
        </w:rPr>
        <w:t>.</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5. Фінансово-економічне обґрунтування</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 xml:space="preserve">Реалізація проєкту акта не потребуватиме додаткового фінансування з державного </w:t>
      </w:r>
      <w:r>
        <w:rPr>
          <w:rFonts w:ascii="Times New Roman" w:hAnsi="Times New Roman"/>
          <w:bCs w:val="0"/>
          <w:smallCaps w:val="0"/>
          <w:color w:val="000000"/>
          <w:sz w:val="28"/>
          <w:szCs w:val="22"/>
          <w:cs w:val="0"/>
          <w:spacing w:val="0"/>
          <w:w w:val="100"/>
          <w:position w:val="0"/>
          <w:snapToGrid w:val="1"/>
          <w:lang w:eastAsia="ru-RU"/>
        </w:rPr>
        <w:t xml:space="preserve">чи місцевих </w:t>
      </w:r>
      <w:r>
        <w:rPr>
          <w:rFonts w:ascii="Times New Roman" w:hAnsi="Times New Roman"/>
          <w:bCs w:val="1"/>
          <w:color w:val="000000"/>
          <w:sz w:val="28"/>
          <w:szCs w:val="28"/>
          <w:lang w:eastAsia="ru-RU"/>
        </w:rPr>
        <w:t>бюджет</w:t>
      </w:r>
      <w:r>
        <w:rPr>
          <w:rFonts w:ascii="Times New Roman" w:hAnsi="Times New Roman"/>
          <w:bCs w:val="0"/>
          <w:smallCaps w:val="0"/>
          <w:color w:val="000000"/>
          <w:sz w:val="28"/>
          <w:szCs w:val="22"/>
          <w:cs w:val="0"/>
          <w:spacing w:val="0"/>
          <w:w w:val="100"/>
          <w:position w:val="0"/>
          <w:snapToGrid w:val="1"/>
          <w:lang w:eastAsia="ru-RU"/>
        </w:rPr>
        <w:t>ів</w:t>
      </w:r>
      <w:r>
        <w:rPr>
          <w:rFonts w:ascii="Times New Roman" w:hAnsi="Times New Roman"/>
          <w:bCs w:val="1"/>
          <w:color w:val="000000"/>
          <w:sz w:val="28"/>
          <w:szCs w:val="28"/>
          <w:lang w:eastAsia="ru-RU"/>
        </w:rPr>
        <w:t xml:space="preserve"> України.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6. Позиція заінтересованих сторін</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Проєкт акта потребує громадського обговорення.</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Про</w:t>
      </w:r>
      <w:r>
        <w:rPr>
          <w:rFonts w:ascii="Times New Roman" w:hAnsi="Times New Roman"/>
          <w:bCs w:val="0"/>
          <w:smallCaps w:val="0"/>
          <w:color w:val="000000"/>
          <w:sz w:val="28"/>
          <w:szCs w:val="22"/>
          <w:cs w:val="0"/>
          <w:spacing w:val="0"/>
          <w:w w:val="100"/>
          <w:position w:val="0"/>
          <w:snapToGrid w:val="1"/>
          <w:lang w:eastAsia="ru-RU"/>
        </w:rPr>
        <w:t>є</w:t>
      </w:r>
      <w:r>
        <w:rPr>
          <w:rFonts w:ascii="Times New Roman" w:hAnsi="Times New Roman"/>
          <w:bCs w:val="1"/>
          <w:color w:val="000000"/>
          <w:sz w:val="28"/>
          <w:szCs w:val="28"/>
          <w:lang w:eastAsia="ru-RU"/>
        </w:rPr>
        <w:t>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pPr>
        <w:spacing w:lineRule="auto" w:line="240" w:after="0" w:beforeAutospacing="0" w:afterAutospacing="0"/>
        <w:ind w:firstLine="709"/>
        <w:contextualSpacing w:val="1"/>
        <w:jc w:val="both"/>
        <w:rPr>
          <w:rFonts w:ascii="Times New Roman" w:hAnsi="Times New Roman"/>
          <w:sz w:val="28"/>
          <w:szCs w:val="28"/>
        </w:rPr>
      </w:pPr>
      <w:r>
        <w:rPr>
          <w:rFonts w:ascii="Times New Roman" w:hAnsi="Times New Roman"/>
          <w:sz w:val="28"/>
          <w:szCs w:val="28"/>
        </w:rPr>
        <w:t>Проєкт акта не стосується сфери компетенції інших органів та відповідно не потребує погодження з іншими органами.</w:t>
      </w:r>
    </w:p>
    <w:p>
      <w:pPr>
        <w:spacing w:lineRule="auto" w:line="240" w:after="0" w:beforeAutospacing="0" w:afterAutospacing="0"/>
        <w:ind w:firstLine="709"/>
        <w:contextualSpacing w:val="1"/>
        <w:jc w:val="both"/>
        <w:rPr>
          <w:rFonts w:ascii="Times New Roman" w:hAnsi="Times New Roman"/>
          <w:sz w:val="28"/>
          <w:szCs w:val="28"/>
        </w:rPr>
      </w:pPr>
      <w:r>
        <w:rPr>
          <w:rFonts w:ascii="Times New Roman" w:hAnsi="Times New Roman"/>
          <w:sz w:val="28"/>
          <w:szCs w:val="28"/>
        </w:rPr>
        <w:t>Проєкт акта є регуляторним актом та потребує погодження Державною регуляторною службою України.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sz w:val="28"/>
          <w:szCs w:val="28"/>
        </w:rPr>
        <w:t>Проєкт акта потребує державної реєстрації в Міністерстві юстиції України.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7. Оцінка відповідності</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У проєкті акта відсутні положення, що:</w:t>
      </w:r>
      <w:bookmarkStart w:id="2" w:name="n3502"/>
      <w:bookmarkEnd w:id="2"/>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стосуються зобов’язань України у сфері європейської інтеграції;</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bookmarkStart w:id="3" w:name="n3503"/>
      <w:bookmarkEnd w:id="3"/>
      <w:r>
        <w:rPr>
          <w:rFonts w:ascii="Times New Roman" w:hAnsi="Times New Roman"/>
          <w:bCs w:val="1"/>
          <w:color w:val="000000"/>
          <w:sz w:val="28"/>
          <w:szCs w:val="28"/>
          <w:lang w:eastAsia="ru-RU"/>
        </w:rPr>
        <w:t>стосуються прав та свобод, гарантованих Конвенцією про захист прав людини і основоположних свобод;</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bookmarkStart w:id="4" w:name="n3504"/>
      <w:bookmarkEnd w:id="4"/>
      <w:r>
        <w:rPr>
          <w:rFonts w:ascii="Times New Roman" w:hAnsi="Times New Roman"/>
          <w:bCs w:val="1"/>
          <w:color w:val="000000"/>
          <w:sz w:val="28"/>
          <w:szCs w:val="28"/>
          <w:lang w:eastAsia="ru-RU"/>
        </w:rPr>
        <w:t>впливають на забезпечення рівних прав та можливостей жінок і чоловіків;</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bookmarkStart w:id="5" w:name="n3505"/>
      <w:bookmarkEnd w:id="5"/>
      <w:r>
        <w:rPr>
          <w:rFonts w:ascii="Times New Roman" w:hAnsi="Times New Roman"/>
          <w:bCs w:val="1"/>
          <w:color w:val="000000"/>
          <w:sz w:val="28"/>
          <w:szCs w:val="28"/>
          <w:lang w:eastAsia="ru-RU"/>
        </w:rPr>
        <w:t>містять ризики вчинення корупційних правопорушень та правопорушень, пов’язаних з корупцією;</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bookmarkStart w:id="6" w:name="n3506"/>
      <w:bookmarkEnd w:id="6"/>
      <w:r>
        <w:rPr>
          <w:rFonts w:ascii="Times New Roman" w:hAnsi="Times New Roman"/>
          <w:bCs w:val="1"/>
          <w:color w:val="000000"/>
          <w:sz w:val="28"/>
          <w:szCs w:val="28"/>
          <w:lang w:eastAsia="ru-RU"/>
        </w:rPr>
        <w:t>створюють підстави для дискримінації.</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Проєкт акта не потребує висновку Національного агентства з питань запобігання корупції для визначення необхідності проведення антикорупційної експертизи.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left="709"/>
        <w:contextualSpacing w:val="1"/>
        <w:jc w:val="both"/>
        <w:rPr>
          <w:rFonts w:ascii="Times New Roman" w:hAnsi="Times New Roman"/>
          <w:b w:val="1"/>
          <w:sz w:val="28"/>
          <w:szCs w:val="28"/>
        </w:rPr>
      </w:pPr>
      <w:r>
        <w:rPr>
          <w:rFonts w:ascii="Times New Roman" w:hAnsi="Times New Roman"/>
          <w:b w:val="1"/>
          <w:sz w:val="28"/>
          <w:szCs w:val="28"/>
        </w:rPr>
        <w:t>8. Прогноз результатів</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Реалізація проєкту акта не впливає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r>
        <w:rPr>
          <w:rFonts w:ascii="Times New Roman" w:hAnsi="Times New Roman"/>
          <w:bCs w:val="1"/>
          <w:color w:val="000000"/>
          <w:sz w:val="28"/>
          <w:szCs w:val="28"/>
          <w:lang w:eastAsia="ru-RU"/>
        </w:rPr>
        <w:t>Вплив на інтереси заінтересованих сторін:</w:t>
      </w: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tbl>
      <w:tblPr>
        <w:tblStyle w:val="T2"/>
        <w:tblW w:w="9351" w:type="dxa"/>
        <w:tblLook w:val="04A0"/>
      </w:tblPr>
      <w:tblGrid/>
      <w:tr>
        <w:tc>
          <w:tcPr>
            <w:tcW w:w="2263" w:type="dxa"/>
            <w:vAlign w:val="center"/>
          </w:tcPr>
          <w:p>
            <w:pPr>
              <w:pStyle w:val="P4"/>
              <w:spacing w:before="0" w:after="150" w:beforeAutospacing="0" w:afterAutospacing="0"/>
              <w:ind w:left="-120" w:right="-67"/>
              <w:contextualSpacing w:val="1"/>
              <w:jc w:val="center"/>
              <w:rPr>
                <w:color w:val="000000"/>
                <w:sz w:val="28"/>
              </w:rPr>
            </w:pPr>
            <w:r>
              <w:rPr>
                <w:color w:val="000000"/>
                <w:sz w:val="28"/>
              </w:rPr>
              <w:t>Заінтересована сторона</w:t>
            </w:r>
          </w:p>
        </w:tc>
        <w:tc>
          <w:tcPr>
            <w:tcW w:w="3261" w:type="dxa"/>
            <w:vAlign w:val="center"/>
          </w:tcPr>
          <w:p>
            <w:pPr>
              <w:pStyle w:val="P4"/>
              <w:spacing w:before="0" w:after="150" w:beforeAutospacing="0" w:afterAutospacing="0"/>
              <w:ind w:left="-15" w:right="-14"/>
              <w:contextualSpacing w:val="1"/>
              <w:jc w:val="center"/>
              <w:rPr>
                <w:color w:val="000000"/>
                <w:sz w:val="28"/>
              </w:rPr>
            </w:pPr>
            <w:r>
              <w:rPr>
                <w:color w:val="000000"/>
                <w:sz w:val="28"/>
              </w:rPr>
              <w:t>Вплив реалізації акта на заінтересовану сторону</w:t>
            </w:r>
          </w:p>
        </w:tc>
        <w:tc>
          <w:tcPr>
            <w:tcW w:w="3827" w:type="dxa"/>
            <w:vAlign w:val="center"/>
          </w:tcPr>
          <w:p>
            <w:pPr>
              <w:pStyle w:val="P4"/>
              <w:spacing w:before="0" w:after="150" w:beforeAutospacing="0" w:afterAutospacing="0"/>
              <w:ind w:left="-120" w:right="-67"/>
              <w:contextualSpacing w:val="1"/>
              <w:jc w:val="center"/>
              <w:rPr>
                <w:color w:val="000000"/>
                <w:sz w:val="28"/>
              </w:rPr>
            </w:pPr>
            <w:r>
              <w:rPr>
                <w:color w:val="000000"/>
                <w:sz w:val="28"/>
              </w:rPr>
              <w:t>Пояснення очікуваного впливу</w:t>
            </w:r>
          </w:p>
        </w:tc>
      </w:tr>
      <w:tr>
        <w:tc>
          <w:tcPr>
            <w:tcW w:w="2263" w:type="dxa"/>
            <w:vAlign w:val="center"/>
          </w:tcPr>
          <w:p>
            <w:pPr>
              <w:pStyle w:val="P4"/>
              <w:spacing w:before="0" w:after="150" w:beforeAutospacing="0" w:afterAutospacing="0"/>
              <w:ind w:left="-120" w:right="-67"/>
              <w:contextualSpacing w:val="1"/>
              <w:jc w:val="center"/>
              <w:rPr>
                <w:color w:val="000000"/>
                <w:sz w:val="28"/>
              </w:rPr>
            </w:pPr>
            <w:r>
              <w:rPr>
                <w:color w:val="000000"/>
                <w:sz w:val="28"/>
              </w:rPr>
              <w:t>Заклади вищої освіти та наукові установи</w:t>
            </w:r>
          </w:p>
        </w:tc>
        <w:tc>
          <w:tcPr>
            <w:tcW w:w="3261" w:type="dxa"/>
            <w:vAlign w:val="center"/>
          </w:tcPr>
          <w:p>
            <w:pPr>
              <w:pStyle w:val="P4"/>
              <w:spacing w:before="0" w:after="150" w:beforeAutospacing="0" w:afterAutospacing="0"/>
              <w:ind w:right="-142"/>
              <w:contextualSpacing w:val="1"/>
              <w:jc w:val="center"/>
              <w:rPr>
                <w:color w:val="000000"/>
                <w:sz w:val="28"/>
              </w:rPr>
            </w:pPr>
            <w:r>
              <w:rPr>
                <w:color w:val="000000"/>
                <w:sz w:val="28"/>
              </w:rPr>
              <w:t>Позитивний</w:t>
            </w:r>
          </w:p>
          <w:p>
            <w:pPr>
              <w:pStyle w:val="P4"/>
              <w:spacing w:before="0" w:after="150" w:beforeAutospacing="0" w:afterAutospacing="0"/>
              <w:ind w:left="-15" w:right="-14"/>
              <w:contextualSpacing w:val="1"/>
              <w:jc w:val="center"/>
              <w:rPr>
                <w:color w:val="000000"/>
                <w:sz w:val="28"/>
              </w:rPr>
            </w:pPr>
          </w:p>
        </w:tc>
        <w:tc>
          <w:tcPr>
            <w:tcW w:w="3827" w:type="dxa"/>
            <w:vAlign w:val="center"/>
          </w:tcPr>
          <w:p>
            <w:pPr>
              <w:pStyle w:val="P4"/>
              <w:spacing w:before="0" w:after="150" w:beforeAutospacing="0" w:afterAutospacing="0"/>
              <w:ind w:right="-67"/>
              <w:contextualSpacing w:val="1"/>
              <w:jc w:val="both"/>
              <w:rPr>
                <w:color w:val="000000"/>
                <w:sz w:val="28"/>
              </w:rPr>
            </w:pPr>
            <w:r>
              <w:rPr>
                <w:color w:val="000000"/>
                <w:sz w:val="28"/>
              </w:rPr>
              <w:t>Внесення змін до форм надання та узагальнення відомостей в частині узагальнення відомостей щодо коштів, одержаних протягом звітного року від трансферу технологій дасть можливість ЗВО та науковим установам ураховувати усі види доходів за договорами про трансфер технологій, що дозволить ефективніше використовувати бюджетні кошти для здійснення наукової та інноваційної діяльності</w:t>
            </w:r>
          </w:p>
        </w:tc>
      </w:tr>
    </w:tbl>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spacing w:lineRule="auto" w:line="240" w:after="0" w:beforeAutospacing="0" w:afterAutospacing="0"/>
        <w:ind w:firstLine="709"/>
        <w:jc w:val="both"/>
        <w:outlineLvl w:val="2"/>
        <w:rPr>
          <w:rFonts w:ascii="Times New Roman" w:hAnsi="Times New Roman"/>
          <w:bCs w:val="1"/>
          <w:color w:val="000000"/>
          <w:sz w:val="28"/>
          <w:szCs w:val="28"/>
          <w:lang w:eastAsia="ru-RU"/>
        </w:rPr>
      </w:pPr>
    </w:p>
    <w:p>
      <w:pPr>
        <w:pStyle w:val="P4"/>
        <w:spacing w:before="0" w:after="150" w:beforeAutospacing="0" w:afterAutospacing="0"/>
        <w:ind w:firstLine="567" w:right="-142"/>
        <w:contextualSpacing w:val="1"/>
        <w:jc w:val="both"/>
        <w:rPr>
          <w:bCs w:val="1"/>
          <w:sz w:val="28"/>
          <w:szCs w:val="28"/>
        </w:rPr>
      </w:pPr>
      <w:r>
        <w:rPr>
          <w:color w:val="000000"/>
          <w:sz w:val="28"/>
          <w:szCs w:val="28"/>
        </w:rPr>
        <w:t xml:space="preserve">Прийняття проєкту акта забезпечить </w:t>
      </w:r>
      <w:r>
        <w:rPr>
          <w:bCs w:val="1"/>
          <w:color w:val="000000"/>
          <w:sz w:val="28"/>
          <w:szCs w:val="28"/>
        </w:rPr>
        <w:t>здійснення ефективного моніторингу напрямів використання коштів, одержаних у результаті трансферу технологій, створених за рахунок коштів державного бюджету, та обсягів виплат винагороди</w:t>
      </w:r>
      <w:r>
        <w:rPr>
          <w:bCs w:val="1"/>
          <w:color w:val="000000"/>
          <w:sz w:val="28"/>
          <w:szCs w:val="28"/>
          <w:shd w:val="clear" w:color="auto" w:fill="FFFFFF"/>
          <w:spacing w:val="-4"/>
        </w:rPr>
        <w:t xml:space="preserve"> авторам технологій і особам, які здійснюють їх трансфер</w:t>
      </w:r>
      <w:r>
        <w:rPr>
          <w:bCs w:val="1"/>
          <w:sz w:val="28"/>
          <w:szCs w:val="28"/>
          <w:spacing w:val="-4"/>
        </w:rPr>
        <w:t>.</w:t>
      </w:r>
    </w:p>
    <w:p>
      <w:pPr>
        <w:spacing w:lineRule="auto" w:line="240" w:after="0" w:beforeAutospacing="0" w:afterAutospacing="0"/>
        <w:ind w:firstLine="709"/>
        <w:jc w:val="both"/>
        <w:rPr>
          <w:rFonts w:ascii="Times New Roman" w:hAnsi="Times New Roman"/>
          <w:sz w:val="28"/>
          <w:szCs w:val="28"/>
        </w:rPr>
      </w:pPr>
    </w:p>
    <w:p>
      <w:pPr>
        <w:spacing w:lineRule="auto" w:line="240" w:after="0" w:beforeAutospacing="0" w:afterAutospacing="0"/>
        <w:jc w:val="both"/>
        <w:rPr>
          <w:rFonts w:ascii="Times New Roman" w:hAnsi="Times New Roman"/>
          <w:sz w:val="28"/>
          <w:szCs w:val="28"/>
        </w:rPr>
      </w:pPr>
    </w:p>
    <w:p>
      <w:pPr>
        <w:tabs>
          <w:tab w:val="left" w:pos="6946" w:leader="none"/>
        </w:tabs>
        <w:spacing w:lineRule="auto" w:line="240" w:after="0" w:beforeAutospacing="0" w:afterAutospacing="0"/>
        <w:jc w:val="both"/>
        <w:rPr>
          <w:rFonts w:ascii="Times New Roman" w:hAnsi="Times New Roman"/>
          <w:b w:val="1"/>
          <w:sz w:val="28"/>
          <w:szCs w:val="28"/>
        </w:rPr>
      </w:pPr>
      <w:r>
        <w:rPr>
          <w:rFonts w:ascii="Times New Roman" w:hAnsi="Times New Roman"/>
          <w:b w:val="1"/>
          <w:sz w:val="28"/>
          <w:szCs w:val="28"/>
        </w:rPr>
        <w:t>Міністр освіти і науки України</w:t>
        <w:tab/>
        <w:t>Сергій ШКАРЛЕТ</w:t>
      </w:r>
    </w:p>
    <w:p>
      <w:pPr>
        <w:spacing w:lineRule="auto" w:line="240" w:after="0" w:beforeAutospacing="0" w:afterAutospacing="0"/>
        <w:jc w:val="both"/>
        <w:rPr>
          <w:rFonts w:ascii="Times New Roman" w:hAnsi="Times New Roman"/>
          <w:b w:val="1"/>
          <w:sz w:val="28"/>
          <w:szCs w:val="28"/>
        </w:rPr>
      </w:pPr>
    </w:p>
    <w:p>
      <w:pPr>
        <w:spacing w:lineRule="auto" w:line="240" w:after="0" w:beforeAutospacing="0" w:afterAutospacing="0"/>
        <w:jc w:val="both"/>
        <w:rPr>
          <w:rFonts w:ascii="Times New Roman" w:hAnsi="Times New Roman"/>
          <w:sz w:val="28"/>
          <w:szCs w:val="28"/>
        </w:rPr>
      </w:pPr>
    </w:p>
    <w:p>
      <w:pPr>
        <w:spacing w:lineRule="auto" w:line="240" w:after="0" w:beforeAutospacing="0" w:afterAutospacing="0"/>
        <w:jc w:val="both"/>
        <w:rPr>
          <w:rFonts w:ascii="Times New Roman" w:hAnsi="Times New Roman"/>
          <w:sz w:val="28"/>
          <w:szCs w:val="28"/>
        </w:rPr>
      </w:pPr>
    </w:p>
    <w:p>
      <w:pPr>
        <w:spacing w:lineRule="auto" w:line="240" w:after="0" w:beforeAutospacing="0" w:afterAutospacing="0"/>
        <w:jc w:val="both"/>
        <w:rPr>
          <w:rFonts w:ascii="Times New Roman" w:hAnsi="Times New Roman"/>
          <w:sz w:val="28"/>
          <w:szCs w:val="28"/>
        </w:rPr>
      </w:pPr>
      <w:r>
        <w:rPr>
          <w:rFonts w:ascii="Times New Roman" w:hAnsi="Times New Roman"/>
          <w:sz w:val="28"/>
          <w:szCs w:val="28"/>
        </w:rPr>
        <w:t>« ____ » _____________ 2022 року</w:t>
      </w:r>
    </w:p>
    <w:p>
      <w:pPr>
        <w:spacing w:lineRule="auto" w:line="240" w:after="0" w:beforeAutospacing="0" w:afterAutospacing="0"/>
        <w:ind w:firstLine="709"/>
        <w:jc w:val="both"/>
        <w:rPr>
          <w:rFonts w:ascii="Times New Roman" w:hAnsi="Times New Roman"/>
          <w:sz w:val="28"/>
          <w:szCs w:val="28"/>
        </w:rPr>
      </w:pPr>
    </w:p>
    <w:p>
      <w:pPr>
        <w:spacing w:lineRule="auto" w:line="240" w:after="0" w:beforeAutospacing="0" w:afterAutospacing="0"/>
        <w:rPr>
          <w:rFonts w:ascii="Times New Roman" w:hAnsi="Times New Roman"/>
          <w:sz w:val="28"/>
          <w:szCs w:val="28"/>
        </w:rPr>
      </w:pPr>
    </w:p>
    <w:sectPr>
      <w:headerReference xmlns:r="http://schemas.openxmlformats.org/officeDocument/2006/relationships" w:type="default" r:id="RelHdr1"/>
      <w:footnotePr/>
      <w:endnotePr/>
      <w:type w:val="nextPage"/>
      <w:pgSz w:w="11906" w:h="16838" w:code="0"/>
      <w:pgMar w:left="1418" w:right="1133" w:top="1134" w:bottom="1276" w:header="454" w:footer="567"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lang w:val="ru-RU"/>
      </w:rPr>
      <w:t>#</w:t>
    </w:r>
    <w:r>
      <w:rPr>
        <w:rFonts w:ascii="Times New Roman" w:hAnsi="Times New Roman"/>
        <w:sz w:val="28"/>
        <w:szCs w:val="28"/>
      </w:rPr>
      <w:fldChar w:fldCharType="end"/>
    </w:r>
  </w:p>
  <w:p>
    <w:pPr>
      <w:pStyle w:val="P2"/>
      <w:rPr>
        <w:rFonts w:ascii="Times New Roman" w:hAnsi="Times New Roman"/>
      </w:rPr>
    </w:pPr>
  </w:p>
</w:hdr>
</file>

<file path=word/numbering.xml><?xml version="1.0" encoding="utf-8"?>
<w:numbering xmlns:w="http://schemas.openxmlformats.org/wordprocessingml/2006/main">
  <w:abstractNum w:abstractNumId="0">
    <w:nsid w:val="06A87A0D"/>
    <w:multiLevelType w:val="hybridMultilevel"/>
    <w:lvl w:ilvl="0" w:tplc="AF1AEEBE">
      <w:start w:val="1"/>
      <w:numFmt w:val="decimal"/>
      <w:suff w:val="tab"/>
      <w:lvlText w:val="%1."/>
      <w:lvlJc w:val="left"/>
      <w:pPr>
        <w:ind w:hanging="360" w:left="928"/>
      </w:pPr>
      <w:rPr/>
    </w:lvl>
    <w:lvl w:ilvl="1" w:tplc="04190019">
      <w:start w:val="1"/>
      <w:numFmt w:val="lowerLetter"/>
      <w:suff w:val="tab"/>
      <w:lvlText w:val="%2."/>
      <w:lvlJc w:val="left"/>
      <w:pPr>
        <w:ind w:hanging="360" w:left="1790"/>
      </w:pPr>
      <w:rPr/>
    </w:lvl>
    <w:lvl w:ilvl="2" w:tplc="0419001B">
      <w:start w:val="1"/>
      <w:numFmt w:val="lowerRoman"/>
      <w:suff w:val="tab"/>
      <w:lvlText w:val="%3."/>
      <w:lvlJc w:val="right"/>
      <w:pPr>
        <w:ind w:hanging="180" w:left="2510"/>
      </w:pPr>
      <w:rPr/>
    </w:lvl>
    <w:lvl w:ilvl="3" w:tplc="0419000F">
      <w:start w:val="1"/>
      <w:numFmt w:val="decimal"/>
      <w:suff w:val="tab"/>
      <w:lvlText w:val="%4."/>
      <w:lvlJc w:val="left"/>
      <w:pPr>
        <w:ind w:hanging="360" w:left="3230"/>
      </w:pPr>
      <w:rPr/>
    </w:lvl>
    <w:lvl w:ilvl="4" w:tplc="04190019">
      <w:start w:val="1"/>
      <w:numFmt w:val="lowerLetter"/>
      <w:suff w:val="tab"/>
      <w:lvlText w:val="%5."/>
      <w:lvlJc w:val="left"/>
      <w:pPr>
        <w:ind w:hanging="360" w:left="3950"/>
      </w:pPr>
      <w:rPr/>
    </w:lvl>
    <w:lvl w:ilvl="5" w:tplc="0419001B">
      <w:start w:val="1"/>
      <w:numFmt w:val="lowerRoman"/>
      <w:suff w:val="tab"/>
      <w:lvlText w:val="%6."/>
      <w:lvlJc w:val="right"/>
      <w:pPr>
        <w:ind w:hanging="180" w:left="4670"/>
      </w:pPr>
      <w:rPr/>
    </w:lvl>
    <w:lvl w:ilvl="6" w:tplc="0419000F">
      <w:start w:val="1"/>
      <w:numFmt w:val="decimal"/>
      <w:suff w:val="tab"/>
      <w:lvlText w:val="%7."/>
      <w:lvlJc w:val="left"/>
      <w:pPr>
        <w:ind w:hanging="360" w:left="5390"/>
      </w:pPr>
      <w:rPr/>
    </w:lvl>
    <w:lvl w:ilvl="7" w:tplc="04190019">
      <w:start w:val="1"/>
      <w:numFmt w:val="lowerLetter"/>
      <w:suff w:val="tab"/>
      <w:lvlText w:val="%8."/>
      <w:lvlJc w:val="left"/>
      <w:pPr>
        <w:ind w:hanging="360" w:left="6110"/>
      </w:pPr>
      <w:rPr/>
    </w:lvl>
    <w:lvl w:ilvl="8" w:tplc="0419001B">
      <w:start w:val="1"/>
      <w:numFmt w:val="lowerRoman"/>
      <w:suff w:val="tab"/>
      <w:lvlText w:val="%9."/>
      <w:lvlJc w:val="right"/>
      <w:pPr>
        <w:ind w:hanging="180" w:left="6830"/>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3"/>
    <w:basedOn w:val="P0"/>
    <w:link w:val="C3"/>
    <w:qFormat/>
    <w:pPr>
      <w:spacing w:lineRule="auto" w:line="240" w:before="100" w:after="100" w:beforeAutospacing="1" w:afterAutospacing="1"/>
      <w:outlineLvl w:val="2"/>
    </w:pPr>
    <w:rPr>
      <w:rFonts w:ascii="Times New Roman" w:hAnsi="Times New Roman"/>
      <w:b w:val="1"/>
      <w:bCs w:val="1"/>
      <w:sz w:val="27"/>
      <w:szCs w:val="27"/>
      <w:lang w:eastAsia="uk-UA"/>
    </w:rPr>
  </w:style>
  <w:style w:type="paragraph" w:styleId="P2">
    <w:name w:val="header"/>
    <w:basedOn w:val="P0"/>
    <w:link w:val="C4"/>
    <w:pPr>
      <w:tabs>
        <w:tab w:val="center" w:pos="4677" w:leader="none"/>
        <w:tab w:val="right" w:pos="9355" w:leader="none"/>
      </w:tabs>
      <w:spacing w:lineRule="auto" w:line="240" w:after="0" w:beforeAutospacing="0" w:afterAutospacing="0"/>
    </w:pPr>
    <w:rPr/>
  </w:style>
  <w:style w:type="paragraph" w:styleId="P3">
    <w:name w:val="footer"/>
    <w:basedOn w:val="P0"/>
    <w:link w:val="C5"/>
    <w:pPr>
      <w:tabs>
        <w:tab w:val="center" w:pos="4677" w:leader="none"/>
        <w:tab w:val="right" w:pos="9355" w:leader="none"/>
      </w:tabs>
      <w:spacing w:lineRule="auto" w:line="240" w:after="0" w:beforeAutospacing="0" w:afterAutospacing="0"/>
    </w:pPr>
    <w:rPr/>
  </w:style>
  <w:style w:type="paragraph" w:styleId="P4">
    <w:name w:val="rvps2"/>
    <w:basedOn w:val="P0"/>
    <w:qFormat/>
    <w:pPr>
      <w:spacing w:lineRule="auto" w:line="240" w:before="100" w:after="100" w:beforeAutospacing="1" w:afterAutospacing="1"/>
    </w:pPr>
    <w:rPr>
      <w:rFonts w:ascii="Times New Roman" w:hAnsi="Times New Roman"/>
      <w:sz w:val="24"/>
      <w:szCs w:val="24"/>
      <w:lang w:eastAsia="uk-UA"/>
    </w:rPr>
  </w:style>
  <w:style w:type="paragraph" w:styleId="P5">
    <w:name w:val="footnote text"/>
    <w:link w:val="C7"/>
    <w:semiHidden/>
    <w:pPr>
      <w:spacing w:lineRule="auto" w:line="240" w:after="0"/>
    </w:pPr>
    <w:rPr>
      <w:sz w:val="20"/>
      <w:szCs w:val="20"/>
    </w:rPr>
  </w:style>
  <w:style w:type="paragraph" w:styleId="P6">
    <w:name w:val="endnote text"/>
    <w:link w:val="C9"/>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Заголовок 3 Знак"/>
    <w:basedOn w:val="C0"/>
    <w:link w:val="P1"/>
    <w:rPr>
      <w:rFonts w:ascii="Times New Roman" w:hAnsi="Times New Roman"/>
      <w:b w:val="1"/>
      <w:bCs w:val="1"/>
      <w:sz w:val="27"/>
      <w:szCs w:val="27"/>
      <w:lang w:eastAsia="uk-UA"/>
    </w:rPr>
  </w:style>
  <w:style w:type="character" w:styleId="C4">
    <w:name w:val="Верхний колонтитул Знак"/>
    <w:basedOn w:val="C0"/>
    <w:link w:val="P2"/>
    <w:rPr/>
  </w:style>
  <w:style w:type="character" w:styleId="C5">
    <w:name w:val="Нижний колонтитул Знак"/>
    <w:basedOn w:val="C0"/>
    <w:link w:val="P3"/>
    <w:rPr/>
  </w:style>
  <w:style w:type="character" w:styleId="C6">
    <w:name w:val="footnote reference"/>
    <w:semiHidden/>
    <w:rPr>
      <w:vertAlign w:val="superscript"/>
    </w:rPr>
  </w:style>
  <w:style w:type="character" w:styleId="C7">
    <w:name w:val="Footnote Text Char"/>
    <w:link w:val="P5"/>
    <w:semiHidden/>
    <w:rPr>
      <w:sz w:val="20"/>
      <w:szCs w:val="20"/>
    </w:rPr>
  </w:style>
  <w:style w:type="character" w:styleId="C8">
    <w:name w:val="endnote reference"/>
    <w:semiHidden/>
    <w:rPr>
      <w:vertAlign w:val="superscript"/>
    </w:rPr>
  </w:style>
  <w:style w:type="character" w:styleId="C9">
    <w:name w:val="Endnote Text Char"/>
    <w:link w:val="P6"/>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Dvigun O.V.</dc:creator>
  <dcterms:created xsi:type="dcterms:W3CDTF">2022-08-26T08:47:00Z</dcterms:created>
  <cp:lastModifiedBy>erp_adm</cp:lastModifiedBy>
  <dcterms:modified xsi:type="dcterms:W3CDTF">2022-09-02T14:37:23Z</dcterms:modified>
  <cp:revision>10</cp:revision>
</cp:coreProperties>
</file>