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76" w:after="0" w:beforeAutospacing="0" w:afterAutospacing="0"/>
        <w:ind w:left="397" w:right="397"/>
        <w:contextualSpacing w:val="1"/>
        <w:jc w:val="center"/>
        <w:rPr>
          <w:rFonts w:ascii="Times New Roman" w:hAnsi="Times New Roman"/>
          <w:b w:val="1"/>
          <w:bCs w:val="1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 w:val="1"/>
          <w:bCs w:val="1"/>
          <w:color w:val="000000"/>
          <w:sz w:val="28"/>
          <w:szCs w:val="28"/>
          <w:lang w:eastAsia="uk-UA"/>
        </w:rPr>
        <w:t>ПОРІВНЯЛЬНА ТАБЛИЦЯ</w:t>
      </w:r>
      <w:r>
        <w:rPr>
          <w:rFonts w:ascii="Times New Roman" w:hAnsi="Times New Roman"/>
          <w:sz w:val="24"/>
          <w:szCs w:val="24"/>
          <w:lang w:eastAsia="uk-UA"/>
        </w:rPr>
        <w:br w:type="textWrapping"/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lang w:eastAsia="uk-UA"/>
        </w:rPr>
        <w:t>до проєкту наказу Міністерства освіти і науки України</w:t>
      </w:r>
    </w:p>
    <w:p>
      <w:pPr>
        <w:spacing w:lineRule="auto" w:line="276" w:after="0" w:beforeAutospacing="0" w:afterAutospacing="0"/>
        <w:ind w:left="397" w:right="397"/>
        <w:contextualSpacing w:val="1"/>
        <w:jc w:val="center"/>
        <w:rPr>
          <w:rFonts w:ascii="Times New Roman" w:hAnsi="Times New Roman"/>
          <w:b w:val="1"/>
          <w:bCs w:val="1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 w:val="1"/>
          <w:bCs w:val="1"/>
          <w:color w:val="000000"/>
          <w:sz w:val="28"/>
          <w:szCs w:val="28"/>
          <w:lang w:eastAsia="uk-UA"/>
        </w:rPr>
        <w:t>«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</w:rPr>
        <w:t>Про внесення змін до наказу Міністерства освіти і науки України від 13 березня 2014 року № 221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lang w:eastAsia="uk-UA"/>
        </w:rPr>
        <w:t>»</w:t>
      </w:r>
    </w:p>
    <w:p>
      <w:pPr>
        <w:spacing w:lineRule="auto" w:line="276" w:after="0" w:beforeAutospacing="0" w:afterAutospacing="0"/>
        <w:ind w:left="397" w:right="397"/>
        <w:contextualSpacing w:val="1"/>
        <w:jc w:val="center"/>
        <w:rPr>
          <w:rFonts w:ascii="Times New Roman" w:hAnsi="Times New Roman"/>
          <w:b w:val="1"/>
          <w:bCs w:val="1"/>
          <w:color w:val="000000"/>
          <w:sz w:val="28"/>
          <w:szCs w:val="28"/>
          <w:lang w:eastAsia="uk-UA"/>
        </w:rPr>
      </w:pPr>
    </w:p>
    <w:tbl>
      <w:tblPr>
        <w:tblStyle w:val="T2"/>
        <w:tblW w:w="14713" w:type="dxa"/>
        <w:tblInd w:w="450" w:type="dxa"/>
        <w:tblLayout w:type="fixed"/>
        <w:tblLook w:val="04A0"/>
      </w:tblPr>
      <w:tblGrid/>
      <w:tr>
        <w:trPr>
          <w:tblHeader/>
        </w:trPr>
        <w:tc>
          <w:tcPr>
            <w:tcW w:w="5357" w:type="dxa"/>
            <w:gridSpan w:val="4"/>
          </w:tcPr>
          <w:p>
            <w:pPr>
              <w:ind w:right="45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Зміст положення акта законодавства</w:t>
            </w:r>
          </w:p>
        </w:tc>
        <w:tc>
          <w:tcPr>
            <w:tcW w:w="5387" w:type="dxa"/>
            <w:gridSpan w:val="4"/>
          </w:tcPr>
          <w:p>
            <w:pPr>
              <w:ind w:right="4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Зміст відповідного положення </w:t>
            </w:r>
          </w:p>
          <w:p>
            <w:pPr>
              <w:ind w:right="45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проєкту акта</w:t>
            </w:r>
          </w:p>
        </w:tc>
        <w:tc>
          <w:tcPr>
            <w:tcW w:w="3969" w:type="dxa"/>
          </w:tcPr>
          <w:p>
            <w:pPr>
              <w:ind w:right="450"/>
              <w:jc w:val="center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  <w:t>Пояснення змін</w:t>
            </w:r>
          </w:p>
        </w:tc>
      </w:tr>
      <w:tr>
        <w:tc>
          <w:tcPr>
            <w:tcW w:w="14713" w:type="dxa"/>
            <w:gridSpan w:val="9"/>
          </w:tcPr>
          <w:p>
            <w:pPr>
              <w:spacing w:before="120" w:after="120" w:beforeAutospacing="0" w:afterAutospacing="0"/>
              <w:ind w:right="448"/>
              <w:jc w:val="center"/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  <w:t>Зміни у формі № 1 «Відомості організації-розробника технологій про напрями використання коштів, одержаних у результаті трансферу технологій, створених за рахунок коштів державного бюджету, і виплату винагороди авторам таких технологій»</w:t>
            </w:r>
          </w:p>
        </w:tc>
      </w:tr>
      <w:tr>
        <w:trPr>
          <w:trHeight w:hRule="atLeast" w:val="405"/>
        </w:trPr>
        <w:tc>
          <w:tcPr>
            <w:tcW w:w="5357" w:type="dxa"/>
            <w:gridSpan w:val="4"/>
          </w:tcPr>
          <w:p>
            <w:pPr>
              <w:shd w:val="clear" w:fill="FFFFFF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0" w:name="n12"/>
            <w:bookmarkEnd w:id="0"/>
            <w:bookmarkStart w:id="1" w:name="n47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3969" w:type="dxa"/>
            <w:vMerge w:val="restart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57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10"/>
                <w:szCs w:val="10"/>
                <w:lang w:eastAsia="uk-UA"/>
              </w:rPr>
            </w:pPr>
          </w:p>
          <w:p>
            <w:pPr>
              <w:ind w:firstLine="457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10"/>
                <w:szCs w:val="10"/>
                <w:lang w:eastAsia="uk-UA"/>
              </w:rPr>
            </w:pPr>
          </w:p>
          <w:p>
            <w:pPr>
              <w:ind w:firstLine="457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  <w:t>Усунення дублювання інформації, яка подається організаціями-розробниками технології</w:t>
            </w: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  <w:t>Приведення у відповідність загальної нумерації рядків форми № 1</w:t>
            </w: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  <w:t>Приведення у відповідність загальної нумерації рядків форми № 1</w:t>
            </w: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  <w:t>Приведення у відповідність загальної нумерації рядків форми № 1</w:t>
            </w:r>
          </w:p>
        </w:tc>
      </w:tr>
      <w:tr>
        <w:trPr>
          <w:trHeight w:hRule="atLeast" w:val="1162"/>
        </w:trPr>
        <w:tc>
          <w:tcPr>
            <w:tcW w:w="3231" w:type="dxa"/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Загальна сума коштів, на яку протягом року укладено договорів про трансфер технологій, у тому числі: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200</w:t>
            </w:r>
          </w:p>
        </w:tc>
        <w:tc>
          <w:tcPr>
            <w:tcW w:w="708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60" w:type="dxa"/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 xml:space="preserve">Загальна сума коштів,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spacing w:val="-2"/>
                <w:lang w:eastAsia="uk-UA"/>
              </w:rPr>
              <w:t>одержаних протягом звітного року 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spacing w:val="-2"/>
                <w:lang w:eastAsia="uk-UA"/>
              </w:rPr>
              <w:t>трансферу технологій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, у тому числі: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200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969" w:type="dxa"/>
            <w:vMerge w:val="continue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1122"/>
        </w:trPr>
        <w:tc>
          <w:tcPr>
            <w:tcW w:w="3231" w:type="dxa"/>
            <w:tcBorders>
              <w:bottom w:val="single" w:sz="4" w:space="0" w:shadow="0" w:frame="0"/>
            </w:tcBorders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Загальна сума коштів, на яку протягом року укладено договорів про трансфер технологій</w:t>
            </w:r>
          </w:p>
        </w:tc>
        <w:tc>
          <w:tcPr>
            <w:tcW w:w="709" w:type="dxa"/>
            <w:tcBorders>
              <w:bottom w:val="single" w:sz="4" w:space="0" w:shadow="0" w:frame="0"/>
            </w:tcBorders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201</w:t>
            </w:r>
          </w:p>
        </w:tc>
        <w:tc>
          <w:tcPr>
            <w:tcW w:w="708" w:type="dxa"/>
            <w:tcBorders>
              <w:bottom w:val="single" w:sz="4" w:space="0" w:shadow="0" w:frame="0"/>
            </w:tcBorders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tcBorders>
              <w:bottom w:val="single" w:sz="4" w:space="0" w:shadow="0" w:fram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387" w:type="dxa"/>
            <w:gridSpan w:val="4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Виключити.</w:t>
            </w:r>
          </w:p>
        </w:tc>
        <w:tc>
          <w:tcPr>
            <w:tcW w:w="3969" w:type="dxa"/>
            <w:vMerge w:val="continue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1125"/>
        </w:trPr>
        <w:tc>
          <w:tcPr>
            <w:tcW w:w="323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Загальна сума коштів, одержаних протягом року у вигляді періодичних виплат (роялті)</w:t>
            </w:r>
          </w:p>
        </w:tc>
        <w:tc>
          <w:tcPr>
            <w:tcW w:w="70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202</w:t>
            </w:r>
          </w:p>
        </w:tc>
        <w:tc>
          <w:tcPr>
            <w:tcW w:w="70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shadow="0" w:frame="0"/>
            </w:tcBorders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Загальна сума коштів, одержаних протягом року у вигляді періодичних виплат (роялті)</w:t>
            </w:r>
          </w:p>
        </w:tc>
        <w:tc>
          <w:tcPr>
            <w:tcW w:w="709" w:type="dxa"/>
            <w:tcBorders>
              <w:left w:val="single" w:sz="4" w:space="0" w:shadow="0" w:frame="0"/>
            </w:tcBorders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spacing w:val="-2"/>
                <w:lang w:eastAsia="uk-UA"/>
              </w:rPr>
              <w:t>201</w:t>
            </w:r>
          </w:p>
        </w:tc>
        <w:tc>
          <w:tcPr>
            <w:tcW w:w="709" w:type="dxa"/>
            <w:tcBorders>
              <w:left w:val="single" w:sz="4" w:space="0" w:shadow="0" w:frame="0"/>
            </w:tcBorders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tcBorders>
              <w:left w:val="single" w:sz="4" w:space="0" w:shadow="0" w:fram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969" w:type="dxa"/>
            <w:vMerge w:val="continue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1181"/>
        </w:trPr>
        <w:tc>
          <w:tcPr>
            <w:tcW w:w="3231" w:type="dxa"/>
            <w:tcBorders>
              <w:top w:val="single" w:sz="4" w:space="0" w:shadow="0" w:frame="0"/>
            </w:tcBorders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Загальна сума коштів, одержаних протягом року у вигляді разових виплат (роялті)</w:t>
            </w:r>
          </w:p>
        </w:tc>
        <w:tc>
          <w:tcPr>
            <w:tcW w:w="709" w:type="dxa"/>
            <w:tcBorders>
              <w:top w:val="single" w:sz="4" w:space="0" w:shadow="0" w:frame="0"/>
            </w:tcBorders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203</w:t>
            </w:r>
          </w:p>
        </w:tc>
        <w:tc>
          <w:tcPr>
            <w:tcW w:w="708" w:type="dxa"/>
            <w:tcBorders>
              <w:top w:val="single" w:sz="4" w:space="0" w:shadow="0" w:frame="0"/>
            </w:tcBorders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tcBorders>
              <w:top w:val="single" w:sz="4" w:space="0" w:shadow="0" w:fram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60" w:type="dxa"/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Загальна сума коштів, одержаних протягом року у вигляді разових виплат (роялті)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spacing w:val="-2"/>
                <w:lang w:eastAsia="uk-UA"/>
              </w:rPr>
              <w:t>202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969" w:type="dxa"/>
            <w:vMerge w:val="continue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1454"/>
        </w:trPr>
        <w:tc>
          <w:tcPr>
            <w:tcW w:w="3231" w:type="dxa"/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Загальна сума коштів, одержаних протягом року від передачі виключних майнових прав інтелек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туальної власності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204</w:t>
            </w:r>
          </w:p>
        </w:tc>
        <w:tc>
          <w:tcPr>
            <w:tcW w:w="708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60" w:type="dxa"/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Загальна сума коштів, одержаних протягом року від передачі виключних майнових прав інтелек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туальної власності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spacing w:val="-2"/>
                <w:lang w:eastAsia="uk-UA"/>
              </w:rPr>
              <w:t>203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969" w:type="dxa"/>
            <w:vMerge w:val="continue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403"/>
        </w:trPr>
        <w:tc>
          <w:tcPr>
            <w:tcW w:w="5357" w:type="dxa"/>
            <w:gridSpan w:val="4"/>
          </w:tcPr>
          <w:p>
            <w:pPr>
              <w:shd w:val="clear" w:fill="FFFFFF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3969" w:type="dxa"/>
            <w:vMerge w:val="continue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c>
          <w:tcPr>
            <w:tcW w:w="14713" w:type="dxa"/>
            <w:gridSpan w:val="9"/>
          </w:tcPr>
          <w:p>
            <w:pPr>
              <w:ind w:right="448"/>
              <w:jc w:val="center"/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  <w:t>Зміни у формі № 2 «Відомості органу державної влади, Національної академії наук України та національної галузевої академії наук про напрями використання коштів, одержаних у результаті трансферу технологій, створених за рахунок коштів державного бюджету, і виплату винагороди авторам таких технологій»</w:t>
            </w:r>
          </w:p>
        </w:tc>
      </w:tr>
      <w:tr>
        <w:trPr>
          <w:trHeight w:hRule="atLeast" w:val="500"/>
        </w:trPr>
        <w:tc>
          <w:tcPr>
            <w:tcW w:w="5357" w:type="dxa"/>
            <w:gridSpan w:val="4"/>
          </w:tcPr>
          <w:p>
            <w:pPr>
              <w:shd w:val="clear" w:fill="FFFFFF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3969" w:type="dxa"/>
            <w:vMerge w:val="restart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  <w:t>Усунення дублювання інформації, яка подається органами державної влади, Національною академією наук України та національними галузевими академіями наук</w:t>
            </w: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  <w:t>Приведення у відповідність загальної нумерації рядків форми № 2</w:t>
            </w: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  <w:t>Приведення у відповідність загальної нумерації рядків форми № 2</w:t>
            </w: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  <w:t>Приведення у відповідність загальної нумерації рядків форми № 2</w:t>
            </w:r>
          </w:p>
          <w:p>
            <w:pPr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  <w:t>Усунення необхідності проводити додаткові розрахунки.</w:t>
            </w:r>
          </w:p>
        </w:tc>
      </w:tr>
      <w:tr>
        <w:trPr>
          <w:trHeight w:hRule="atLeast" w:val="1229"/>
        </w:trPr>
        <w:tc>
          <w:tcPr>
            <w:tcW w:w="3231" w:type="dxa"/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Загальна сума коштів, на яку протягом року укладено договорів про трансфер технологій, у тому числі: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200</w:t>
            </w:r>
          </w:p>
        </w:tc>
        <w:tc>
          <w:tcPr>
            <w:tcW w:w="708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60" w:type="dxa"/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 xml:space="preserve">Загальна сума коштів,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spacing w:val="-2"/>
                <w:lang w:eastAsia="uk-UA"/>
              </w:rPr>
              <w:t>одержаних протягом звітного року 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spacing w:val="-2"/>
                <w:lang w:eastAsia="uk-UA"/>
              </w:rPr>
              <w:t>трансферу технологій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, у тому числі: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200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969" w:type="dxa"/>
            <w:vMerge w:val="continue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1133"/>
        </w:trPr>
        <w:tc>
          <w:tcPr>
            <w:tcW w:w="3231" w:type="dxa"/>
            <w:tcBorders>
              <w:bottom w:val="single" w:sz="4" w:space="0" w:shadow="0" w:frame="0"/>
            </w:tcBorders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Загальна сума коштів, на яку протягом року укладено договорів про трансфер технологій</w:t>
            </w:r>
          </w:p>
        </w:tc>
        <w:tc>
          <w:tcPr>
            <w:tcW w:w="709" w:type="dxa"/>
            <w:tcBorders>
              <w:bottom w:val="single" w:sz="4" w:space="0" w:shadow="0" w:frame="0"/>
            </w:tcBorders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201</w:t>
            </w:r>
          </w:p>
        </w:tc>
        <w:tc>
          <w:tcPr>
            <w:tcW w:w="708" w:type="dxa"/>
            <w:tcBorders>
              <w:bottom w:val="single" w:sz="4" w:space="0" w:shadow="0" w:frame="0"/>
            </w:tcBorders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tcBorders>
              <w:bottom w:val="single" w:sz="4" w:space="0" w:shadow="0" w:fram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387" w:type="dxa"/>
            <w:gridSpan w:val="4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</w:pPr>
          </w:p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Виключити</w:t>
            </w:r>
          </w:p>
        </w:tc>
        <w:tc>
          <w:tcPr>
            <w:tcW w:w="3969" w:type="dxa"/>
            <w:vMerge w:val="continue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1249"/>
        </w:trPr>
        <w:tc>
          <w:tcPr>
            <w:tcW w:w="323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Загальна сума коштів, одержаних протягом року у вигляді періодичних виплат (роялті)</w:t>
            </w:r>
          </w:p>
        </w:tc>
        <w:tc>
          <w:tcPr>
            <w:tcW w:w="70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202</w:t>
            </w:r>
          </w:p>
        </w:tc>
        <w:tc>
          <w:tcPr>
            <w:tcW w:w="70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shadow="0" w:frame="0"/>
            </w:tcBorders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Загальна сума коштів, одержаних протягом року у вигляді періодичних виплат (роялті)</w:t>
            </w:r>
          </w:p>
        </w:tc>
        <w:tc>
          <w:tcPr>
            <w:tcW w:w="709" w:type="dxa"/>
            <w:tcBorders>
              <w:left w:val="single" w:sz="4" w:space="0" w:shadow="0" w:frame="0"/>
            </w:tcBorders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spacing w:val="-2"/>
                <w:lang w:eastAsia="uk-UA"/>
              </w:rPr>
              <w:t>201</w:t>
            </w:r>
          </w:p>
        </w:tc>
        <w:tc>
          <w:tcPr>
            <w:tcW w:w="709" w:type="dxa"/>
            <w:tcBorders>
              <w:left w:val="single" w:sz="4" w:space="0" w:shadow="0" w:frame="0"/>
            </w:tcBorders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tcBorders>
              <w:left w:val="single" w:sz="4" w:space="0" w:shadow="0" w:fram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969" w:type="dxa"/>
            <w:vMerge w:val="continue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1279"/>
        </w:trPr>
        <w:tc>
          <w:tcPr>
            <w:tcW w:w="3231" w:type="dxa"/>
            <w:tcBorders>
              <w:top w:val="single" w:sz="4" w:space="0" w:shadow="0" w:frame="0"/>
            </w:tcBorders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Загальна сума коштів, одержаних протягом року у вигляді разових виплат (роялті)</w:t>
            </w:r>
          </w:p>
        </w:tc>
        <w:tc>
          <w:tcPr>
            <w:tcW w:w="709" w:type="dxa"/>
            <w:tcBorders>
              <w:top w:val="single" w:sz="4" w:space="0" w:shadow="0" w:frame="0"/>
            </w:tcBorders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203</w:t>
            </w:r>
          </w:p>
        </w:tc>
        <w:tc>
          <w:tcPr>
            <w:tcW w:w="708" w:type="dxa"/>
            <w:tcBorders>
              <w:top w:val="single" w:sz="4" w:space="0" w:shadow="0" w:frame="0"/>
            </w:tcBorders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tcBorders>
              <w:top w:val="single" w:sz="4" w:space="0" w:shadow="0" w:fram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60" w:type="dxa"/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Загальна сума коштів, одержаних протягом року у вигляді разових виплат (роялті)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spacing w:val="-2"/>
                <w:lang w:eastAsia="uk-UA"/>
              </w:rPr>
              <w:t>202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969" w:type="dxa"/>
            <w:vMerge w:val="continue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1527"/>
        </w:trPr>
        <w:tc>
          <w:tcPr>
            <w:tcW w:w="3231" w:type="dxa"/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Загальна сума коштів, одержаних протягом року від передачі виключних майнових прав інтелектуальної власності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204</w:t>
            </w:r>
          </w:p>
        </w:tc>
        <w:tc>
          <w:tcPr>
            <w:tcW w:w="708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60" w:type="dxa"/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Загальна сума коштів, одержаних протягом року від передачі виключних майнових прав інтелектуальної власності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spacing w:val="-2"/>
                <w:lang w:eastAsia="uk-UA"/>
              </w:rPr>
              <w:t>203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×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969" w:type="dxa"/>
            <w:vMerge w:val="continue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452"/>
        </w:trPr>
        <w:tc>
          <w:tcPr>
            <w:tcW w:w="5357" w:type="dxa"/>
            <w:gridSpan w:val="4"/>
          </w:tcPr>
          <w:p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5387" w:type="dxa"/>
            <w:gridSpan w:val="4"/>
          </w:tcPr>
          <w:p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3969" w:type="dxa"/>
            <w:vMerge w:val="continue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736"/>
        </w:trPr>
        <w:tc>
          <w:tcPr>
            <w:tcW w:w="3231" w:type="dxa"/>
            <w:vMerge w:val="restart"/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2) виплата винагороди авторам технологій та/або їх складових за договорами про трансфер технологій, середня ставка якої становить ____%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360</w:t>
            </w:r>
          </w:p>
        </w:tc>
        <w:tc>
          <w:tcPr>
            <w:tcW w:w="708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vMerge w:val="restart"/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2) виплата винагороди авторам технологій та/або їх складових за договорами про трансфер технологій, середня ставка якої становить ____%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360</w:t>
            </w: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vMerge w:val="continue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629"/>
        </w:trPr>
        <w:tc>
          <w:tcPr>
            <w:tcW w:w="3231" w:type="dxa"/>
            <w:vMerge w:val="continue"/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  <w:t>361</w:t>
            </w:r>
          </w:p>
        </w:tc>
        <w:tc>
          <w:tcPr>
            <w:tcW w:w="708" w:type="dxa"/>
            <w:vAlign w:val="center"/>
          </w:tcPr>
          <w:p>
            <w:pPr>
              <w:spacing w:lineRule="atLeast" w:line="179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lineRule="atLeast" w:line="179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spacing w:val="-2"/>
                <w:lang w:eastAsia="uk-UA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  <w:t>Виключити.</w:t>
            </w:r>
          </w:p>
        </w:tc>
        <w:tc>
          <w:tcPr>
            <w:tcW w:w="3969" w:type="dxa"/>
            <w:vMerge w:val="continue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403"/>
        </w:trPr>
        <w:tc>
          <w:tcPr>
            <w:tcW w:w="5357" w:type="dxa"/>
            <w:gridSpan w:val="4"/>
          </w:tcPr>
          <w:p>
            <w:pPr>
              <w:shd w:val="clear" w:fill="FFFFFF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3969" w:type="dxa"/>
            <w:vMerge w:val="continue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1452"/>
        </w:trPr>
        <w:tc>
          <w:tcPr>
            <w:tcW w:w="14713" w:type="dxa"/>
            <w:gridSpan w:val="9"/>
          </w:tcPr>
          <w:p>
            <w:pPr>
              <w:ind w:right="448"/>
              <w:jc w:val="center"/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  <w:t>Зміни у Інструкції щодо заповнення форми № 1 «Відомості організації-розробника технологій про напрями використання коштів, одержаних у результаті трансферу технологій, створених за рахунок коштів державного бюджету, і виплату винагороди авторам таких технологій» та форми № 2 «Відомості органу державної влади, Національної академії наук України та національної галузевої академії наук про напрями використання коштів, одержаних у результаті трансферу технологій, створених за рахунок коштів державного бюджету, і виплату винагороди авторам таких технологій»</w:t>
            </w:r>
          </w:p>
        </w:tc>
      </w:tr>
      <w:tr>
        <w:trPr>
          <w:trHeight w:hRule="atLeast" w:val="408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3969" w:type="dxa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1695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рядку 200 «Загальна сума коштів, на яку протягом року укладено договорів про трансфер технологій» зазначається загальна сума коштів, на яку у звітному році організація-розробник уклала договорів про трансфер технологій;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рядку 200 «Загальна сума коштів,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одержаних протягом звітного року від трансферу технологій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у тому числі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» зазначається загальна сума коштів,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яку у звітному році організація-розробник одержала за всіма формами договорів про трансфер технологій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3969" w:type="dxa"/>
            <w:vMerge w:val="restart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  <w:t>Усунення дублювання інформації, яка подається організаціями-розробниками технології</w:t>
            </w:r>
          </w:p>
        </w:tc>
      </w:tr>
      <w:tr>
        <w:trPr>
          <w:trHeight w:hRule="atLeast" w:val="1695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рядку 201 «Загальна сума коштів, на яку протягом року укладено договорів про трансфер технологій» зазначається загальна сума коштів, на яку у звітному році організація-розробник уклала договорів про трансфер технологій (ліцензійних договорів, договорів про передачу виключних майнових прав інтелектуальної власності, договорів змішаного типу, якими передбачено виплату ліцензійних платежів;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Виключити.</w:t>
            </w:r>
          </w:p>
        </w:tc>
        <w:tc>
          <w:tcPr>
            <w:tcW w:w="3969" w:type="dxa"/>
            <w:vMerge w:val="continue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1695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рядку 202 «Загальна сума коштів, одержаних протягом року у вигляді періодичних виплат (роялті)» зазначається загальна сума коштів, яку отримала організація-розробник у звітному році у вигляді періодичних виплат (роялті) за договорами про трансфер технологій, укладеними як у звітному році, так і в попередні роки, у тисячах гривень;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 рядку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«Загальна сума коштів, одержаних протягом року у вигляді періодичних виплат (роялті)» зазначається загальна сума коштів, яку отримала організація-розробник у звітному році у вигляді періодичних виплат (роялті) за договорами про трансфер технологій, укладеними як у звітному році, так і в попередні роки, у тисячах гривень;</w:t>
            </w:r>
          </w:p>
        </w:tc>
        <w:tc>
          <w:tcPr>
            <w:tcW w:w="3969" w:type="dxa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  <w:t>Приведення у відповідність загальної нумерації рядків форми № 1</w:t>
            </w:r>
          </w:p>
        </w:tc>
      </w:tr>
      <w:tr>
        <w:trPr>
          <w:trHeight w:hRule="atLeast" w:val="1695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рядку 203 «Загальна сума коштів, одержаних протягом року у вигляді разових виплат (роялті)» зазначається загальна сума коштів, яку отримала організація-розробник у звітному році у вигляді разових виплат (роялті) за договорами про трансфер технологій, укладеними як у звітному році, так і в попередні роки, у тисячах гривень;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 рядку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«Загальна сума коштів, одержаних протягом року у вигляді разових виплат (роялті)» зазначається загальна сума коштів, яку отримала організація-розробник у звітному році у вигляді разових виплат (роялті) за договорами про трансфер технологій, укладеними як у звітному році, так і в попередні роки, у тисячах гривень;</w:t>
            </w:r>
          </w:p>
        </w:tc>
        <w:tc>
          <w:tcPr>
            <w:tcW w:w="3969" w:type="dxa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  <w:t>Приведення у відповідність загальної нумерації рядків форми № 1</w:t>
            </w:r>
          </w:p>
        </w:tc>
      </w:tr>
      <w:tr>
        <w:trPr>
          <w:trHeight w:hRule="atLeast" w:val="1695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рядку 204 «Загальна сума коштів, одержаних протягом року від передачі виключних майнових прав інтелектуальної власності» зазначається загальна сума коштів, яку отримала організація-розробник у звітному році від передачі виключних майнових прав інтелектуальної власності у результаті трансферу технологій та\або їх складових, у тисячах гривень;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 рядку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«Загальна сума коштів, одержаних протягом року від передачі виключних майнових прав інтелектуальної власності» зазначається загальна сума коштів, яку отримала організація-розробник у звітному році від передачі виключних майнових прав інтелектуальної власності у результаті трансферу технологій та\або їх складових, у тисячах гривень;</w:t>
            </w:r>
          </w:p>
        </w:tc>
        <w:tc>
          <w:tcPr>
            <w:tcW w:w="3969" w:type="dxa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  <w:t>Приведення у відповідність загальної нумерації рядків форми № 1</w:t>
            </w:r>
          </w:p>
        </w:tc>
      </w:tr>
      <w:tr>
        <w:trPr>
          <w:trHeight w:hRule="atLeast" w:val="262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3969" w:type="dxa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262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рядку 360 за напрямом 2 «виплата винагороди авторам технологій та/або їх складових за договорами про трансфер технологій»: у графі 1 проставляється середня ставка винагороди авторам технологій, яка розраховується як середнє арифметичне значення відсотка від коштів, отриманих організацією-розробником у вигляді: роялті та від передачі виключних майнових прав інтелектуальної власності (сума даних, зазначених у рядках 202, 203, 204); у графі 3 проставляється кількість договорів про трансфер технологій, за якими була здійснена виплата;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 рядку 360 за напрямом 2 «виплата винагороди авторам технологій та/або їх складових за договорами про трансфер технологій»: у графі 1 проставляється середня ставка винагороди авторам технологій, яка розраховується як середнє арифметичне значення відсотка від коштів, отриманих організацією-розробником у вигляді: роялті та від передачі виключних майнових прав інтелектуальної власності (сума даних, зазначених у рядках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201, 202, 203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); у графі 3 проставляється кількість договорів про трансфер технологій, за якими була здійснена виплата;</w:t>
            </w:r>
          </w:p>
        </w:tc>
        <w:tc>
          <w:tcPr>
            <w:tcW w:w="3969" w:type="dxa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  <w:t>Приведення у відповідність загальної нумерації рядків форми № 1</w:t>
            </w:r>
          </w:p>
        </w:tc>
      </w:tr>
      <w:tr>
        <w:trPr>
          <w:trHeight w:hRule="atLeast" w:val="262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рядку 370 за напрямом 3 «виплата винагороди особам, що здійснюють трансфер технологій» у графі 1 проставляється середня ставка винагороди особам, якими здійснено трансфер технологій та/або їх складових, яка розраховується як середнє арифметичне значення відсотка від коштів, отриманих організацією-розробником у вигляді: роялті та від передачі виключних майнових прав інтелектуальної власності (сума даних, зазначених у рядках 202, 203, 204); у графі 3 проставляється кількість договорів про трансфер технологій, за якими була здійснена виплата.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 рядку 370 за напрямом 3 «виплата винагороди особам, що здійснюють трансфер технологій» у графі 1 проставляється середня ставка винагороди особам, якими здійснено трансфер технологій та/або їх складових, яка розраховується як середнє арифметичне значення відсотка від коштів, отриманих організацією-розробником у вигляді: роялті та від передачі виключних майнових прав інтелектуальної власності (сума даних, зазначених у рядках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201, 202, 203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); у графі 3 проставляється кількість договорів про трансфер технологій, за якими була здійснена виплата.</w:t>
            </w:r>
          </w:p>
        </w:tc>
        <w:tc>
          <w:tcPr>
            <w:tcW w:w="3969" w:type="dxa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  <w:t>Приведення у відповідність загальної нумерації рядків форми № 1</w:t>
            </w:r>
          </w:p>
        </w:tc>
      </w:tr>
      <w:tr>
        <w:trPr>
          <w:trHeight w:hRule="atLeast" w:val="262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3969" w:type="dxa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1695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рядку 200 «загальна сума коштів, на яку протягом року укладено договорів про трансфер технологій, у тому числі» зазначається загальна сума коштів, на яку у звітному році власниками технологій укладено договорів про трансфер технологій;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рядку 200 «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агальна сума коштів,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одержаних протягом звітного року від трансферу технологій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у тому числі» зазначається загальна сума коштів,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яку у звітному році організація-розробник одержала за всіма формами договорів про трансфер технологій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3969" w:type="dxa"/>
            <w:vMerge w:val="restart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  <w:t>Усунення дублювання інформації, яка подається організаціями-розробниками технології</w:t>
            </w:r>
          </w:p>
        </w:tc>
      </w:tr>
      <w:tr>
        <w:trPr>
          <w:trHeight w:hRule="atLeast" w:val="1695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рядку 201 «Загальна сума коштів, на яку протягом року укладено договорів про трансфер технологій» зазначається загальна сума коштів, на яку у звітному році власником технології було укладено договорів про трансфер технологій (ліцензійних договорів, договорів про передачу виключних майнових прав інтелектуальної власності, договорів змішаного типу, якими передбачено виплату ліцензійних платежів;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Виключити.</w:t>
            </w:r>
          </w:p>
        </w:tc>
        <w:tc>
          <w:tcPr>
            <w:tcW w:w="3969" w:type="dxa"/>
            <w:vMerge w:val="continue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1695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рядку 202 «Загальна сума коштів, одержаних протягом року у вигляді періодичних виплат (роялті)» зазначається загальна сума коштів, яку отримали власники технологій у звітному році у вигляді періодичних виплат (роялті) за договорами про трансфер технологій, укладеними як у звітному році, так і в попередні роки, у тисячах гривень;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 рядку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«Загальна сума коштів, одержаних протягом року у вигляді періодичних виплат (роялті)» зазначається загальна сума коштів, яку отримали власники технологій у звітному році у вигляді періодичних виплат (роялті) за договорами про трансфер технологій, укладеними як у звітному році, так і в попередні роки, у тисячах гривень;</w:t>
            </w:r>
          </w:p>
        </w:tc>
        <w:tc>
          <w:tcPr>
            <w:tcW w:w="3969" w:type="dxa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  <w:t>Приведення у відповідність загальної нумерації рядків форми № 2</w:t>
            </w:r>
          </w:p>
        </w:tc>
      </w:tr>
      <w:tr>
        <w:trPr>
          <w:trHeight w:hRule="atLeast" w:val="1695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рядку 203 «Загальна сума коштів, одержаних протягом року у вигляді разових виплат (роялті)» зазначається загальна сума коштів, яку отримали власники технологій у звітному році у вигляді разових виплат (роялті) за договорами про трансфер технологій, укладеними як у звітному році, так і в попередні роки, у тисячах гривень;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 рядку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«Загальна сума коштів, одержаних протягом року у вигляді разових виплат (роялті)» зазначається загальна сума коштів, яку отримали власники технологій у звітному році у вигляді разових виплат (роялті) за договорами про трансфер технологій, укладеними як у звітному році, так і в попередні роки, у тисячах гривень;</w:t>
            </w:r>
          </w:p>
        </w:tc>
        <w:tc>
          <w:tcPr>
            <w:tcW w:w="3969" w:type="dxa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  <w:t>Приведення у відповідність загальної нумерації рядків форми № 2</w:t>
            </w:r>
          </w:p>
        </w:tc>
      </w:tr>
      <w:tr>
        <w:trPr>
          <w:trHeight w:hRule="atLeast" w:val="1695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рядку 204 «Загальна сума коштів, одержаних протягом року від передачі виключних майнових прав інтелектуальної власності» зазначається загальна сума коштів, яку отримали власники технологій у звітному році від передачі виключних майнових прав інтелектуальної власності у результаті трансферу технологій та\або їх складових, у тисячах гривень;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 рядку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«Загальна сума коштів, одержаних протягом року від передачі виключних майнових прав інтелектуальної власності» зазначається загальна сума коштів, яку отримали власники технологій у звітному році від передачі виключних майнових прав інтелектуальної власності у результаті трансферу технологій та\або їх складових, у тисячах гривень;</w:t>
            </w:r>
          </w:p>
        </w:tc>
        <w:tc>
          <w:tcPr>
            <w:tcW w:w="3969" w:type="dxa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  <w:t>Приведення у відповідність загальної нумерації рядків форми № 2</w:t>
            </w:r>
          </w:p>
        </w:tc>
      </w:tr>
      <w:tr>
        <w:trPr>
          <w:trHeight w:hRule="atLeast" w:val="316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3969" w:type="dxa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1695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рядку 360 за напрямом 2 «виплата винагороди авторам технологій та/або їх складових за договорами про трансфер технологій»: у графі 1 проставляється середня ставка винагороди авторам технологій, яка розраховується як середнє арифметичне значення відсотка від коштів, отриманих власником технології у вигляді: роялті та від передачі виключних майнових прав інтелектуальної власності (сума даних, зазначених у рядках 202, 203, 204); у графі 3 - кількість договорів про трансфер технологій, за якими була здійснена виплата винагороди; у графі 4 - загальний обсяг виплаченої винагороди; у графі 5 - найменування власників технологій, які здійснювали такі виплати у звітному році;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 рядку 360 за напрямом 2 «виплата винагороди авторам технологій та/або їх складових за договорами про трансфер технологій»: у графі 1 проставляється середня ставка винагороди авторам технологій, яка розраховується як середнє арифметичне значення відсотка від коштів, отриманих власником технології у вигляді: роялті та від передачі виключних майнових прав інтелектуальної власності (сума даних, зазначених у рядках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201, 202, 203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); у графі 3 – кількість договорів про трансфер технологій, за якими була здійснена виплата винагороди; у графі 4 – загальний обсяг виплаченої винагороди; у графі 5 – найменування власників технологій, які здійснювали такі виплати у звітному році;</w:t>
            </w:r>
          </w:p>
        </w:tc>
        <w:tc>
          <w:tcPr>
            <w:tcW w:w="3969" w:type="dxa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  <w:t>Приведення у відповідність загальної нумерації рядків форми № 2</w:t>
            </w:r>
          </w:p>
        </w:tc>
      </w:tr>
      <w:tr>
        <w:trPr>
          <w:trHeight w:hRule="atLeast" w:val="1695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рядку 361 проставляється відсоток, який становлять значення у графах 3-5 у звітному році стосовно попереднього. У випадку, коли в попередньому році значення показника було нульовим, у відповідній графі проставляється прочерк;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Виключити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969" w:type="dxa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Усунення необхідності проводити додаткові розрахунки.</w:t>
            </w:r>
          </w:p>
        </w:tc>
      </w:tr>
      <w:tr>
        <w:trPr>
          <w:trHeight w:hRule="atLeast" w:val="736"/>
        </w:trPr>
        <w:tc>
          <w:tcPr>
            <w:tcW w:w="535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рядку 370 за напрямом 3 «виплата винагороди особам, що здійснюють трансфер технологій» у графі 1 проставляється середня ставка винагороди особам, якими здійснено трансфер технологій та/або їх складових, яка розраховується як середнє арифметичне значення відсотка від коштів, отриманих власником технології у вигляді: роялті та від передачі виключних майнових прав інтелектуальної власності (сума даних, зазначених у рядках 202, 203, 204); у графі 3 проставляється кількість договорів про трансфер технологій, за якими була здійснена виплата.</w:t>
            </w:r>
          </w:p>
        </w:tc>
        <w:tc>
          <w:tcPr>
            <w:tcW w:w="5387" w:type="dxa"/>
            <w:gridSpan w:val="4"/>
          </w:tcPr>
          <w:p>
            <w:pPr>
              <w:shd w:val="clear" w:fill="FFFFFF"/>
              <w:ind w:firstLine="281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 рядку 370 за напрямом 3 «виплата винагороди особам, що здійснюють трансфер технологій» у графі 1 проставляється середня ставка винагороди особам, якими здійснено трансфер технологій та/або їх складових, яка розраховується як середнє арифметичне значення відсотка від коштів, отриманих власником технології у вигляді: роялті та від передачі виключних майнових прав інтелектуальної власності (сума даних, зазначених у рядках </w:t>
            </w: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eastAsia="uk-UA"/>
              </w:rPr>
              <w:t>201, 202, 203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); у графі 3 проставляється кількість договорів про трансфер технологій, за якими була здійснена виплата.</w:t>
            </w:r>
          </w:p>
        </w:tc>
        <w:tc>
          <w:tcPr>
            <w:tcW w:w="3969" w:type="dxa"/>
          </w:tcPr>
          <w:p>
            <w:pPr>
              <w:ind w:firstLine="463"/>
              <w:contextualSpacing w:val="1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1"/>
                <w:color w:val="000000"/>
                <w:sz w:val="24"/>
                <w:szCs w:val="24"/>
                <w:spacing w:val="-4"/>
                <w:lang w:eastAsia="uk-UA"/>
              </w:rPr>
              <w:t>Приведення у відповідність загальної нумерації рядків форми № 2</w:t>
            </w:r>
          </w:p>
        </w:tc>
      </w:tr>
    </w:tbl>
    <w:p>
      <w:pPr>
        <w:spacing w:lineRule="auto" w:line="240" w:after="0" w:beforeAutospacing="0" w:afterAutospacing="0"/>
        <w:ind w:right="450"/>
        <w:rPr>
          <w:rFonts w:ascii="Times New Roman" w:hAnsi="Times New Roman"/>
          <w:b w:val="1"/>
          <w:bCs w:val="1"/>
          <w:color w:val="000000"/>
          <w:sz w:val="20"/>
          <w:szCs w:val="20"/>
          <w:lang w:eastAsia="uk-UA"/>
        </w:rPr>
      </w:pPr>
      <w:bookmarkStart w:id="3" w:name="n52"/>
      <w:bookmarkEnd w:id="3"/>
    </w:p>
    <w:tbl>
      <w:tblPr>
        <w:tblW w:w="15168" w:type="dxa"/>
        <w:tblLook w:val="0020"/>
      </w:tblPr>
      <w:tblGrid/>
      <w:tr>
        <w:tc>
          <w:tcPr>
            <w:tcW w:w="7797" w:type="dxa"/>
          </w:tcPr>
          <w:p>
            <w:pPr>
              <w:spacing w:lineRule="auto" w:line="240" w:after="0" w:beforeAutospacing="0" w:afterAutospacing="0"/>
              <w:ind w:left="321" w:right="-7721"/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Генеральний директор директорату науки та інновацій</w:t>
            </w:r>
          </w:p>
          <w:p>
            <w:pPr>
              <w:spacing w:lineRule="auto" w:line="240" w:after="0" w:beforeAutospacing="0" w:afterAutospacing="0"/>
              <w:ind w:left="321"/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7371" w:type="dxa"/>
          </w:tcPr>
          <w:p>
            <w:pPr>
              <w:spacing w:lineRule="auto" w:line="240" w:after="0" w:beforeAutospacing="0" w:afterAutospacing="0"/>
              <w:ind w:left="4944"/>
              <w:rPr>
                <w:rFonts w:ascii="Times New Roman" w:hAnsi="Times New Roman"/>
                <w:b w:val="1"/>
                <w:bCs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lang w:val="ru-RU"/>
              </w:rPr>
              <w:t>Ігор ТАРАНОВ</w:t>
            </w:r>
          </w:p>
          <w:p>
            <w:pPr>
              <w:spacing w:lineRule="auto" w:line="240" w:after="0" w:beforeAutospacing="0" w:afterAutospacing="0"/>
              <w:ind w:left="321"/>
              <w:jc w:val="center"/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</w:p>
        </w:tc>
      </w:tr>
      <w:tr>
        <w:trPr>
          <w:trHeight w:hRule="atLeast" w:val="699"/>
        </w:trPr>
        <w:tc>
          <w:tcPr>
            <w:tcW w:w="7797" w:type="dxa"/>
          </w:tcPr>
          <w:p>
            <w:pPr>
              <w:spacing w:lineRule="auto" w:line="240" w:after="0" w:beforeAutospacing="0" w:afterAutospacing="0"/>
              <w:ind w:left="321"/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bCs w:val="1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bCs w:val="1"/>
                <w:sz w:val="28"/>
                <w:szCs w:val="28"/>
                <w:lang w:val="ru-RU"/>
              </w:rPr>
              <w:t>» __________ 2022 р.</w:t>
            </w:r>
          </w:p>
        </w:tc>
        <w:tc>
          <w:tcPr>
            <w:tcW w:w="7371" w:type="dxa"/>
          </w:tcPr>
          <w:p>
            <w:pPr>
              <w:spacing w:lineRule="auto" w:line="240" w:after="0" w:beforeAutospacing="0" w:afterAutospacing="0"/>
              <w:ind w:left="321"/>
              <w:rPr>
                <w:rFonts w:ascii="Times New Roman" w:hAnsi="Times New Roman"/>
                <w:bCs w:val="1"/>
                <w:sz w:val="28"/>
                <w:szCs w:val="28"/>
              </w:rPr>
            </w:pPr>
          </w:p>
        </w:tc>
      </w:tr>
    </w:tbl>
    <w:p>
      <w:pPr>
        <w:spacing w:lineRule="auto" w:line="240" w:after="0" w:beforeAutospacing="0" w:afterAutospacing="0"/>
        <w:ind w:right="450"/>
        <w:rPr>
          <w:rFonts w:ascii="Times New Roman" w:hAnsi="Times New Roman"/>
          <w:b w:val="1"/>
          <w:bCs w:val="1"/>
          <w:color w:val="000000"/>
          <w:sz w:val="10"/>
          <w:szCs w:val="10"/>
          <w:lang w:eastAsia="uk-UA"/>
        </w:rPr>
      </w:pPr>
    </w:p>
    <w:sectPr>
      <w:headerReference xmlns:r="http://schemas.openxmlformats.org/officeDocument/2006/relationships" w:type="default" r:id="RelHdr1"/>
      <w:footnotePr/>
      <w:endnotePr/>
      <w:type w:val="nextPage"/>
      <w:pgSz w:w="16838" w:h="11906" w:code="0" w:orient="landscape"/>
      <w:pgMar w:left="850" w:right="850" w:top="568" w:bottom="1134" w:header="708" w:footer="708" w:gutter="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 w:val="1"/>
        <w:sz w:val="24"/>
        <w:szCs w:val="24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P4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="http://schemas.openxmlformats.org/wordprocessingml/2006/main">
  <w:abstractNum w:abstractNumId="0">
    <w:nsid w:val="57E945DC"/>
    <w:multiLevelType w:val="hybridMultilevel"/>
    <w:lvl w:ilvl="0" w:tplc="883C10FE">
      <w:start w:val="3"/>
      <w:numFmt w:val="decimal"/>
      <w:suff w:val="tab"/>
      <w:lvlText w:val="%1."/>
      <w:lvlJc w:val="left"/>
      <w:pPr>
        <w:ind w:hanging="360" w:left="1069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rvps6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2">
    <w:name w:val="rvps7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3">
    <w:name w:val="rvps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4">
    <w:name w:val="header"/>
    <w:basedOn w:val="P0"/>
    <w:link w:val="C5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5">
    <w:name w:val="footer"/>
    <w:basedOn w:val="P0"/>
    <w:link w:val="C6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6">
    <w:name w:val="annotation text"/>
    <w:basedOn w:val="P0"/>
    <w:link w:val="C8"/>
    <w:semiHidden/>
    <w:pPr>
      <w:spacing w:lineRule="auto" w:line="240" w:beforeAutospacing="0" w:afterAutospacing="0"/>
    </w:pPr>
    <w:rPr>
      <w:sz w:val="20"/>
      <w:szCs w:val="20"/>
    </w:rPr>
  </w:style>
  <w:style w:type="paragraph" w:styleId="P7">
    <w:name w:val="annotation subject"/>
    <w:basedOn w:val="P6"/>
    <w:next w:val="P6"/>
    <w:link w:val="C9"/>
    <w:semiHidden/>
    <w:pPr/>
    <w:rPr>
      <w:b w:val="1"/>
      <w:bCs w:val="1"/>
    </w:rPr>
  </w:style>
  <w:style w:type="paragraph" w:styleId="P8">
    <w:name w:val="Balloon Text"/>
    <w:basedOn w:val="P0"/>
    <w:link w:val="C10"/>
    <w:semiHidden/>
    <w:pPr>
      <w:spacing w:lineRule="auto" w:line="240" w:after="0" w:beforeAutospacing="0" w:afterAutospacing="0"/>
    </w:pPr>
    <w:rPr>
      <w:rFonts w:ascii="Segoe UI" w:hAnsi="Segoe UI"/>
      <w:sz w:val="18"/>
      <w:szCs w:val="18"/>
    </w:rPr>
  </w:style>
  <w:style w:type="paragraph" w:styleId="P9">
    <w:name w:val="HTML Preformatted"/>
    <w:basedOn w:val="P0"/>
    <w:link w:val="C1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after="0" w:beforeAutospacing="0" w:afterAutospacing="0"/>
    </w:pPr>
    <w:rPr>
      <w:rFonts w:ascii="Courier New" w:hAnsi="Courier New"/>
      <w:sz w:val="20"/>
      <w:szCs w:val="20"/>
      <w:lang w:eastAsia="uk-UA"/>
    </w:rPr>
  </w:style>
  <w:style w:type="paragraph" w:styleId="P10">
    <w:name w:val="rvps17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11">
    <w:name w:val="rvps1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12">
    <w:name w:val="List Paragraph"/>
    <w:basedOn w:val="P0"/>
    <w:qFormat/>
    <w:pPr>
      <w:ind w:left="720"/>
      <w:contextualSpacing w:val="1"/>
    </w:pPr>
    <w:rPr/>
  </w:style>
  <w:style w:type="paragraph" w:styleId="P13">
    <w:name w:val="footnote text"/>
    <w:link w:val="C15"/>
    <w:semiHidden/>
    <w:pPr>
      <w:spacing w:lineRule="auto" w:line="240" w:after="0"/>
    </w:pPr>
    <w:rPr>
      <w:sz w:val="20"/>
      <w:szCs w:val="20"/>
    </w:rPr>
  </w:style>
  <w:style w:type="paragraph" w:styleId="P14">
    <w:name w:val="endnote text"/>
    <w:link w:val="C17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rvts23"/>
    <w:basedOn w:val="C0"/>
    <w:rPr/>
  </w:style>
  <w:style w:type="character" w:styleId="C4">
    <w:name w:val="rvts15"/>
    <w:basedOn w:val="C0"/>
    <w:rPr/>
  </w:style>
  <w:style w:type="character" w:styleId="C5">
    <w:name w:val="Верхний колонтитул Знак"/>
    <w:basedOn w:val="C0"/>
    <w:link w:val="P4"/>
    <w:rPr/>
  </w:style>
  <w:style w:type="character" w:styleId="C6">
    <w:name w:val="Нижний колонтитул Знак"/>
    <w:basedOn w:val="C0"/>
    <w:link w:val="P5"/>
    <w:rPr/>
  </w:style>
  <w:style w:type="character" w:styleId="C7">
    <w:name w:val="annotation reference"/>
    <w:basedOn w:val="C0"/>
    <w:semiHidden/>
    <w:rPr>
      <w:sz w:val="16"/>
      <w:szCs w:val="16"/>
    </w:rPr>
  </w:style>
  <w:style w:type="character" w:styleId="C8">
    <w:name w:val="Текст примечания Знак"/>
    <w:basedOn w:val="C0"/>
    <w:link w:val="P6"/>
    <w:semiHidden/>
    <w:rPr>
      <w:sz w:val="20"/>
      <w:szCs w:val="20"/>
    </w:rPr>
  </w:style>
  <w:style w:type="character" w:styleId="C9">
    <w:name w:val="Тема примечания Знак"/>
    <w:basedOn w:val="C8"/>
    <w:link w:val="P7"/>
    <w:semiHidden/>
    <w:rPr>
      <w:b w:val="1"/>
      <w:bCs w:val="1"/>
      <w:sz w:val="20"/>
      <w:szCs w:val="20"/>
    </w:rPr>
  </w:style>
  <w:style w:type="character" w:styleId="C10">
    <w:name w:val="Текст выноски Знак"/>
    <w:basedOn w:val="C0"/>
    <w:link w:val="P8"/>
    <w:semiHidden/>
    <w:rPr>
      <w:rFonts w:ascii="Segoe UI" w:hAnsi="Segoe UI"/>
      <w:sz w:val="18"/>
      <w:szCs w:val="18"/>
    </w:rPr>
  </w:style>
  <w:style w:type="character" w:styleId="C11">
    <w:name w:val="Стандартный HTML Знак"/>
    <w:basedOn w:val="C0"/>
    <w:link w:val="P9"/>
    <w:rPr>
      <w:rFonts w:ascii="Courier New" w:hAnsi="Courier New"/>
      <w:sz w:val="20"/>
      <w:szCs w:val="20"/>
      <w:lang w:eastAsia="uk-UA"/>
    </w:rPr>
  </w:style>
  <w:style w:type="character" w:styleId="C12">
    <w:name w:val="rvts64"/>
    <w:basedOn w:val="C0"/>
    <w:rPr/>
  </w:style>
  <w:style w:type="character" w:styleId="C13">
    <w:name w:val="rvts9"/>
    <w:basedOn w:val="C0"/>
    <w:rPr/>
  </w:style>
  <w:style w:type="character" w:styleId="C14">
    <w:name w:val="footnote reference"/>
    <w:semiHidden/>
    <w:rPr>
      <w:vertAlign w:val="superscript"/>
    </w:rPr>
  </w:style>
  <w:style w:type="character" w:styleId="C15">
    <w:name w:val="Footnote Text Char"/>
    <w:link w:val="P13"/>
    <w:semiHidden/>
    <w:rPr>
      <w:sz w:val="20"/>
      <w:szCs w:val="20"/>
    </w:rPr>
  </w:style>
  <w:style w:type="character" w:styleId="C16">
    <w:name w:val="endnote reference"/>
    <w:semiHidden/>
    <w:rPr>
      <w:vertAlign w:val="superscript"/>
    </w:rPr>
  </w:style>
  <w:style w:type="character" w:styleId="C17">
    <w:name w:val="Endnote Text Char"/>
    <w:link w:val="P14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d8e95-b4fa-4c9c-b095-13ce27bd877e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Dvigun O.V.</dc:creator>
  <dcterms:created xsi:type="dcterms:W3CDTF">2022-08-31T09:08:00Z</dcterms:created>
  <cp:lastModifiedBy>erp_adm</cp:lastModifiedBy>
  <cp:lastPrinted>2019-12-02T15:11:00Z</cp:lastPrinted>
  <dcterms:modified xsi:type="dcterms:W3CDTF">2022-09-02T14:43:57Z</dcterms:modified>
  <cp:revision>8</cp:revision>
</cp:coreProperties>
</file>