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6E" w:rsidRPr="00F74D6E" w:rsidRDefault="00F74D6E" w:rsidP="00F74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EB1D1E" w:rsidRDefault="00F74D6E" w:rsidP="00F74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про</w:t>
      </w:r>
      <w:r w:rsidR="005D474E">
        <w:rPr>
          <w:rFonts w:ascii="Times New Roman" w:hAnsi="Times New Roman" w:cs="Times New Roman"/>
          <w:b/>
          <w:sz w:val="28"/>
          <w:szCs w:val="28"/>
        </w:rPr>
        <w:t>є</w:t>
      </w:r>
      <w:r w:rsidRPr="00F74D6E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освіти і науки </w:t>
      </w:r>
      <w:r w:rsidR="00DC7EAE">
        <w:rPr>
          <w:rFonts w:ascii="Times New Roman" w:hAnsi="Times New Roman" w:cs="Times New Roman"/>
          <w:b/>
          <w:sz w:val="28"/>
          <w:szCs w:val="28"/>
        </w:rPr>
        <w:t xml:space="preserve">України </w:t>
      </w:r>
      <w:r w:rsidRPr="00F74D6E">
        <w:rPr>
          <w:rFonts w:ascii="Times New Roman" w:hAnsi="Times New Roman" w:cs="Times New Roman"/>
          <w:b/>
          <w:sz w:val="28"/>
          <w:szCs w:val="28"/>
        </w:rPr>
        <w:t>«</w:t>
      </w:r>
      <w:r w:rsidR="0049245F" w:rsidRPr="0049245F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</w:p>
    <w:p w:rsidR="008B1D49" w:rsidRPr="00F74D6E" w:rsidRDefault="0049245F" w:rsidP="00F74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45F">
        <w:rPr>
          <w:rFonts w:ascii="Times New Roman" w:hAnsi="Times New Roman" w:cs="Times New Roman"/>
          <w:b/>
          <w:sz w:val="28"/>
          <w:szCs w:val="28"/>
        </w:rPr>
        <w:t xml:space="preserve">Порядку </w:t>
      </w:r>
      <w:r w:rsidR="00064A99" w:rsidRPr="00064A99">
        <w:rPr>
          <w:rFonts w:ascii="Times New Roman" w:hAnsi="Times New Roman" w:cs="Times New Roman"/>
          <w:b/>
          <w:sz w:val="28"/>
          <w:szCs w:val="28"/>
        </w:rPr>
        <w:t>проведення експертизи та затвердження освітніх програм повної загальної середньої освіти, розроблених не на основі типових освітніх програм</w:t>
      </w:r>
      <w:r w:rsidR="00F74D6E" w:rsidRPr="00F74D6E">
        <w:rPr>
          <w:rFonts w:ascii="Times New Roman" w:hAnsi="Times New Roman" w:cs="Times New Roman"/>
          <w:b/>
          <w:sz w:val="28"/>
          <w:szCs w:val="28"/>
        </w:rPr>
        <w:t>»</w:t>
      </w:r>
    </w:p>
    <w:p w:rsidR="00F74D6E" w:rsidRDefault="00F74D6E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D9D" w:rsidRPr="002E6665" w:rsidRDefault="00F74D6E" w:rsidP="00201D9D">
      <w:pPr>
        <w:pStyle w:val="1"/>
        <w:numPr>
          <w:ilvl w:val="0"/>
          <w:numId w:val="10"/>
        </w:numPr>
        <w:spacing w:before="120" w:after="120"/>
      </w:pPr>
      <w:bookmarkStart w:id="0" w:name="_Toc3536283"/>
      <w:r w:rsidRPr="002E6665">
        <w:t>Визначення проблеми</w:t>
      </w:r>
      <w:bookmarkEnd w:id="0"/>
    </w:p>
    <w:p w:rsidR="002D2DF5" w:rsidRDefault="0047646B" w:rsidP="002D2D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eastAsia="en-US"/>
        </w:rPr>
      </w:pPr>
      <w:r w:rsidRPr="002E6665">
        <w:rPr>
          <w:color w:val="000000"/>
          <w:sz w:val="28"/>
          <w:szCs w:val="28"/>
          <w:lang w:eastAsia="en-US"/>
        </w:rPr>
        <w:t>Статтею 6 Закону України «Про освіту» визначено, що свобода у виборі видів, форм і темпу здобуття освіти, освітньої програми, закладу освіти, інших</w:t>
      </w:r>
      <w:r w:rsidRPr="002D2DF5">
        <w:rPr>
          <w:color w:val="000000"/>
          <w:sz w:val="28"/>
          <w:szCs w:val="28"/>
          <w:lang w:eastAsia="en-US"/>
        </w:rPr>
        <w:t xml:space="preserve"> суб’єктів освітньої діяльності є однією із засад державної політики у сфері освіти</w:t>
      </w:r>
      <w:bookmarkStart w:id="1" w:name="n73"/>
      <w:bookmarkEnd w:id="1"/>
      <w:r w:rsidRPr="002D2DF5">
        <w:rPr>
          <w:color w:val="000000"/>
          <w:sz w:val="28"/>
          <w:szCs w:val="28"/>
          <w:lang w:eastAsia="en-US"/>
        </w:rPr>
        <w:t xml:space="preserve">. Також у статті 33 </w:t>
      </w:r>
      <w:r w:rsidR="002D2DF5">
        <w:rPr>
          <w:color w:val="000000"/>
          <w:sz w:val="28"/>
          <w:szCs w:val="28"/>
          <w:lang w:eastAsia="en-US"/>
        </w:rPr>
        <w:t xml:space="preserve">цього Закону України </w:t>
      </w:r>
      <w:r w:rsidRPr="002D2DF5">
        <w:rPr>
          <w:color w:val="000000"/>
          <w:sz w:val="28"/>
          <w:szCs w:val="28"/>
          <w:lang w:eastAsia="en-US"/>
        </w:rPr>
        <w:t xml:space="preserve">зазначено, що </w:t>
      </w:r>
      <w:bookmarkStart w:id="2" w:name="n496"/>
      <w:bookmarkEnd w:id="2"/>
      <w:r w:rsidR="002D2DF5">
        <w:rPr>
          <w:color w:val="000000"/>
          <w:sz w:val="28"/>
          <w:szCs w:val="28"/>
          <w:lang w:eastAsia="en-US"/>
        </w:rPr>
        <w:t>з</w:t>
      </w:r>
      <w:r w:rsidRPr="002D2DF5">
        <w:rPr>
          <w:color w:val="000000"/>
          <w:sz w:val="28"/>
          <w:szCs w:val="28"/>
          <w:lang w:eastAsia="en-US"/>
        </w:rPr>
        <w:t>аклади освіти можуть використовувати типові або інші освітні програми, які розробляються та затверджуються відповідно до спеціальних законів.</w:t>
      </w:r>
      <w:r w:rsidR="002D2DF5">
        <w:rPr>
          <w:color w:val="000000"/>
          <w:sz w:val="28"/>
          <w:szCs w:val="28"/>
          <w:lang w:eastAsia="en-US"/>
        </w:rPr>
        <w:t xml:space="preserve"> </w:t>
      </w:r>
    </w:p>
    <w:p w:rsidR="002D2DF5" w:rsidRDefault="002E6665" w:rsidP="002D2DF5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</w:t>
      </w:r>
      <w:r w:rsidRPr="002E6665">
        <w:rPr>
          <w:color w:val="000000"/>
          <w:sz w:val="28"/>
          <w:szCs w:val="28"/>
          <w:lang w:eastAsia="en-US"/>
        </w:rPr>
        <w:t xml:space="preserve">світня програма закладу освіти </w:t>
      </w:r>
      <w:r>
        <w:rPr>
          <w:color w:val="000000"/>
          <w:sz w:val="28"/>
          <w:szCs w:val="28"/>
          <w:lang w:eastAsia="en-US"/>
        </w:rPr>
        <w:t>–</w:t>
      </w:r>
      <w:r w:rsidRPr="002E6665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 xml:space="preserve">це </w:t>
      </w:r>
      <w:r w:rsidRPr="002E6665">
        <w:rPr>
          <w:color w:val="000000"/>
          <w:sz w:val="28"/>
          <w:szCs w:val="28"/>
          <w:lang w:eastAsia="en-US"/>
        </w:rPr>
        <w:t>документ, що містить комплекс освітніх компонентів, спланованих та організованих закладом освіти для досягнення учнями визначених цією програмою о</w:t>
      </w:r>
      <w:r>
        <w:rPr>
          <w:color w:val="000000"/>
          <w:sz w:val="28"/>
          <w:szCs w:val="28"/>
          <w:lang w:eastAsia="en-US"/>
        </w:rPr>
        <w:t>чікуваних результатів навчання.</w:t>
      </w:r>
    </w:p>
    <w:p w:rsidR="00C55CDC" w:rsidRDefault="002E6665" w:rsidP="002D2DF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665">
        <w:rPr>
          <w:rFonts w:ascii="Times New Roman" w:hAnsi="Times New Roman" w:cs="Times New Roman"/>
          <w:color w:val="000000"/>
          <w:sz w:val="28"/>
          <w:szCs w:val="28"/>
        </w:rPr>
        <w:t xml:space="preserve">Проте, на сьогодні </w:t>
      </w:r>
      <w:r w:rsidR="00C55CDC" w:rsidRPr="002E6665">
        <w:rPr>
          <w:rFonts w:ascii="Times New Roman" w:hAnsi="Times New Roman" w:cs="Times New Roman"/>
          <w:color w:val="000000"/>
          <w:sz w:val="28"/>
          <w:szCs w:val="28"/>
        </w:rPr>
        <w:t>відсутній механізм щодо можливості впровадження в освітній процес</w:t>
      </w:r>
      <w:r w:rsidR="00C55CDC">
        <w:rPr>
          <w:rFonts w:ascii="Times New Roman" w:hAnsi="Times New Roman" w:cs="Times New Roman"/>
          <w:color w:val="000000"/>
          <w:sz w:val="28"/>
          <w:szCs w:val="28"/>
        </w:rPr>
        <w:t xml:space="preserve"> закладів загальної середньої освіти </w:t>
      </w:r>
      <w:r w:rsidR="00F74F4C">
        <w:rPr>
          <w:rFonts w:ascii="Times New Roman" w:hAnsi="Times New Roman" w:cs="Times New Roman"/>
          <w:sz w:val="28"/>
          <w:szCs w:val="28"/>
        </w:rPr>
        <w:t xml:space="preserve">(далі – заклади </w:t>
      </w:r>
      <w:r w:rsidR="00F74F4C" w:rsidRPr="00872185">
        <w:rPr>
          <w:rFonts w:ascii="Times New Roman" w:hAnsi="Times New Roman" w:cs="Times New Roman"/>
          <w:sz w:val="28"/>
          <w:szCs w:val="28"/>
        </w:rPr>
        <w:t>освіти</w:t>
      </w:r>
      <w:r w:rsidR="00F74F4C">
        <w:rPr>
          <w:rFonts w:ascii="Times New Roman" w:hAnsi="Times New Roman" w:cs="Times New Roman"/>
          <w:sz w:val="28"/>
          <w:szCs w:val="28"/>
        </w:rPr>
        <w:t>)</w:t>
      </w:r>
      <w:r w:rsidR="00C55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CDC" w:rsidRPr="002E6665">
        <w:rPr>
          <w:rFonts w:ascii="Times New Roman" w:hAnsi="Times New Roman" w:cs="Times New Roman"/>
          <w:color w:val="000000"/>
          <w:sz w:val="28"/>
          <w:szCs w:val="28"/>
        </w:rPr>
        <w:t>розроблених не на основі типових освітніх програм</w:t>
      </w:r>
      <w:r w:rsidR="00C55CD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49245F" w:rsidRPr="00872185" w:rsidRDefault="00852A5E" w:rsidP="002D2D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D9D">
        <w:rPr>
          <w:rFonts w:ascii="Times New Roman" w:hAnsi="Times New Roman" w:cs="Times New Roman"/>
          <w:sz w:val="28"/>
          <w:szCs w:val="28"/>
        </w:rPr>
        <w:t xml:space="preserve">Це викликано тим, що використання освітніх програм, що </w:t>
      </w:r>
      <w:r w:rsidR="0049245F" w:rsidRPr="00201D9D">
        <w:rPr>
          <w:rFonts w:ascii="Times New Roman" w:hAnsi="Times New Roman" w:cs="Times New Roman"/>
          <w:sz w:val="28"/>
          <w:szCs w:val="28"/>
        </w:rPr>
        <w:t xml:space="preserve">розроблені не на основі типових освітніх програм, </w:t>
      </w:r>
      <w:r w:rsidRPr="00201D9D">
        <w:rPr>
          <w:rFonts w:ascii="Times New Roman" w:hAnsi="Times New Roman" w:cs="Times New Roman"/>
          <w:sz w:val="28"/>
          <w:szCs w:val="28"/>
        </w:rPr>
        <w:t xml:space="preserve">можливо лише за умови, яку регламентує </w:t>
      </w:r>
      <w:r w:rsidR="00B1027B" w:rsidRPr="00201D9D">
        <w:rPr>
          <w:rFonts w:ascii="Times New Roman" w:hAnsi="Times New Roman" w:cs="Times New Roman"/>
          <w:sz w:val="28"/>
          <w:szCs w:val="28"/>
        </w:rPr>
        <w:t>абзац другий частини першої та абзац перший частини четвертої статті 11</w:t>
      </w:r>
      <w:r w:rsidRPr="00201D9D">
        <w:rPr>
          <w:rFonts w:ascii="Times New Roman" w:hAnsi="Times New Roman" w:cs="Times New Roman"/>
          <w:sz w:val="28"/>
          <w:szCs w:val="28"/>
        </w:rPr>
        <w:t xml:space="preserve"> Закону України «Про </w:t>
      </w:r>
      <w:r w:rsidR="0049245F" w:rsidRPr="00201D9D">
        <w:rPr>
          <w:rFonts w:ascii="Times New Roman" w:hAnsi="Times New Roman" w:cs="Times New Roman"/>
          <w:sz w:val="28"/>
          <w:szCs w:val="28"/>
        </w:rPr>
        <w:t>повну загальну середню освіту</w:t>
      </w:r>
      <w:r w:rsidRPr="00201D9D">
        <w:rPr>
          <w:rFonts w:ascii="Times New Roman" w:hAnsi="Times New Roman" w:cs="Times New Roman"/>
          <w:sz w:val="28"/>
          <w:szCs w:val="28"/>
        </w:rPr>
        <w:t>», де за</w:t>
      </w:r>
      <w:r w:rsidR="003130A4" w:rsidRPr="00201D9D">
        <w:rPr>
          <w:rFonts w:ascii="Times New Roman" w:hAnsi="Times New Roman" w:cs="Times New Roman"/>
          <w:sz w:val="28"/>
          <w:szCs w:val="28"/>
        </w:rPr>
        <w:t xml:space="preserve">значається, що освітні програми, </w:t>
      </w:r>
      <w:r w:rsidR="0049245F" w:rsidRPr="00201D9D">
        <w:rPr>
          <w:rFonts w:ascii="Times New Roman" w:hAnsi="Times New Roman" w:cs="Times New Roman"/>
          <w:sz w:val="28"/>
          <w:szCs w:val="28"/>
        </w:rPr>
        <w:t>розроблен</w:t>
      </w:r>
      <w:r w:rsidR="003130A4" w:rsidRPr="00201D9D">
        <w:rPr>
          <w:rFonts w:ascii="Times New Roman" w:hAnsi="Times New Roman" w:cs="Times New Roman"/>
          <w:sz w:val="28"/>
          <w:szCs w:val="28"/>
        </w:rPr>
        <w:t>і</w:t>
      </w:r>
      <w:r w:rsidR="0049245F" w:rsidRPr="00201D9D">
        <w:rPr>
          <w:rFonts w:ascii="Times New Roman" w:hAnsi="Times New Roman" w:cs="Times New Roman"/>
          <w:sz w:val="28"/>
          <w:szCs w:val="28"/>
        </w:rPr>
        <w:t xml:space="preserve"> не на основі типов</w:t>
      </w:r>
      <w:r w:rsidR="003130A4" w:rsidRPr="00201D9D">
        <w:rPr>
          <w:rFonts w:ascii="Times New Roman" w:hAnsi="Times New Roman" w:cs="Times New Roman"/>
          <w:sz w:val="28"/>
          <w:szCs w:val="28"/>
        </w:rPr>
        <w:t>их</w:t>
      </w:r>
      <w:r w:rsidR="0049245F" w:rsidRPr="00201D9D">
        <w:rPr>
          <w:rFonts w:ascii="Times New Roman" w:hAnsi="Times New Roman" w:cs="Times New Roman"/>
          <w:sz w:val="28"/>
          <w:szCs w:val="28"/>
        </w:rPr>
        <w:t xml:space="preserve"> освітн</w:t>
      </w:r>
      <w:r w:rsidR="003130A4" w:rsidRPr="00201D9D">
        <w:rPr>
          <w:rFonts w:ascii="Times New Roman" w:hAnsi="Times New Roman" w:cs="Times New Roman"/>
          <w:sz w:val="28"/>
          <w:szCs w:val="28"/>
        </w:rPr>
        <w:t>іх</w:t>
      </w:r>
      <w:r w:rsidR="005B437D">
        <w:rPr>
          <w:rFonts w:ascii="Times New Roman" w:hAnsi="Times New Roman" w:cs="Times New Roman"/>
          <w:sz w:val="28"/>
          <w:szCs w:val="28"/>
        </w:rPr>
        <w:t xml:space="preserve"> програм, підлягають</w:t>
      </w:r>
      <w:r w:rsidR="0049245F" w:rsidRPr="00201D9D">
        <w:rPr>
          <w:rFonts w:ascii="Times New Roman" w:hAnsi="Times New Roman" w:cs="Times New Roman"/>
          <w:sz w:val="28"/>
          <w:szCs w:val="28"/>
        </w:rPr>
        <w:t xml:space="preserve"> затвердженню центральним органом виконавчої влади із забезпечення якості освіти у порядку, затвердженому центральним органом виконавчої влади у сфері освіти і науки.</w:t>
      </w:r>
    </w:p>
    <w:p w:rsidR="00852A5E" w:rsidRPr="00872185" w:rsidRDefault="00852A5E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18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1027B" w:rsidRPr="00872185">
        <w:rPr>
          <w:rFonts w:ascii="Times New Roman" w:hAnsi="Times New Roman" w:cs="Times New Roman"/>
          <w:sz w:val="28"/>
          <w:szCs w:val="28"/>
        </w:rPr>
        <w:t xml:space="preserve">абзацу четвертого частини другої статті 67 </w:t>
      </w:r>
      <w:r w:rsidRPr="00872185">
        <w:rPr>
          <w:rFonts w:ascii="Times New Roman" w:hAnsi="Times New Roman" w:cs="Times New Roman"/>
          <w:sz w:val="28"/>
          <w:szCs w:val="28"/>
        </w:rPr>
        <w:t>Закону</w:t>
      </w:r>
      <w:r w:rsidR="003130A4" w:rsidRPr="00872185">
        <w:rPr>
          <w:rFonts w:ascii="Times New Roman" w:hAnsi="Times New Roman" w:cs="Times New Roman"/>
          <w:sz w:val="28"/>
          <w:szCs w:val="28"/>
        </w:rPr>
        <w:t xml:space="preserve"> України «Про освіту»</w:t>
      </w:r>
      <w:r w:rsidRPr="00872185">
        <w:rPr>
          <w:rFonts w:ascii="Times New Roman" w:hAnsi="Times New Roman" w:cs="Times New Roman"/>
          <w:sz w:val="28"/>
          <w:szCs w:val="28"/>
        </w:rPr>
        <w:t xml:space="preserve">, повноваження щодо затвердження освітніх </w:t>
      </w:r>
      <w:r w:rsidR="00B1027B" w:rsidRPr="00872185">
        <w:rPr>
          <w:rFonts w:ascii="Times New Roman" w:hAnsi="Times New Roman" w:cs="Times New Roman"/>
          <w:sz w:val="28"/>
          <w:szCs w:val="28"/>
        </w:rPr>
        <w:t xml:space="preserve">програм повної загальної </w:t>
      </w:r>
      <w:r w:rsidR="003130A4" w:rsidRPr="00872185">
        <w:rPr>
          <w:rFonts w:ascii="Times New Roman" w:hAnsi="Times New Roman" w:cs="Times New Roman"/>
          <w:sz w:val="28"/>
          <w:szCs w:val="28"/>
        </w:rPr>
        <w:t>середньої освіти, розроблені не на основі типових освітніх програм,</w:t>
      </w:r>
      <w:r w:rsidRPr="00872185">
        <w:rPr>
          <w:rFonts w:ascii="Times New Roman" w:hAnsi="Times New Roman" w:cs="Times New Roman"/>
          <w:sz w:val="28"/>
          <w:szCs w:val="28"/>
        </w:rPr>
        <w:t xml:space="preserve"> за результатами експертизи належ</w:t>
      </w:r>
      <w:r w:rsidR="00F74F4C">
        <w:rPr>
          <w:rFonts w:ascii="Times New Roman" w:hAnsi="Times New Roman" w:cs="Times New Roman"/>
          <w:sz w:val="28"/>
          <w:szCs w:val="28"/>
        </w:rPr>
        <w:t>а</w:t>
      </w:r>
      <w:r w:rsidRPr="00872185">
        <w:rPr>
          <w:rFonts w:ascii="Times New Roman" w:hAnsi="Times New Roman" w:cs="Times New Roman"/>
          <w:sz w:val="28"/>
          <w:szCs w:val="28"/>
        </w:rPr>
        <w:t>ть Державній службі якості освіти України</w:t>
      </w:r>
      <w:r w:rsidR="00C55CDC">
        <w:rPr>
          <w:rFonts w:ascii="Times New Roman" w:hAnsi="Times New Roman" w:cs="Times New Roman"/>
          <w:sz w:val="28"/>
          <w:szCs w:val="28"/>
        </w:rPr>
        <w:t xml:space="preserve"> (далі – Служба)</w:t>
      </w:r>
      <w:r w:rsidRPr="00872185">
        <w:rPr>
          <w:rFonts w:ascii="Times New Roman" w:hAnsi="Times New Roman" w:cs="Times New Roman"/>
          <w:sz w:val="28"/>
          <w:szCs w:val="28"/>
        </w:rPr>
        <w:t>.</w:t>
      </w:r>
    </w:p>
    <w:p w:rsidR="005D6A41" w:rsidRDefault="00C55CDC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запропонованого </w:t>
      </w:r>
      <w:r w:rsidR="00BE6576" w:rsidRPr="00872185">
        <w:rPr>
          <w:rFonts w:ascii="Times New Roman" w:hAnsi="Times New Roman" w:cs="Times New Roman"/>
          <w:sz w:val="28"/>
          <w:szCs w:val="28"/>
        </w:rPr>
        <w:t>проєкт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52A5E" w:rsidRPr="00872185">
        <w:rPr>
          <w:rFonts w:ascii="Times New Roman" w:hAnsi="Times New Roman" w:cs="Times New Roman"/>
          <w:sz w:val="28"/>
          <w:szCs w:val="28"/>
        </w:rPr>
        <w:t xml:space="preserve"> наказу Міністерства освіти і науки </w:t>
      </w:r>
      <w:r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852A5E" w:rsidRPr="00872185">
        <w:rPr>
          <w:rFonts w:ascii="Times New Roman" w:hAnsi="Times New Roman" w:cs="Times New Roman"/>
          <w:sz w:val="28"/>
          <w:szCs w:val="28"/>
        </w:rPr>
        <w:t>«</w:t>
      </w:r>
      <w:r w:rsidR="003130A4" w:rsidRPr="00872185">
        <w:rPr>
          <w:rFonts w:ascii="Times New Roman" w:hAnsi="Times New Roman" w:cs="Times New Roman"/>
          <w:sz w:val="28"/>
          <w:szCs w:val="28"/>
        </w:rPr>
        <w:t xml:space="preserve">Про затвердження Порядку </w:t>
      </w:r>
      <w:r w:rsidR="000502B2">
        <w:rPr>
          <w:rFonts w:ascii="Times New Roman" w:hAnsi="Times New Roman" w:cs="Times New Roman"/>
          <w:sz w:val="28"/>
          <w:szCs w:val="28"/>
        </w:rPr>
        <w:t xml:space="preserve">проведення експертизи та </w:t>
      </w:r>
      <w:r w:rsidR="003130A4" w:rsidRPr="00872185">
        <w:rPr>
          <w:rFonts w:ascii="Times New Roman" w:hAnsi="Times New Roman" w:cs="Times New Roman"/>
          <w:sz w:val="28"/>
          <w:szCs w:val="28"/>
        </w:rPr>
        <w:t xml:space="preserve">затвердження освітніх </w:t>
      </w:r>
      <w:r w:rsidR="00B1027B" w:rsidRPr="00872185">
        <w:rPr>
          <w:rFonts w:ascii="Times New Roman" w:hAnsi="Times New Roman" w:cs="Times New Roman"/>
          <w:sz w:val="28"/>
          <w:szCs w:val="28"/>
        </w:rPr>
        <w:t xml:space="preserve">програм повної загальної </w:t>
      </w:r>
      <w:r w:rsidR="003130A4" w:rsidRPr="00872185">
        <w:rPr>
          <w:rFonts w:ascii="Times New Roman" w:hAnsi="Times New Roman" w:cs="Times New Roman"/>
          <w:sz w:val="28"/>
          <w:szCs w:val="28"/>
        </w:rPr>
        <w:t>середньої освіти, розроблених не на основі типових освітніх програм</w:t>
      </w:r>
      <w:r w:rsidR="00852A5E" w:rsidRPr="00872185">
        <w:rPr>
          <w:rFonts w:ascii="Times New Roman" w:hAnsi="Times New Roman" w:cs="Times New Roman"/>
          <w:sz w:val="28"/>
          <w:szCs w:val="28"/>
        </w:rPr>
        <w:t>» (далі – про</w:t>
      </w:r>
      <w:r w:rsidR="003130A4" w:rsidRPr="00872185">
        <w:rPr>
          <w:rFonts w:ascii="Times New Roman" w:hAnsi="Times New Roman" w:cs="Times New Roman"/>
          <w:sz w:val="28"/>
          <w:szCs w:val="28"/>
        </w:rPr>
        <w:t>є</w:t>
      </w:r>
      <w:r w:rsidR="00852A5E" w:rsidRPr="00872185">
        <w:rPr>
          <w:rFonts w:ascii="Times New Roman" w:hAnsi="Times New Roman" w:cs="Times New Roman"/>
          <w:sz w:val="28"/>
          <w:szCs w:val="28"/>
        </w:rPr>
        <w:t xml:space="preserve">кт </w:t>
      </w:r>
      <w:proofErr w:type="spellStart"/>
      <w:r w:rsidR="00852A5E" w:rsidRPr="0087218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852A5E" w:rsidRPr="00872185">
        <w:rPr>
          <w:rFonts w:ascii="Times New Roman" w:hAnsi="Times New Roman" w:cs="Times New Roman"/>
          <w:sz w:val="28"/>
          <w:szCs w:val="28"/>
        </w:rPr>
        <w:t>)</w:t>
      </w:r>
      <w:r w:rsidR="00F74F4C">
        <w:rPr>
          <w:rFonts w:ascii="Times New Roman" w:hAnsi="Times New Roman" w:cs="Times New Roman"/>
          <w:sz w:val="28"/>
          <w:szCs w:val="28"/>
        </w:rPr>
        <w:t>,</w:t>
      </w:r>
      <w:r w:rsidR="00852A5E" w:rsidRPr="00872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можливість </w:t>
      </w:r>
      <w:r w:rsidR="00852A5E" w:rsidRPr="00872185">
        <w:rPr>
          <w:rFonts w:ascii="Times New Roman" w:hAnsi="Times New Roman" w:cs="Times New Roman"/>
          <w:sz w:val="28"/>
          <w:szCs w:val="28"/>
        </w:rPr>
        <w:t xml:space="preserve">реалізувати право закладів </w:t>
      </w:r>
      <w:r>
        <w:rPr>
          <w:rFonts w:ascii="Times New Roman" w:hAnsi="Times New Roman" w:cs="Times New Roman"/>
          <w:sz w:val="28"/>
          <w:szCs w:val="28"/>
        </w:rPr>
        <w:t>освіти</w:t>
      </w:r>
      <w:r w:rsidR="00852A5E" w:rsidRPr="00872185">
        <w:rPr>
          <w:rFonts w:ascii="Times New Roman" w:hAnsi="Times New Roman" w:cs="Times New Roman"/>
          <w:sz w:val="28"/>
          <w:szCs w:val="28"/>
        </w:rPr>
        <w:t>, наукових установ, інших суб’єктів освітньої діяльності</w:t>
      </w:r>
      <w:r w:rsidR="003130A4" w:rsidRPr="00872185">
        <w:rPr>
          <w:rFonts w:ascii="Times New Roman" w:hAnsi="Times New Roman" w:cs="Times New Roman"/>
          <w:sz w:val="28"/>
          <w:szCs w:val="28"/>
        </w:rPr>
        <w:t>, фізичних чи юридичних осіб</w:t>
      </w:r>
      <w:r w:rsidR="00852A5E" w:rsidRPr="00872185">
        <w:rPr>
          <w:rFonts w:ascii="Times New Roman" w:hAnsi="Times New Roman" w:cs="Times New Roman"/>
          <w:sz w:val="28"/>
          <w:szCs w:val="28"/>
        </w:rPr>
        <w:t xml:space="preserve"> на розроблення та впровадження в освітній процес освітніх програм</w:t>
      </w:r>
      <w:r w:rsidR="003130A4" w:rsidRPr="00872185">
        <w:rPr>
          <w:rFonts w:ascii="Times New Roman" w:hAnsi="Times New Roman" w:cs="Times New Roman"/>
          <w:sz w:val="28"/>
          <w:szCs w:val="28"/>
        </w:rPr>
        <w:t>,</w:t>
      </w:r>
      <w:r w:rsidR="00852A5E" w:rsidRPr="00872185">
        <w:rPr>
          <w:rFonts w:ascii="Times New Roman" w:hAnsi="Times New Roman" w:cs="Times New Roman"/>
          <w:sz w:val="28"/>
          <w:szCs w:val="28"/>
        </w:rPr>
        <w:t xml:space="preserve"> </w:t>
      </w:r>
      <w:r w:rsidR="003130A4" w:rsidRPr="00872185">
        <w:rPr>
          <w:rFonts w:ascii="Times New Roman" w:hAnsi="Times New Roman" w:cs="Times New Roman"/>
          <w:sz w:val="28"/>
          <w:szCs w:val="28"/>
        </w:rPr>
        <w:t>розробле</w:t>
      </w:r>
      <w:r w:rsidR="00C7595F" w:rsidRPr="00872185">
        <w:rPr>
          <w:rFonts w:ascii="Times New Roman" w:hAnsi="Times New Roman" w:cs="Times New Roman"/>
          <w:sz w:val="28"/>
          <w:szCs w:val="28"/>
        </w:rPr>
        <w:t>них</w:t>
      </w:r>
      <w:r w:rsidR="003130A4" w:rsidRPr="00872185">
        <w:rPr>
          <w:rFonts w:ascii="Times New Roman" w:hAnsi="Times New Roman" w:cs="Times New Roman"/>
          <w:sz w:val="28"/>
          <w:szCs w:val="28"/>
        </w:rPr>
        <w:t xml:space="preserve"> не на основі типових освітніх програм</w:t>
      </w:r>
      <w:r w:rsidR="00852A5E" w:rsidRPr="00872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A5E" w:rsidRPr="00852A5E" w:rsidRDefault="00852A5E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2185">
        <w:rPr>
          <w:rFonts w:ascii="Times New Roman" w:hAnsi="Times New Roman" w:cs="Times New Roman"/>
          <w:sz w:val="28"/>
          <w:szCs w:val="28"/>
        </w:rPr>
        <w:t>Про</w:t>
      </w:r>
      <w:r w:rsidR="005D474E" w:rsidRPr="00872185">
        <w:rPr>
          <w:rFonts w:ascii="Times New Roman" w:hAnsi="Times New Roman" w:cs="Times New Roman"/>
          <w:sz w:val="28"/>
          <w:szCs w:val="28"/>
        </w:rPr>
        <w:t>є</w:t>
      </w:r>
      <w:r w:rsidRPr="00872185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Pr="00872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185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872185">
        <w:rPr>
          <w:rFonts w:ascii="Times New Roman" w:hAnsi="Times New Roman" w:cs="Times New Roman"/>
          <w:sz w:val="28"/>
          <w:szCs w:val="28"/>
        </w:rPr>
        <w:t xml:space="preserve"> передбачається створення порядк</w:t>
      </w:r>
      <w:r w:rsidR="003130A4" w:rsidRPr="00872185">
        <w:rPr>
          <w:rFonts w:ascii="Times New Roman" w:hAnsi="Times New Roman" w:cs="Times New Roman"/>
          <w:sz w:val="28"/>
          <w:szCs w:val="28"/>
        </w:rPr>
        <w:t>у</w:t>
      </w:r>
      <w:r w:rsidR="00654A92" w:rsidRPr="00872185">
        <w:t xml:space="preserve"> </w:t>
      </w:r>
      <w:r w:rsidR="00654A92" w:rsidRPr="00872185">
        <w:rPr>
          <w:rFonts w:ascii="Times New Roman" w:hAnsi="Times New Roman" w:cs="Times New Roman"/>
          <w:sz w:val="28"/>
          <w:szCs w:val="28"/>
        </w:rPr>
        <w:t>проведення експертизи та</w:t>
      </w:r>
      <w:r w:rsidR="003130A4" w:rsidRPr="00872185">
        <w:rPr>
          <w:rFonts w:ascii="Times New Roman" w:hAnsi="Times New Roman" w:cs="Times New Roman"/>
          <w:sz w:val="28"/>
          <w:szCs w:val="28"/>
        </w:rPr>
        <w:t xml:space="preserve"> </w:t>
      </w:r>
      <w:r w:rsidR="00C7595F" w:rsidRPr="00872185">
        <w:rPr>
          <w:rFonts w:ascii="Times New Roman" w:hAnsi="Times New Roman" w:cs="Times New Roman"/>
          <w:sz w:val="28"/>
          <w:szCs w:val="28"/>
        </w:rPr>
        <w:t xml:space="preserve">затвердження освітніх </w:t>
      </w:r>
      <w:r w:rsidR="00B1027B" w:rsidRPr="00872185">
        <w:rPr>
          <w:rFonts w:ascii="Times New Roman" w:hAnsi="Times New Roman" w:cs="Times New Roman"/>
          <w:sz w:val="28"/>
          <w:szCs w:val="28"/>
        </w:rPr>
        <w:t xml:space="preserve">програм повної загальної </w:t>
      </w:r>
      <w:r w:rsidR="00C7595F" w:rsidRPr="00872185">
        <w:rPr>
          <w:rFonts w:ascii="Times New Roman" w:hAnsi="Times New Roman" w:cs="Times New Roman"/>
          <w:sz w:val="28"/>
          <w:szCs w:val="28"/>
        </w:rPr>
        <w:t xml:space="preserve">середньої освіти, </w:t>
      </w:r>
      <w:r w:rsidR="00C7595F" w:rsidRPr="00872185">
        <w:rPr>
          <w:rFonts w:ascii="Times New Roman" w:hAnsi="Times New Roman" w:cs="Times New Roman"/>
          <w:sz w:val="28"/>
          <w:szCs w:val="28"/>
        </w:rPr>
        <w:lastRenderedPageBreak/>
        <w:t>розроблених не на основі типових освітніх програм</w:t>
      </w:r>
      <w:r w:rsidR="003130A4" w:rsidRPr="00872185">
        <w:rPr>
          <w:rFonts w:ascii="Times New Roman" w:hAnsi="Times New Roman" w:cs="Times New Roman"/>
          <w:sz w:val="28"/>
          <w:szCs w:val="28"/>
        </w:rPr>
        <w:t xml:space="preserve"> </w:t>
      </w:r>
      <w:r w:rsidRPr="00872185">
        <w:rPr>
          <w:rFonts w:ascii="Times New Roman" w:hAnsi="Times New Roman" w:cs="Times New Roman"/>
          <w:sz w:val="28"/>
          <w:szCs w:val="28"/>
        </w:rPr>
        <w:t>Державною службою якості освіти України.</w:t>
      </w:r>
    </w:p>
    <w:p w:rsidR="00852A5E" w:rsidRPr="00852A5E" w:rsidRDefault="00852A5E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5E"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BE6576">
        <w:rPr>
          <w:rFonts w:ascii="Times New Roman" w:hAnsi="Times New Roman" w:cs="Times New Roman"/>
          <w:sz w:val="28"/>
          <w:szCs w:val="28"/>
        </w:rPr>
        <w:t>Проєкт</w:t>
      </w:r>
      <w:r w:rsidRPr="00852A5E">
        <w:rPr>
          <w:rFonts w:ascii="Times New Roman" w:hAnsi="Times New Roman" w:cs="Times New Roman"/>
          <w:sz w:val="28"/>
          <w:szCs w:val="28"/>
        </w:rPr>
        <w:t>у вплине на: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48"/>
        <w:gridCol w:w="3100"/>
        <w:gridCol w:w="3096"/>
      </w:tblGrid>
      <w:tr w:rsidR="00852A5E" w:rsidRPr="007B25F9" w:rsidTr="00835FD3">
        <w:tc>
          <w:tcPr>
            <w:tcW w:w="3148" w:type="dxa"/>
          </w:tcPr>
          <w:p w:rsidR="00852A5E" w:rsidRPr="007B25F9" w:rsidRDefault="00852A5E" w:rsidP="00852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Групи (підгрупи)</w:t>
            </w:r>
          </w:p>
        </w:tc>
        <w:tc>
          <w:tcPr>
            <w:tcW w:w="3100" w:type="dxa"/>
          </w:tcPr>
          <w:p w:rsidR="00852A5E" w:rsidRPr="007B25F9" w:rsidRDefault="00852A5E" w:rsidP="00852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</w:p>
        </w:tc>
        <w:tc>
          <w:tcPr>
            <w:tcW w:w="3096" w:type="dxa"/>
          </w:tcPr>
          <w:p w:rsidR="00852A5E" w:rsidRPr="007B25F9" w:rsidRDefault="00852A5E" w:rsidP="00852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  <w:tr w:rsidR="00852A5E" w:rsidRPr="007B25F9" w:rsidTr="00835FD3">
        <w:tc>
          <w:tcPr>
            <w:tcW w:w="3148" w:type="dxa"/>
          </w:tcPr>
          <w:p w:rsidR="00852A5E" w:rsidRPr="007B25F9" w:rsidRDefault="00852A5E" w:rsidP="00852A5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Громадяни</w:t>
            </w:r>
          </w:p>
        </w:tc>
        <w:tc>
          <w:tcPr>
            <w:tcW w:w="3100" w:type="dxa"/>
          </w:tcPr>
          <w:p w:rsidR="00852A5E" w:rsidRPr="00635A99" w:rsidRDefault="00852A5E" w:rsidP="00852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852A5E" w:rsidRPr="007B25F9" w:rsidRDefault="006C55F1" w:rsidP="00852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52A5E" w:rsidRPr="007B25F9" w:rsidTr="00835FD3">
        <w:tc>
          <w:tcPr>
            <w:tcW w:w="3148" w:type="dxa"/>
          </w:tcPr>
          <w:p w:rsidR="00852A5E" w:rsidRPr="007B25F9" w:rsidRDefault="00852A5E" w:rsidP="00852A5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Держава</w:t>
            </w:r>
          </w:p>
        </w:tc>
        <w:tc>
          <w:tcPr>
            <w:tcW w:w="3100" w:type="dxa"/>
          </w:tcPr>
          <w:p w:rsidR="00852A5E" w:rsidRPr="00635A99" w:rsidRDefault="00852A5E" w:rsidP="00852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852A5E" w:rsidRPr="007B25F9" w:rsidRDefault="006C55F1" w:rsidP="00852A5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852A5E" w:rsidRPr="007B25F9" w:rsidTr="00835FD3">
        <w:tc>
          <w:tcPr>
            <w:tcW w:w="3148" w:type="dxa"/>
          </w:tcPr>
          <w:p w:rsidR="00852A5E" w:rsidRPr="00835FD3" w:rsidRDefault="00852A5E" w:rsidP="00835FD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Суб’єкти господарювання</w:t>
            </w:r>
            <w:r w:rsidR="00835FD3" w:rsidRPr="00835FD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35FD3" w:rsidRPr="00835FD3">
              <w:rPr>
                <w:rFonts w:ascii="Times New Roman" w:hAnsi="Times New Roman" w:cs="Times New Roman"/>
                <w:sz w:val="24"/>
                <w:szCs w:val="28"/>
              </w:rPr>
              <w:t xml:space="preserve"> у тому числі суб’єкти малого підприємництва</w:t>
            </w:r>
          </w:p>
        </w:tc>
        <w:tc>
          <w:tcPr>
            <w:tcW w:w="3100" w:type="dxa"/>
          </w:tcPr>
          <w:p w:rsidR="00852A5E" w:rsidRPr="00835FD3" w:rsidRDefault="00852A5E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852A5E" w:rsidRPr="00835FD3" w:rsidRDefault="006C55F1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8C3293" w:rsidRDefault="008C3293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5F1" w:rsidRDefault="006C55F1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33B">
        <w:rPr>
          <w:rFonts w:ascii="Times New Roman" w:hAnsi="Times New Roman" w:cs="Times New Roman"/>
          <w:sz w:val="28"/>
          <w:szCs w:val="28"/>
        </w:rPr>
        <w:t xml:space="preserve">Метою прийняття наказу є </w:t>
      </w:r>
      <w:r w:rsidR="00C55CDC">
        <w:rPr>
          <w:rFonts w:ascii="Times New Roman" w:hAnsi="Times New Roman" w:cs="Times New Roman"/>
          <w:sz w:val="28"/>
          <w:szCs w:val="28"/>
        </w:rPr>
        <w:t>впровадження</w:t>
      </w:r>
      <w:r w:rsidRPr="00EE133B">
        <w:rPr>
          <w:rFonts w:ascii="Times New Roman" w:hAnsi="Times New Roman" w:cs="Times New Roman"/>
          <w:sz w:val="28"/>
          <w:szCs w:val="28"/>
        </w:rPr>
        <w:t xml:space="preserve"> правового регулювання </w:t>
      </w:r>
      <w:r>
        <w:rPr>
          <w:rFonts w:ascii="Times New Roman" w:hAnsi="Times New Roman" w:cs="Times New Roman"/>
          <w:sz w:val="28"/>
          <w:szCs w:val="28"/>
        </w:rPr>
        <w:t xml:space="preserve">процедури проведення експертизи і </w:t>
      </w:r>
      <w:r w:rsidRPr="00EE133B">
        <w:rPr>
          <w:rFonts w:ascii="Times New Roman" w:hAnsi="Times New Roman" w:cs="Times New Roman"/>
          <w:sz w:val="28"/>
          <w:szCs w:val="28"/>
        </w:rPr>
        <w:t xml:space="preserve">механізму </w:t>
      </w:r>
      <w:r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Pr="006C55F1">
        <w:rPr>
          <w:rFonts w:ascii="Times New Roman" w:hAnsi="Times New Roman" w:cs="Times New Roman"/>
          <w:sz w:val="28"/>
          <w:szCs w:val="28"/>
        </w:rPr>
        <w:t>освітніх програм повної загальної середньої освіти, розроблених не на основі типових освітніх програм</w:t>
      </w:r>
      <w:r w:rsidR="00C55C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надання можли</w:t>
      </w:r>
      <w:r w:rsidR="00F74F4C">
        <w:rPr>
          <w:rFonts w:ascii="Times New Roman" w:hAnsi="Times New Roman" w:cs="Times New Roman"/>
          <w:sz w:val="28"/>
          <w:szCs w:val="28"/>
        </w:rPr>
        <w:t xml:space="preserve">вості закладам </w:t>
      </w:r>
      <w:r>
        <w:rPr>
          <w:rFonts w:ascii="Times New Roman" w:hAnsi="Times New Roman" w:cs="Times New Roman"/>
          <w:sz w:val="28"/>
          <w:szCs w:val="28"/>
        </w:rPr>
        <w:t xml:space="preserve">освіти </w:t>
      </w:r>
      <w:r w:rsidRPr="00EE133B">
        <w:rPr>
          <w:rFonts w:ascii="Times New Roman" w:hAnsi="Times New Roman" w:cs="Times New Roman"/>
          <w:sz w:val="28"/>
          <w:szCs w:val="28"/>
        </w:rPr>
        <w:t>використ</w:t>
      </w:r>
      <w:r>
        <w:rPr>
          <w:rFonts w:ascii="Times New Roman" w:hAnsi="Times New Roman" w:cs="Times New Roman"/>
          <w:sz w:val="28"/>
          <w:szCs w:val="28"/>
        </w:rPr>
        <w:t>овувати</w:t>
      </w:r>
      <w:r w:rsidRPr="00EE133B">
        <w:rPr>
          <w:rFonts w:ascii="Times New Roman" w:hAnsi="Times New Roman" w:cs="Times New Roman"/>
          <w:sz w:val="28"/>
          <w:szCs w:val="28"/>
        </w:rPr>
        <w:t xml:space="preserve"> </w:t>
      </w:r>
      <w:r w:rsidR="00F74F4C">
        <w:rPr>
          <w:rFonts w:ascii="Times New Roman" w:hAnsi="Times New Roman" w:cs="Times New Roman"/>
          <w:sz w:val="28"/>
          <w:szCs w:val="28"/>
        </w:rPr>
        <w:t xml:space="preserve">ці </w:t>
      </w:r>
      <w:r>
        <w:rPr>
          <w:rFonts w:ascii="Times New Roman" w:hAnsi="Times New Roman" w:cs="Times New Roman"/>
          <w:sz w:val="28"/>
          <w:szCs w:val="28"/>
        </w:rPr>
        <w:t>освітні програми</w:t>
      </w:r>
      <w:r w:rsidRPr="00EE133B">
        <w:rPr>
          <w:rFonts w:ascii="Times New Roman" w:hAnsi="Times New Roman" w:cs="Times New Roman"/>
          <w:sz w:val="28"/>
          <w:szCs w:val="28"/>
        </w:rPr>
        <w:t xml:space="preserve"> в освітньому процесі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2A5E" w:rsidRPr="0042713A" w:rsidRDefault="00852A5E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</w:p>
    <w:p w:rsidR="00F74D6E" w:rsidRDefault="0042713A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Також ця п</w:t>
      </w:r>
      <w:r w:rsidR="00852A5E" w:rsidRPr="0042713A">
        <w:rPr>
          <w:rFonts w:ascii="Times New Roman" w:hAnsi="Times New Roman" w:cs="Times New Roman"/>
          <w:sz w:val="28"/>
          <w:szCs w:val="28"/>
        </w:rPr>
        <w:t>роблема не може бути розв’язана за допомогою діючих регуляторних актів, у зв’язку з тим, що на сьогодні відсутні регуляторні акти, які б вирішували зазначену проблему.</w:t>
      </w:r>
    </w:p>
    <w:p w:rsidR="008972E1" w:rsidRDefault="008972E1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4D6E" w:rsidRDefault="00F74D6E" w:rsidP="008972E1">
      <w:pPr>
        <w:pStyle w:val="1"/>
      </w:pPr>
      <w:bookmarkStart w:id="3" w:name="_Toc3536284"/>
      <w:r w:rsidRPr="00F74D6E">
        <w:t>II. Цілі державного регулювання</w:t>
      </w:r>
      <w:bookmarkEnd w:id="3"/>
    </w:p>
    <w:p w:rsidR="00FE7588" w:rsidRDefault="00FE7588" w:rsidP="00FE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A5E" w:rsidRPr="00852A5E" w:rsidRDefault="00852A5E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5E">
        <w:rPr>
          <w:rFonts w:ascii="Times New Roman" w:hAnsi="Times New Roman" w:cs="Times New Roman"/>
          <w:sz w:val="28"/>
          <w:szCs w:val="28"/>
        </w:rPr>
        <w:t xml:space="preserve">Основною ціллю державного регулювання запропонованого регуляторного </w:t>
      </w:r>
      <w:proofErr w:type="spellStart"/>
      <w:r w:rsidRPr="00852A5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852A5E">
        <w:rPr>
          <w:rFonts w:ascii="Times New Roman" w:hAnsi="Times New Roman" w:cs="Times New Roman"/>
          <w:sz w:val="28"/>
          <w:szCs w:val="28"/>
        </w:rPr>
        <w:t xml:space="preserve"> є забезпечення єдиного підходу і процедури встановлення відповідності</w:t>
      </w:r>
      <w:r w:rsidR="00654A92">
        <w:rPr>
          <w:rFonts w:ascii="Times New Roman" w:hAnsi="Times New Roman" w:cs="Times New Roman"/>
          <w:sz w:val="28"/>
          <w:szCs w:val="28"/>
        </w:rPr>
        <w:t xml:space="preserve"> </w:t>
      </w:r>
      <w:r w:rsidRPr="00852A5E">
        <w:rPr>
          <w:rFonts w:ascii="Times New Roman" w:hAnsi="Times New Roman" w:cs="Times New Roman"/>
          <w:sz w:val="28"/>
          <w:szCs w:val="28"/>
        </w:rPr>
        <w:t>освіт</w:t>
      </w:r>
      <w:r w:rsidR="00C53EDA">
        <w:rPr>
          <w:rFonts w:ascii="Times New Roman" w:hAnsi="Times New Roman" w:cs="Times New Roman"/>
          <w:sz w:val="28"/>
          <w:szCs w:val="28"/>
        </w:rPr>
        <w:t>ніх програм</w:t>
      </w:r>
      <w:r w:rsidR="00093029">
        <w:rPr>
          <w:rFonts w:ascii="Times New Roman" w:hAnsi="Times New Roman" w:cs="Times New Roman"/>
          <w:sz w:val="28"/>
          <w:szCs w:val="28"/>
        </w:rPr>
        <w:t>, розроблених не на основі типових освітніх програм</w:t>
      </w:r>
      <w:r w:rsidR="00654A92">
        <w:rPr>
          <w:rFonts w:ascii="Times New Roman" w:hAnsi="Times New Roman" w:cs="Times New Roman"/>
          <w:sz w:val="28"/>
          <w:szCs w:val="28"/>
        </w:rPr>
        <w:t xml:space="preserve"> вимогам</w:t>
      </w:r>
      <w:r w:rsidR="00C53EDA">
        <w:rPr>
          <w:rFonts w:ascii="Times New Roman" w:hAnsi="Times New Roman" w:cs="Times New Roman"/>
          <w:sz w:val="28"/>
          <w:szCs w:val="28"/>
        </w:rPr>
        <w:t xml:space="preserve"> </w:t>
      </w:r>
      <w:r w:rsidR="00184855">
        <w:rPr>
          <w:rFonts w:ascii="Times New Roman" w:hAnsi="Times New Roman" w:cs="Times New Roman"/>
          <w:sz w:val="28"/>
          <w:szCs w:val="28"/>
        </w:rPr>
        <w:t>Д</w:t>
      </w:r>
      <w:r w:rsidR="00C53EDA">
        <w:rPr>
          <w:rFonts w:ascii="Times New Roman" w:hAnsi="Times New Roman" w:cs="Times New Roman"/>
          <w:sz w:val="28"/>
          <w:szCs w:val="28"/>
        </w:rPr>
        <w:t>ержавн</w:t>
      </w:r>
      <w:r w:rsidR="00654A92">
        <w:rPr>
          <w:rFonts w:ascii="Times New Roman" w:hAnsi="Times New Roman" w:cs="Times New Roman"/>
          <w:sz w:val="28"/>
          <w:szCs w:val="28"/>
        </w:rPr>
        <w:t>ого</w:t>
      </w:r>
      <w:r w:rsidR="00C53EDA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654A92">
        <w:rPr>
          <w:rFonts w:ascii="Times New Roman" w:hAnsi="Times New Roman" w:cs="Times New Roman"/>
          <w:sz w:val="28"/>
          <w:szCs w:val="28"/>
        </w:rPr>
        <w:t>у відповідного рівня освіти</w:t>
      </w:r>
      <w:r w:rsidR="00184855">
        <w:rPr>
          <w:rFonts w:ascii="Times New Roman" w:hAnsi="Times New Roman" w:cs="Times New Roman"/>
          <w:sz w:val="28"/>
          <w:szCs w:val="28"/>
        </w:rPr>
        <w:t xml:space="preserve"> та механізму затвердження</w:t>
      </w:r>
      <w:r w:rsidRPr="00852A5E">
        <w:rPr>
          <w:rFonts w:ascii="Times New Roman" w:hAnsi="Times New Roman" w:cs="Times New Roman"/>
          <w:sz w:val="28"/>
          <w:szCs w:val="28"/>
        </w:rPr>
        <w:t>. Результатом затвердження зазначених програм є можливість використання їх у осві</w:t>
      </w:r>
      <w:r w:rsidR="00C53EDA">
        <w:rPr>
          <w:rFonts w:ascii="Times New Roman" w:hAnsi="Times New Roman" w:cs="Times New Roman"/>
          <w:sz w:val="28"/>
          <w:szCs w:val="28"/>
        </w:rPr>
        <w:t>тньому процесі заклад</w:t>
      </w:r>
      <w:r w:rsidR="002610AB">
        <w:rPr>
          <w:rFonts w:ascii="Times New Roman" w:hAnsi="Times New Roman" w:cs="Times New Roman"/>
          <w:sz w:val="28"/>
          <w:szCs w:val="28"/>
        </w:rPr>
        <w:t>ами</w:t>
      </w:r>
      <w:r w:rsidR="00C53EDA">
        <w:rPr>
          <w:rFonts w:ascii="Times New Roman" w:hAnsi="Times New Roman" w:cs="Times New Roman"/>
          <w:sz w:val="28"/>
          <w:szCs w:val="28"/>
        </w:rPr>
        <w:t xml:space="preserve"> </w:t>
      </w:r>
      <w:r w:rsidR="00184855">
        <w:rPr>
          <w:rFonts w:ascii="Times New Roman" w:hAnsi="Times New Roman" w:cs="Times New Roman"/>
          <w:sz w:val="28"/>
          <w:szCs w:val="28"/>
        </w:rPr>
        <w:t xml:space="preserve">повної </w:t>
      </w:r>
      <w:r w:rsidR="00093029">
        <w:rPr>
          <w:rFonts w:ascii="Times New Roman" w:hAnsi="Times New Roman" w:cs="Times New Roman"/>
          <w:sz w:val="28"/>
          <w:szCs w:val="28"/>
        </w:rPr>
        <w:t xml:space="preserve">загальної середньої </w:t>
      </w:r>
      <w:r w:rsidR="00C53EDA">
        <w:rPr>
          <w:rFonts w:ascii="Times New Roman" w:hAnsi="Times New Roman" w:cs="Times New Roman"/>
          <w:sz w:val="28"/>
          <w:szCs w:val="28"/>
        </w:rPr>
        <w:t>освіти.</w:t>
      </w:r>
    </w:p>
    <w:p w:rsidR="00F74D6E" w:rsidRDefault="00852A5E" w:rsidP="00852A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A5E">
        <w:rPr>
          <w:rFonts w:ascii="Times New Roman" w:hAnsi="Times New Roman" w:cs="Times New Roman"/>
          <w:sz w:val="28"/>
          <w:szCs w:val="28"/>
        </w:rPr>
        <w:t>У разі встановлення невідповідності освітніх програм</w:t>
      </w:r>
      <w:r w:rsidR="00093029">
        <w:rPr>
          <w:rFonts w:ascii="Times New Roman" w:hAnsi="Times New Roman" w:cs="Times New Roman"/>
          <w:sz w:val="28"/>
          <w:szCs w:val="28"/>
        </w:rPr>
        <w:t>, розроблених не на основі типових освітніх програм</w:t>
      </w:r>
      <w:r w:rsidRPr="00852A5E">
        <w:rPr>
          <w:rFonts w:ascii="Times New Roman" w:hAnsi="Times New Roman" w:cs="Times New Roman"/>
          <w:sz w:val="28"/>
          <w:szCs w:val="28"/>
        </w:rPr>
        <w:t xml:space="preserve"> </w:t>
      </w:r>
      <w:r w:rsidR="00184855">
        <w:rPr>
          <w:rFonts w:ascii="Times New Roman" w:hAnsi="Times New Roman" w:cs="Times New Roman"/>
          <w:sz w:val="28"/>
          <w:szCs w:val="28"/>
        </w:rPr>
        <w:t>Д</w:t>
      </w:r>
      <w:r w:rsidRPr="00852A5E">
        <w:rPr>
          <w:rFonts w:ascii="Times New Roman" w:hAnsi="Times New Roman" w:cs="Times New Roman"/>
          <w:sz w:val="28"/>
          <w:szCs w:val="28"/>
        </w:rPr>
        <w:t>ержавн</w:t>
      </w:r>
      <w:r w:rsidR="0012415B">
        <w:rPr>
          <w:rFonts w:ascii="Times New Roman" w:hAnsi="Times New Roman" w:cs="Times New Roman"/>
          <w:sz w:val="28"/>
          <w:szCs w:val="28"/>
        </w:rPr>
        <w:t>ому</w:t>
      </w:r>
      <w:r w:rsidRPr="00852A5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2415B">
        <w:rPr>
          <w:rFonts w:ascii="Times New Roman" w:hAnsi="Times New Roman" w:cs="Times New Roman"/>
          <w:sz w:val="28"/>
          <w:szCs w:val="28"/>
        </w:rPr>
        <w:t>у</w:t>
      </w:r>
      <w:r w:rsidR="00BE6576">
        <w:rPr>
          <w:rFonts w:ascii="Times New Roman" w:hAnsi="Times New Roman" w:cs="Times New Roman"/>
          <w:sz w:val="28"/>
          <w:szCs w:val="28"/>
        </w:rPr>
        <w:t xml:space="preserve"> відповідного</w:t>
      </w:r>
      <w:r w:rsidR="00B10AFE">
        <w:rPr>
          <w:rFonts w:ascii="Times New Roman" w:hAnsi="Times New Roman" w:cs="Times New Roman"/>
          <w:sz w:val="28"/>
          <w:szCs w:val="28"/>
        </w:rPr>
        <w:t xml:space="preserve"> рівня освіти</w:t>
      </w:r>
      <w:r w:rsidRPr="00852A5E">
        <w:rPr>
          <w:rFonts w:ascii="Times New Roman" w:hAnsi="Times New Roman" w:cs="Times New Roman"/>
          <w:sz w:val="28"/>
          <w:szCs w:val="28"/>
        </w:rPr>
        <w:t xml:space="preserve">, вони не підлягають затвердженню і як наслідок вони не </w:t>
      </w:r>
      <w:r w:rsidR="002610AB">
        <w:rPr>
          <w:rFonts w:ascii="Times New Roman" w:hAnsi="Times New Roman" w:cs="Times New Roman"/>
          <w:sz w:val="28"/>
          <w:szCs w:val="28"/>
        </w:rPr>
        <w:t xml:space="preserve">можуть </w:t>
      </w:r>
      <w:r w:rsidRPr="00852A5E">
        <w:rPr>
          <w:rFonts w:ascii="Times New Roman" w:hAnsi="Times New Roman" w:cs="Times New Roman"/>
          <w:sz w:val="28"/>
          <w:szCs w:val="28"/>
        </w:rPr>
        <w:t>використову</w:t>
      </w:r>
      <w:r w:rsidR="00BE0639">
        <w:rPr>
          <w:rFonts w:ascii="Times New Roman" w:hAnsi="Times New Roman" w:cs="Times New Roman"/>
          <w:sz w:val="28"/>
          <w:szCs w:val="28"/>
        </w:rPr>
        <w:t>вати</w:t>
      </w:r>
      <w:r w:rsidRPr="00852A5E">
        <w:rPr>
          <w:rFonts w:ascii="Times New Roman" w:hAnsi="Times New Roman" w:cs="Times New Roman"/>
          <w:sz w:val="28"/>
          <w:szCs w:val="28"/>
        </w:rPr>
        <w:t xml:space="preserve">ся в </w:t>
      </w:r>
      <w:r w:rsidR="00BE0639">
        <w:rPr>
          <w:rFonts w:ascii="Times New Roman" w:hAnsi="Times New Roman" w:cs="Times New Roman"/>
          <w:sz w:val="28"/>
          <w:szCs w:val="28"/>
        </w:rPr>
        <w:t>закладах повної загальної середньої освіти</w:t>
      </w:r>
      <w:r w:rsidRPr="00852A5E">
        <w:rPr>
          <w:rFonts w:ascii="Times New Roman" w:hAnsi="Times New Roman" w:cs="Times New Roman"/>
          <w:sz w:val="28"/>
          <w:szCs w:val="28"/>
        </w:rPr>
        <w:t>.</w:t>
      </w:r>
    </w:p>
    <w:p w:rsidR="005E2118" w:rsidRDefault="005E2118" w:rsidP="005B437D">
      <w:pPr>
        <w:pStyle w:val="1"/>
      </w:pPr>
      <w:bookmarkStart w:id="4" w:name="_Toc3536285"/>
    </w:p>
    <w:p w:rsidR="00F74D6E" w:rsidRDefault="00F74D6E" w:rsidP="005B437D">
      <w:pPr>
        <w:pStyle w:val="1"/>
      </w:pPr>
      <w:r w:rsidRPr="00F74D6E">
        <w:t>III. Визначення та оцінка альтернативних способів досягнення цілей</w:t>
      </w:r>
      <w:bookmarkEnd w:id="4"/>
    </w:p>
    <w:p w:rsidR="005B437D" w:rsidRDefault="005B437D" w:rsidP="005B437D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</w:rPr>
      </w:pPr>
    </w:p>
    <w:p w:rsidR="000D0EC3" w:rsidRPr="0030560F" w:rsidRDefault="000D0EC3" w:rsidP="005B437D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</w:rPr>
      </w:pPr>
      <w:r w:rsidRPr="0030560F">
        <w:rPr>
          <w:b/>
          <w:color w:val="000000"/>
          <w:sz w:val="28"/>
        </w:rPr>
        <w:t>1. Визначення альтернативних способів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0D0EC3" w:rsidRPr="00BF1225" w:rsidTr="000D0EC3">
        <w:tc>
          <w:tcPr>
            <w:tcW w:w="4785" w:type="dxa"/>
          </w:tcPr>
          <w:p w:rsidR="000D0EC3" w:rsidRPr="00BF1225" w:rsidRDefault="000D0EC3" w:rsidP="00305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Вид альтернативи</w:t>
            </w:r>
          </w:p>
        </w:tc>
        <w:tc>
          <w:tcPr>
            <w:tcW w:w="4785" w:type="dxa"/>
          </w:tcPr>
          <w:p w:rsidR="000D0EC3" w:rsidRPr="00BF1225" w:rsidRDefault="000D0EC3" w:rsidP="003056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Опис альтернативи</w:t>
            </w:r>
          </w:p>
        </w:tc>
      </w:tr>
      <w:tr w:rsidR="000D0EC3" w:rsidRPr="00BF1225" w:rsidTr="000D0EC3">
        <w:tc>
          <w:tcPr>
            <w:tcW w:w="4785" w:type="dxa"/>
          </w:tcPr>
          <w:p w:rsidR="0030560F" w:rsidRPr="00BF1225" w:rsidRDefault="000D0EC3" w:rsidP="00B10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Альтернатива 1</w:t>
            </w:r>
          </w:p>
        </w:tc>
        <w:tc>
          <w:tcPr>
            <w:tcW w:w="4785" w:type="dxa"/>
          </w:tcPr>
          <w:p w:rsidR="000D0EC3" w:rsidRPr="00BF1225" w:rsidRDefault="0030560F" w:rsidP="0009302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Відсутність на державному рівні порядку </w:t>
            </w:r>
            <w:r w:rsidR="00E9642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експертизи та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освітніх </w:t>
            </w:r>
            <w:r w:rsidR="00B1027B">
              <w:rPr>
                <w:rFonts w:ascii="Times New Roman" w:hAnsi="Times New Roman" w:cs="Times New Roman"/>
                <w:sz w:val="24"/>
                <w:szCs w:val="24"/>
              </w:rPr>
              <w:t xml:space="preserve">програм повної загальної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середньої освіти</w:t>
            </w:r>
            <w:r w:rsidR="00093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3029" w:rsidRPr="00093029">
              <w:rPr>
                <w:rFonts w:ascii="Times New Roman" w:hAnsi="Times New Roman" w:cs="Times New Roman"/>
                <w:sz w:val="24"/>
                <w:szCs w:val="24"/>
              </w:rPr>
              <w:t>розроблених не на основі типових освітніх програм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призведе до порушення вимог законодавства, що регулює питання у сфері освіти.</w:t>
            </w:r>
          </w:p>
        </w:tc>
      </w:tr>
      <w:tr w:rsidR="000D0EC3" w:rsidRPr="00BF1225" w:rsidTr="000D0EC3">
        <w:tc>
          <w:tcPr>
            <w:tcW w:w="4785" w:type="dxa"/>
          </w:tcPr>
          <w:p w:rsidR="0030560F" w:rsidRPr="00BF1225" w:rsidRDefault="000D0EC3" w:rsidP="00E96422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Альтернатива 2</w:t>
            </w:r>
          </w:p>
        </w:tc>
        <w:tc>
          <w:tcPr>
            <w:tcW w:w="4785" w:type="dxa"/>
          </w:tcPr>
          <w:p w:rsidR="000D0EC3" w:rsidRPr="00BF1225" w:rsidRDefault="00635A99" w:rsidP="00F74F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Забезпечує досягнення цілей. Сприятиме реалізації засад державної політики у сфері освіти та принципів освітньої діяльності. Дозволить запровадити в Україні єдин</w:t>
            </w:r>
            <w:r w:rsidR="00E964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422">
              <w:rPr>
                <w:rFonts w:ascii="Times New Roman" w:hAnsi="Times New Roman" w:cs="Times New Roman"/>
                <w:sz w:val="24"/>
                <w:szCs w:val="24"/>
              </w:rPr>
              <w:t xml:space="preserve">процедуру проведення експертизи та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механізм затвердження освітніх </w:t>
            </w:r>
            <w:r w:rsidR="00B1027B">
              <w:rPr>
                <w:rFonts w:ascii="Times New Roman" w:hAnsi="Times New Roman" w:cs="Times New Roman"/>
                <w:sz w:val="24"/>
                <w:szCs w:val="24"/>
              </w:rPr>
              <w:t xml:space="preserve">програм повної загальної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="00093029">
              <w:rPr>
                <w:rFonts w:ascii="Times New Roman" w:hAnsi="Times New Roman" w:cs="Times New Roman"/>
                <w:sz w:val="24"/>
                <w:szCs w:val="24"/>
              </w:rPr>
              <w:t xml:space="preserve">редньої освіти, </w:t>
            </w:r>
            <w:r w:rsidR="00093029" w:rsidRPr="00093029">
              <w:rPr>
                <w:rFonts w:ascii="Times New Roman" w:hAnsi="Times New Roman" w:cs="Times New Roman"/>
                <w:sz w:val="24"/>
                <w:szCs w:val="24"/>
              </w:rPr>
              <w:t>розроблених не на основі типових освітніх програм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та можлив</w:t>
            </w:r>
            <w:r w:rsidR="00E9642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964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заклад</w:t>
            </w:r>
            <w:r w:rsidR="00E964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освіти </w:t>
            </w:r>
            <w:r w:rsidR="00E96422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r w:rsidR="00F74F4C">
              <w:rPr>
                <w:rFonts w:ascii="Times New Roman" w:hAnsi="Times New Roman" w:cs="Times New Roman"/>
                <w:sz w:val="24"/>
                <w:szCs w:val="24"/>
              </w:rPr>
              <w:t xml:space="preserve"> такі</w:t>
            </w:r>
            <w:r w:rsidR="005736E6">
              <w:rPr>
                <w:rFonts w:ascii="Times New Roman" w:hAnsi="Times New Roman" w:cs="Times New Roman"/>
                <w:sz w:val="24"/>
                <w:szCs w:val="24"/>
              </w:rPr>
              <w:t xml:space="preserve"> освітні програми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0EC3" w:rsidRDefault="000D0EC3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0EC3" w:rsidRPr="0030560F" w:rsidRDefault="000D0EC3" w:rsidP="00635A9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560F">
        <w:rPr>
          <w:rFonts w:ascii="Times New Roman" w:hAnsi="Times New Roman" w:cs="Times New Roman"/>
          <w:b/>
          <w:sz w:val="28"/>
          <w:szCs w:val="28"/>
        </w:rPr>
        <w:t>2. Оцінка вибраних альтернативних способів досягнення цілей</w:t>
      </w:r>
    </w:p>
    <w:p w:rsidR="00FE7588" w:rsidRDefault="00FE7588" w:rsidP="00FE75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67F" w:rsidRDefault="00C5567F" w:rsidP="00FE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7F">
        <w:rPr>
          <w:rFonts w:ascii="Times New Roman" w:hAnsi="Times New Roman" w:cs="Times New Roman"/>
          <w:sz w:val="28"/>
          <w:szCs w:val="28"/>
        </w:rPr>
        <w:t xml:space="preserve">Дія </w:t>
      </w:r>
      <w:r w:rsidR="00BE6576">
        <w:rPr>
          <w:rFonts w:ascii="Times New Roman" w:hAnsi="Times New Roman" w:cs="Times New Roman"/>
          <w:sz w:val="28"/>
          <w:szCs w:val="28"/>
        </w:rPr>
        <w:t>проєкт</w:t>
      </w:r>
      <w:r w:rsidRPr="00C5567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5567F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C5567F">
        <w:rPr>
          <w:rFonts w:ascii="Times New Roman" w:hAnsi="Times New Roman" w:cs="Times New Roman"/>
          <w:sz w:val="28"/>
          <w:szCs w:val="28"/>
        </w:rPr>
        <w:t xml:space="preserve"> </w:t>
      </w:r>
      <w:r w:rsidR="00B10AFE">
        <w:rPr>
          <w:rFonts w:ascii="Times New Roman" w:hAnsi="Times New Roman" w:cs="Times New Roman"/>
          <w:sz w:val="28"/>
          <w:szCs w:val="28"/>
        </w:rPr>
        <w:t xml:space="preserve">буде </w:t>
      </w:r>
      <w:r w:rsidRPr="00C5567F">
        <w:rPr>
          <w:rFonts w:ascii="Times New Roman" w:hAnsi="Times New Roman" w:cs="Times New Roman"/>
          <w:sz w:val="28"/>
          <w:szCs w:val="28"/>
        </w:rPr>
        <w:t xml:space="preserve">поширюватися на заклади освіти, наукові установи та інших суб'єктів освітньої діяльності, які виступають в якості розробників освітніх програм </w:t>
      </w:r>
      <w:r w:rsidR="00B1027B">
        <w:rPr>
          <w:rFonts w:ascii="Times New Roman" w:hAnsi="Times New Roman" w:cs="Times New Roman"/>
          <w:sz w:val="28"/>
          <w:szCs w:val="28"/>
        </w:rPr>
        <w:t xml:space="preserve">повної загальної </w:t>
      </w:r>
      <w:r w:rsidR="00093029">
        <w:rPr>
          <w:rFonts w:ascii="Times New Roman" w:hAnsi="Times New Roman" w:cs="Times New Roman"/>
          <w:sz w:val="28"/>
          <w:szCs w:val="28"/>
        </w:rPr>
        <w:t xml:space="preserve">середньої освіти, </w:t>
      </w:r>
      <w:r w:rsidR="00093029" w:rsidRPr="00093029">
        <w:rPr>
          <w:rFonts w:ascii="Times New Roman" w:hAnsi="Times New Roman" w:cs="Times New Roman"/>
          <w:sz w:val="28"/>
          <w:szCs w:val="28"/>
        </w:rPr>
        <w:t>розроблених не на основі типових освітніх програм</w:t>
      </w:r>
      <w:r w:rsidR="00B10AFE">
        <w:rPr>
          <w:rFonts w:ascii="Times New Roman" w:hAnsi="Times New Roman" w:cs="Times New Roman"/>
          <w:sz w:val="28"/>
          <w:szCs w:val="28"/>
        </w:rPr>
        <w:t>.</w:t>
      </w:r>
    </w:p>
    <w:p w:rsidR="00C5567F" w:rsidRDefault="00C5567F" w:rsidP="00635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0B0" w:rsidRDefault="00AC5E69" w:rsidP="005E2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E69">
        <w:rPr>
          <w:rFonts w:ascii="Times New Roman" w:hAnsi="Times New Roman" w:cs="Times New Roman"/>
          <w:sz w:val="28"/>
          <w:szCs w:val="28"/>
        </w:rPr>
        <w:t>Оцінка впливу на сферу інтересів держави</w:t>
      </w:r>
    </w:p>
    <w:p w:rsidR="005E2118" w:rsidRDefault="005E2118" w:rsidP="00635A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4"/>
        <w:gridCol w:w="3466"/>
        <w:gridCol w:w="2994"/>
      </w:tblGrid>
      <w:tr w:rsidR="000D0EC3" w:rsidRPr="007B25F9" w:rsidTr="005736E6">
        <w:tc>
          <w:tcPr>
            <w:tcW w:w="2943" w:type="dxa"/>
          </w:tcPr>
          <w:p w:rsidR="000D0EC3" w:rsidRPr="007B25F9" w:rsidRDefault="008500B0" w:rsidP="008500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544" w:type="dxa"/>
          </w:tcPr>
          <w:p w:rsidR="000D0EC3" w:rsidRPr="007B25F9" w:rsidRDefault="008500B0" w:rsidP="008500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3083" w:type="dxa"/>
          </w:tcPr>
          <w:p w:rsidR="000D0EC3" w:rsidRPr="007B25F9" w:rsidRDefault="008500B0" w:rsidP="008500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0D0EC3" w:rsidRPr="007B25F9" w:rsidTr="005736E6">
        <w:tc>
          <w:tcPr>
            <w:tcW w:w="2943" w:type="dxa"/>
          </w:tcPr>
          <w:p w:rsidR="000D0EC3" w:rsidRPr="007B25F9" w:rsidRDefault="008500B0" w:rsidP="00F74D6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544" w:type="dxa"/>
          </w:tcPr>
          <w:p w:rsidR="000D0EC3" w:rsidRPr="007B25F9" w:rsidRDefault="00C5567F" w:rsidP="005E2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3083" w:type="dxa"/>
          </w:tcPr>
          <w:p w:rsidR="000D0EC3" w:rsidRPr="007B25F9" w:rsidRDefault="00C5567F" w:rsidP="005E2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  <w:tr w:rsidR="000D0EC3" w:rsidRPr="007B25F9" w:rsidTr="005736E6">
        <w:tc>
          <w:tcPr>
            <w:tcW w:w="2943" w:type="dxa"/>
          </w:tcPr>
          <w:p w:rsidR="000D0EC3" w:rsidRPr="007B25F9" w:rsidRDefault="008500B0" w:rsidP="00F74D6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3544" w:type="dxa"/>
            <w:shd w:val="clear" w:color="auto" w:fill="auto"/>
          </w:tcPr>
          <w:p w:rsidR="000D0EC3" w:rsidRPr="007B25F9" w:rsidRDefault="00C5567F" w:rsidP="005E21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3293">
              <w:rPr>
                <w:rFonts w:ascii="Times New Roman" w:hAnsi="Times New Roman" w:cs="Times New Roman"/>
                <w:sz w:val="24"/>
                <w:szCs w:val="28"/>
              </w:rPr>
              <w:t>Запровад</w:t>
            </w:r>
            <w:r w:rsidR="005E2118">
              <w:rPr>
                <w:rFonts w:ascii="Times New Roman" w:hAnsi="Times New Roman" w:cs="Times New Roman"/>
                <w:sz w:val="24"/>
                <w:szCs w:val="28"/>
              </w:rPr>
              <w:t>ження</w:t>
            </w:r>
            <w:r w:rsidR="00E96422">
              <w:rPr>
                <w:rFonts w:ascii="Times New Roman" w:hAnsi="Times New Roman" w:cs="Times New Roman"/>
                <w:sz w:val="24"/>
                <w:szCs w:val="28"/>
              </w:rPr>
              <w:t xml:space="preserve"> процедур</w:t>
            </w:r>
            <w:r w:rsidR="005E211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E96422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проведення експертизи та </w:t>
            </w:r>
            <w:r w:rsidRPr="008C3293">
              <w:rPr>
                <w:rFonts w:ascii="Times New Roman" w:hAnsi="Times New Roman" w:cs="Times New Roman"/>
                <w:sz w:val="24"/>
                <w:szCs w:val="28"/>
              </w:rPr>
              <w:t>механізм</w:t>
            </w:r>
            <w:r w:rsidR="005E211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C3293">
              <w:rPr>
                <w:rFonts w:ascii="Times New Roman" w:hAnsi="Times New Roman" w:cs="Times New Roman"/>
                <w:sz w:val="24"/>
                <w:szCs w:val="28"/>
              </w:rPr>
              <w:t xml:space="preserve"> затвердження освітніх </w:t>
            </w:r>
            <w:r w:rsidR="00B1027B">
              <w:rPr>
                <w:rFonts w:ascii="Times New Roman" w:hAnsi="Times New Roman" w:cs="Times New Roman"/>
                <w:sz w:val="24"/>
                <w:szCs w:val="28"/>
              </w:rPr>
              <w:t xml:space="preserve">програм повної загальної </w:t>
            </w:r>
            <w:r w:rsidRPr="008C3293">
              <w:rPr>
                <w:rFonts w:ascii="Times New Roman" w:hAnsi="Times New Roman" w:cs="Times New Roman"/>
                <w:sz w:val="24"/>
                <w:szCs w:val="28"/>
              </w:rPr>
              <w:t>середньої освіти</w:t>
            </w:r>
            <w:r w:rsidR="0009302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093029" w:rsidRPr="00093029">
              <w:rPr>
                <w:rFonts w:ascii="Times New Roman" w:hAnsi="Times New Roman" w:cs="Times New Roman"/>
                <w:sz w:val="24"/>
                <w:szCs w:val="28"/>
              </w:rPr>
              <w:t>розроблених не на основі типових освітніх програм</w:t>
            </w:r>
            <w:r w:rsidR="005E2118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8C329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="005E2118" w:rsidRPr="008C3293">
              <w:rPr>
                <w:rFonts w:ascii="Times New Roman" w:hAnsi="Times New Roman" w:cs="Times New Roman"/>
                <w:sz w:val="24"/>
                <w:szCs w:val="28"/>
              </w:rPr>
              <w:t>над</w:t>
            </w:r>
            <w:r w:rsidR="005E2118"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proofErr w:type="spellEnd"/>
            <w:r w:rsidR="005E211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C3293">
              <w:rPr>
                <w:rFonts w:ascii="Times New Roman" w:hAnsi="Times New Roman" w:cs="Times New Roman"/>
                <w:sz w:val="24"/>
                <w:szCs w:val="28"/>
              </w:rPr>
              <w:t>можлив</w:t>
            </w:r>
            <w:r w:rsidR="00B10AFE">
              <w:rPr>
                <w:rFonts w:ascii="Times New Roman" w:hAnsi="Times New Roman" w:cs="Times New Roman"/>
                <w:sz w:val="24"/>
                <w:szCs w:val="28"/>
              </w:rPr>
              <w:t>ість</w:t>
            </w:r>
            <w:r w:rsidRPr="008C3293">
              <w:rPr>
                <w:rFonts w:ascii="Times New Roman" w:hAnsi="Times New Roman" w:cs="Times New Roman"/>
                <w:sz w:val="24"/>
                <w:szCs w:val="28"/>
              </w:rPr>
              <w:t xml:space="preserve"> закладам освіти </w:t>
            </w:r>
            <w:r w:rsidR="005E2118">
              <w:rPr>
                <w:rFonts w:ascii="Times New Roman" w:hAnsi="Times New Roman" w:cs="Times New Roman"/>
                <w:sz w:val="24"/>
                <w:szCs w:val="28"/>
              </w:rPr>
              <w:t>впроваджувати освітню діяльність відповідно до запитів здобувачів освіти</w:t>
            </w:r>
            <w:r w:rsidR="005736E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083" w:type="dxa"/>
          </w:tcPr>
          <w:p w:rsidR="000D0EC3" w:rsidRPr="007B25F9" w:rsidRDefault="00C5567F" w:rsidP="005E2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</w:tbl>
    <w:p w:rsidR="00F74F4C" w:rsidRDefault="00F74F4C" w:rsidP="008C3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A97" w:rsidRDefault="002F3A97" w:rsidP="008C3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A97">
        <w:rPr>
          <w:rFonts w:ascii="Times New Roman" w:hAnsi="Times New Roman" w:cs="Times New Roman"/>
          <w:sz w:val="28"/>
          <w:szCs w:val="28"/>
        </w:rPr>
        <w:t>Вибір Альтернативи 1 не сприятиме вирішенню проблеми, що існує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A97">
        <w:rPr>
          <w:rFonts w:ascii="Times New Roman" w:hAnsi="Times New Roman" w:cs="Times New Roman"/>
          <w:sz w:val="28"/>
          <w:szCs w:val="28"/>
        </w:rPr>
        <w:t xml:space="preserve">сьогодні, щодо </w:t>
      </w:r>
      <w:r w:rsidR="002D1F58" w:rsidRPr="002D1F58">
        <w:rPr>
          <w:rFonts w:ascii="Times New Roman" w:hAnsi="Times New Roman" w:cs="Times New Roman"/>
          <w:sz w:val="28"/>
          <w:szCs w:val="28"/>
        </w:rPr>
        <w:t xml:space="preserve">можливості впровадження освітніх програм, що </w:t>
      </w:r>
      <w:r w:rsidR="00093029">
        <w:rPr>
          <w:rFonts w:ascii="Times New Roman" w:hAnsi="Times New Roman" w:cs="Times New Roman"/>
          <w:sz w:val="28"/>
          <w:szCs w:val="28"/>
        </w:rPr>
        <w:t>розроблені не на основі типових освітніх програм</w:t>
      </w:r>
      <w:r w:rsidR="005736E6">
        <w:rPr>
          <w:rFonts w:ascii="Times New Roman" w:hAnsi="Times New Roman" w:cs="Times New Roman"/>
          <w:sz w:val="28"/>
          <w:szCs w:val="28"/>
        </w:rPr>
        <w:t xml:space="preserve"> в освітній процес</w:t>
      </w:r>
      <w:r w:rsidR="00F74F4C">
        <w:rPr>
          <w:rFonts w:ascii="Times New Roman" w:hAnsi="Times New Roman" w:cs="Times New Roman"/>
          <w:sz w:val="28"/>
          <w:szCs w:val="28"/>
        </w:rPr>
        <w:t xml:space="preserve"> закладів освіти</w:t>
      </w:r>
      <w:r w:rsidR="002D1F58">
        <w:rPr>
          <w:rFonts w:ascii="Times New Roman" w:hAnsi="Times New Roman" w:cs="Times New Roman"/>
          <w:sz w:val="28"/>
          <w:szCs w:val="28"/>
        </w:rPr>
        <w:t>.</w:t>
      </w:r>
    </w:p>
    <w:p w:rsidR="002D1F58" w:rsidRDefault="002D1F58" w:rsidP="008C32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F58">
        <w:rPr>
          <w:rFonts w:ascii="Times New Roman" w:hAnsi="Times New Roman" w:cs="Times New Roman"/>
          <w:sz w:val="28"/>
          <w:szCs w:val="28"/>
        </w:rPr>
        <w:t>Вибір Альтернативи 2 забезпечить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2D1F58">
        <w:rPr>
          <w:rFonts w:ascii="Times New Roman" w:hAnsi="Times New Roman" w:cs="Times New Roman"/>
          <w:sz w:val="28"/>
          <w:szCs w:val="28"/>
        </w:rPr>
        <w:t>апровад</w:t>
      </w:r>
      <w:r w:rsidR="000F6327">
        <w:rPr>
          <w:rFonts w:ascii="Times New Roman" w:hAnsi="Times New Roman" w:cs="Times New Roman"/>
          <w:sz w:val="28"/>
          <w:szCs w:val="28"/>
        </w:rPr>
        <w:t>ження</w:t>
      </w:r>
      <w:r w:rsidRPr="002D1F58">
        <w:rPr>
          <w:rFonts w:ascii="Times New Roman" w:hAnsi="Times New Roman" w:cs="Times New Roman"/>
          <w:sz w:val="28"/>
          <w:szCs w:val="28"/>
        </w:rPr>
        <w:t xml:space="preserve"> в Україні </w:t>
      </w:r>
      <w:r w:rsidR="005736E6">
        <w:rPr>
          <w:rFonts w:ascii="Times New Roman" w:hAnsi="Times New Roman" w:cs="Times New Roman"/>
          <w:sz w:val="28"/>
          <w:szCs w:val="28"/>
        </w:rPr>
        <w:t>процедур</w:t>
      </w:r>
      <w:r w:rsidR="007A4085">
        <w:rPr>
          <w:rFonts w:ascii="Times New Roman" w:hAnsi="Times New Roman" w:cs="Times New Roman"/>
          <w:sz w:val="28"/>
          <w:szCs w:val="28"/>
        </w:rPr>
        <w:t>и</w:t>
      </w:r>
      <w:r w:rsidR="005736E6">
        <w:rPr>
          <w:rFonts w:ascii="Times New Roman" w:hAnsi="Times New Roman" w:cs="Times New Roman"/>
          <w:sz w:val="28"/>
          <w:szCs w:val="28"/>
        </w:rPr>
        <w:t xml:space="preserve"> проведення експертизи та</w:t>
      </w:r>
      <w:r w:rsidRPr="002D1F58">
        <w:rPr>
          <w:rFonts w:ascii="Times New Roman" w:hAnsi="Times New Roman" w:cs="Times New Roman"/>
          <w:sz w:val="28"/>
          <w:szCs w:val="28"/>
        </w:rPr>
        <w:t xml:space="preserve"> механізм</w:t>
      </w:r>
      <w:r w:rsidR="00184855">
        <w:rPr>
          <w:rFonts w:ascii="Times New Roman" w:hAnsi="Times New Roman" w:cs="Times New Roman"/>
          <w:sz w:val="28"/>
          <w:szCs w:val="28"/>
        </w:rPr>
        <w:t>у</w:t>
      </w:r>
      <w:r w:rsidRPr="002D1F58">
        <w:rPr>
          <w:rFonts w:ascii="Times New Roman" w:hAnsi="Times New Roman" w:cs="Times New Roman"/>
          <w:sz w:val="28"/>
          <w:szCs w:val="28"/>
        </w:rPr>
        <w:t xml:space="preserve"> затвердження освітніх </w:t>
      </w:r>
      <w:r w:rsidR="00B1027B">
        <w:rPr>
          <w:rFonts w:ascii="Times New Roman" w:hAnsi="Times New Roman" w:cs="Times New Roman"/>
          <w:sz w:val="28"/>
          <w:szCs w:val="28"/>
        </w:rPr>
        <w:t xml:space="preserve">програм повної загальної </w:t>
      </w:r>
      <w:r w:rsidR="00093029">
        <w:rPr>
          <w:rFonts w:ascii="Times New Roman" w:hAnsi="Times New Roman" w:cs="Times New Roman"/>
          <w:sz w:val="28"/>
          <w:szCs w:val="28"/>
        </w:rPr>
        <w:t>середньої освіти, розроблених не на основі типових освітніх програм</w:t>
      </w:r>
      <w:r w:rsidR="005736E6">
        <w:rPr>
          <w:rFonts w:ascii="Times New Roman" w:hAnsi="Times New Roman" w:cs="Times New Roman"/>
          <w:sz w:val="28"/>
          <w:szCs w:val="28"/>
        </w:rPr>
        <w:t>.</w:t>
      </w:r>
    </w:p>
    <w:p w:rsidR="00792ECF" w:rsidRDefault="00792ECF" w:rsidP="008C329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C5E69" w:rsidRDefault="00AC5E69" w:rsidP="005E2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FAE">
        <w:rPr>
          <w:rFonts w:ascii="Times New Roman" w:hAnsi="Times New Roman" w:cs="Times New Roman"/>
          <w:sz w:val="28"/>
          <w:szCs w:val="28"/>
        </w:rPr>
        <w:t>Оцінка впливу на сферу інтересів громадян</w:t>
      </w:r>
    </w:p>
    <w:p w:rsidR="005E2118" w:rsidRPr="00257FAE" w:rsidRDefault="005E2118" w:rsidP="005E2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099"/>
      </w:tblGrid>
      <w:tr w:rsidR="00AC5E69" w:rsidRPr="00257FAE" w:rsidTr="006E3EA1">
        <w:tc>
          <w:tcPr>
            <w:tcW w:w="3190" w:type="dxa"/>
          </w:tcPr>
          <w:p w:rsidR="00AC5E69" w:rsidRPr="00257FAE" w:rsidRDefault="00AC5E69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190" w:type="dxa"/>
          </w:tcPr>
          <w:p w:rsidR="00AC5E69" w:rsidRPr="00257FAE" w:rsidRDefault="00AC5E69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3190" w:type="dxa"/>
          </w:tcPr>
          <w:p w:rsidR="00AC5E69" w:rsidRPr="00257FAE" w:rsidRDefault="00AC5E69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AC5E69" w:rsidRPr="00257FAE" w:rsidTr="006E3EA1">
        <w:tc>
          <w:tcPr>
            <w:tcW w:w="3190" w:type="dxa"/>
          </w:tcPr>
          <w:p w:rsidR="00AC5E69" w:rsidRPr="00257FAE" w:rsidRDefault="00AC5E69" w:rsidP="006E3E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190" w:type="dxa"/>
          </w:tcPr>
          <w:p w:rsidR="00AC5E69" w:rsidRPr="00257FAE" w:rsidRDefault="00792ECF" w:rsidP="005E2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3190" w:type="dxa"/>
          </w:tcPr>
          <w:p w:rsidR="00AC5E69" w:rsidRPr="00257FAE" w:rsidRDefault="00792ECF" w:rsidP="005E2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  <w:tr w:rsidR="00AC5E69" w:rsidRPr="007B25F9" w:rsidTr="006E3EA1">
        <w:tc>
          <w:tcPr>
            <w:tcW w:w="3190" w:type="dxa"/>
          </w:tcPr>
          <w:p w:rsidR="00AC5E69" w:rsidRPr="00257FAE" w:rsidRDefault="00AC5E69" w:rsidP="006E3E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3190" w:type="dxa"/>
          </w:tcPr>
          <w:p w:rsidR="00AC5E69" w:rsidRPr="00257FAE" w:rsidRDefault="00257FAE" w:rsidP="009A069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Сприятиме </w:t>
            </w:r>
            <w:r w:rsidR="00F74F4C">
              <w:rPr>
                <w:rFonts w:ascii="Times New Roman" w:hAnsi="Times New Roman" w:cs="Times New Roman"/>
                <w:sz w:val="24"/>
                <w:szCs w:val="28"/>
              </w:rPr>
              <w:t xml:space="preserve">забезпеченню </w:t>
            </w:r>
            <w:r w:rsidR="009A069B">
              <w:rPr>
                <w:rFonts w:ascii="Times New Roman" w:hAnsi="Times New Roman" w:cs="Times New Roman"/>
                <w:sz w:val="24"/>
                <w:szCs w:val="28"/>
              </w:rPr>
              <w:t>академічної</w:t>
            </w:r>
            <w:r w:rsidR="009A069B" w:rsidRPr="009A069B">
              <w:rPr>
                <w:rFonts w:ascii="Times New Roman" w:hAnsi="Times New Roman" w:cs="Times New Roman"/>
                <w:sz w:val="24"/>
                <w:szCs w:val="28"/>
              </w:rPr>
              <w:t xml:space="preserve"> свобод</w:t>
            </w:r>
            <w:r w:rsidR="009A069B">
              <w:rPr>
                <w:rFonts w:ascii="Times New Roman" w:hAnsi="Times New Roman" w:cs="Times New Roman"/>
                <w:sz w:val="24"/>
                <w:szCs w:val="28"/>
              </w:rPr>
              <w:t xml:space="preserve">и - </w:t>
            </w:r>
            <w:r w:rsidR="009A06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самостійно</w:t>
            </w:r>
            <w:r w:rsidR="009A069B" w:rsidRPr="009A069B"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r w:rsidR="009A069B">
              <w:rPr>
                <w:rFonts w:ascii="Times New Roman" w:hAnsi="Times New Roman" w:cs="Times New Roman"/>
                <w:sz w:val="24"/>
                <w:szCs w:val="28"/>
              </w:rPr>
              <w:t>і</w:t>
            </w:r>
            <w:r w:rsidR="009A069B" w:rsidRPr="009A069B">
              <w:rPr>
                <w:rFonts w:ascii="Times New Roman" w:hAnsi="Times New Roman" w:cs="Times New Roman"/>
                <w:sz w:val="24"/>
                <w:szCs w:val="28"/>
              </w:rPr>
              <w:t xml:space="preserve"> і незалежн</w:t>
            </w:r>
            <w:r w:rsidR="009A069B">
              <w:rPr>
                <w:rFonts w:ascii="Times New Roman" w:hAnsi="Times New Roman" w:cs="Times New Roman"/>
                <w:sz w:val="24"/>
                <w:szCs w:val="28"/>
              </w:rPr>
              <w:t>ості</w:t>
            </w:r>
            <w:r w:rsidR="009A069B" w:rsidRPr="009A069B">
              <w:rPr>
                <w:rFonts w:ascii="Times New Roman" w:hAnsi="Times New Roman" w:cs="Times New Roman"/>
                <w:sz w:val="24"/>
                <w:szCs w:val="28"/>
              </w:rPr>
              <w:t xml:space="preserve"> учасників освітнього процесу під час провадження педагогічної,</w:t>
            </w:r>
            <w:r w:rsidR="005E2118">
              <w:rPr>
                <w:rFonts w:ascii="Times New Roman" w:hAnsi="Times New Roman" w:cs="Times New Roman"/>
                <w:sz w:val="24"/>
                <w:szCs w:val="28"/>
              </w:rPr>
              <w:t xml:space="preserve"> освітньої</w:t>
            </w:r>
            <w:r w:rsidR="009A069B" w:rsidRPr="009A069B">
              <w:rPr>
                <w:rFonts w:ascii="Times New Roman" w:hAnsi="Times New Roman" w:cs="Times New Roman"/>
                <w:sz w:val="24"/>
                <w:szCs w:val="28"/>
              </w:rPr>
              <w:t xml:space="preserve"> діяльності, </w:t>
            </w:r>
            <w:r w:rsidR="009A069B">
              <w:rPr>
                <w:rFonts w:ascii="Times New Roman" w:hAnsi="Times New Roman" w:cs="Times New Roman"/>
                <w:sz w:val="24"/>
                <w:szCs w:val="28"/>
              </w:rPr>
              <w:t xml:space="preserve">використання </w:t>
            </w:r>
            <w:r w:rsidR="009A069B" w:rsidRPr="009A069B">
              <w:rPr>
                <w:rFonts w:ascii="Times New Roman" w:hAnsi="Times New Roman" w:cs="Times New Roman"/>
                <w:sz w:val="24"/>
                <w:szCs w:val="28"/>
              </w:rPr>
              <w:t>освітн</w:t>
            </w:r>
            <w:r w:rsidR="009A069B">
              <w:rPr>
                <w:rFonts w:ascii="Times New Roman" w:hAnsi="Times New Roman" w:cs="Times New Roman"/>
                <w:sz w:val="24"/>
                <w:szCs w:val="28"/>
              </w:rPr>
              <w:t>іх</w:t>
            </w:r>
            <w:r w:rsidR="009A069B" w:rsidRPr="009A069B">
              <w:rPr>
                <w:rFonts w:ascii="Times New Roman" w:hAnsi="Times New Roman" w:cs="Times New Roman"/>
                <w:sz w:val="24"/>
                <w:szCs w:val="28"/>
              </w:rPr>
              <w:t xml:space="preserve"> програми, що  передбачають досягнення учнями результатів навчання, визначених державними стандартами </w:t>
            </w:r>
          </w:p>
        </w:tc>
        <w:tc>
          <w:tcPr>
            <w:tcW w:w="3190" w:type="dxa"/>
          </w:tcPr>
          <w:p w:rsidR="00AC5E69" w:rsidRPr="007B25F9" w:rsidRDefault="00792ECF" w:rsidP="005E21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Відсутні</w:t>
            </w:r>
          </w:p>
        </w:tc>
      </w:tr>
    </w:tbl>
    <w:p w:rsidR="00257FAE" w:rsidRDefault="00257FAE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E69" w:rsidRDefault="00AC5E69" w:rsidP="005E21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FF5">
        <w:rPr>
          <w:rFonts w:ascii="Times New Roman" w:hAnsi="Times New Roman" w:cs="Times New Roman"/>
          <w:sz w:val="28"/>
          <w:szCs w:val="28"/>
        </w:rPr>
        <w:t>Оцінка впливу на сферу інтересів суб’єктів господарювання</w:t>
      </w:r>
    </w:p>
    <w:p w:rsidR="009A069B" w:rsidRDefault="009A069B" w:rsidP="0016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DE2" w:rsidRDefault="00467F0B" w:rsidP="0016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Станом на 01.09.20</w:t>
      </w:r>
      <w:r w:rsidR="009A069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F63F4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року в Україні </w:t>
      </w:r>
      <w:r w:rsidR="00162DE2" w:rsidRPr="006936E3">
        <w:rPr>
          <w:rFonts w:ascii="Times New Roman" w:hAnsi="Times New Roman" w:cs="Times New Roman"/>
          <w:sz w:val="28"/>
          <w:szCs w:val="28"/>
          <w:lang w:eastAsia="ru-RU"/>
        </w:rPr>
        <w:t>функціонує 1</w:t>
      </w:r>
      <w:r w:rsidR="00EF63F4" w:rsidRPr="006936E3">
        <w:rPr>
          <w:rFonts w:ascii="Times New Roman" w:hAnsi="Times New Roman" w:cs="Times New Roman"/>
          <w:sz w:val="28"/>
          <w:szCs w:val="28"/>
          <w:lang w:eastAsia="ru-RU"/>
        </w:rPr>
        <w:t>40</w:t>
      </w:r>
      <w:r w:rsidR="00162DE2" w:rsidRPr="006936E3">
        <w:rPr>
          <w:rFonts w:ascii="Times New Roman" w:hAnsi="Times New Roman" w:cs="Times New Roman"/>
          <w:sz w:val="28"/>
          <w:szCs w:val="28"/>
          <w:lang w:eastAsia="ru-RU"/>
        </w:rPr>
        <w:t>10 закладів освіти. Дані наведені без урахування тимчасово окупованої території Автономної Республіки Крим, м. Севастополя та частини зони проведення антитерористичної операції.</w:t>
      </w:r>
      <w:r w:rsidR="00162DE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F18C9" w:rsidRDefault="005E2118" w:rsidP="0016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162DE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62DE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2DE2">
        <w:rPr>
          <w:rFonts w:ascii="Times New Roman" w:hAnsi="Times New Roman" w:cs="Times New Roman"/>
          <w:sz w:val="28"/>
          <w:szCs w:val="28"/>
          <w:lang w:eastAsia="ru-RU"/>
        </w:rPr>
        <w:t xml:space="preserve"> навчальному році Державною Службою якості освіти України проведено моніторинг щодо використання освітніх програм, розроблених не на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снові типових освітніх програм, у результаті якого з’ясовано, що кількість закладів освіти, </w:t>
      </w:r>
      <w:r w:rsidR="006936E3">
        <w:rPr>
          <w:rFonts w:ascii="Times New Roman" w:hAnsi="Times New Roman" w:cs="Times New Roman"/>
          <w:sz w:val="28"/>
          <w:szCs w:val="28"/>
          <w:lang w:eastAsia="ru-RU"/>
        </w:rPr>
        <w:t>що бажають створювати освітню програму відмінну від типової, становить на більше 10</w:t>
      </w:r>
      <w:r w:rsidR="00E044B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936E3">
        <w:rPr>
          <w:rFonts w:ascii="Times New Roman" w:hAnsi="Times New Roman" w:cs="Times New Roman"/>
          <w:sz w:val="28"/>
          <w:szCs w:val="28"/>
          <w:lang w:eastAsia="ru-RU"/>
        </w:rPr>
        <w:t>% від загальної кількості закладів освіти.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044BF" w:rsidRPr="005E3FF5" w:rsidRDefault="00E044BF" w:rsidP="0016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460"/>
        <w:gridCol w:w="1378"/>
        <w:gridCol w:w="1377"/>
        <w:gridCol w:w="1377"/>
        <w:gridCol w:w="1377"/>
        <w:gridCol w:w="1375"/>
      </w:tblGrid>
      <w:tr w:rsidR="005E3FF5" w:rsidRPr="005E3FF5" w:rsidTr="00AC5E69">
        <w:tc>
          <w:tcPr>
            <w:tcW w:w="1316" w:type="pct"/>
          </w:tcPr>
          <w:p w:rsidR="00AC5E69" w:rsidRPr="005E3FF5" w:rsidRDefault="00AC5E6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FF5">
              <w:rPr>
                <w:rFonts w:ascii="Times New Roman" w:hAnsi="Times New Roman" w:cs="Times New Roman"/>
                <w:sz w:val="24"/>
                <w:szCs w:val="28"/>
              </w:rPr>
              <w:t>Показник</w:t>
            </w:r>
          </w:p>
        </w:tc>
        <w:tc>
          <w:tcPr>
            <w:tcW w:w="737" w:type="pct"/>
          </w:tcPr>
          <w:p w:rsidR="00AC5E69" w:rsidRPr="005E3FF5" w:rsidRDefault="00AC5E6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FF5">
              <w:rPr>
                <w:rFonts w:ascii="Times New Roman" w:hAnsi="Times New Roman" w:cs="Times New Roman"/>
                <w:sz w:val="24"/>
                <w:szCs w:val="28"/>
              </w:rPr>
              <w:t>Великі</w:t>
            </w:r>
          </w:p>
        </w:tc>
        <w:tc>
          <w:tcPr>
            <w:tcW w:w="737" w:type="pct"/>
          </w:tcPr>
          <w:p w:rsidR="00AC5E69" w:rsidRPr="005E3FF5" w:rsidRDefault="00AC5E6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FF5">
              <w:rPr>
                <w:rFonts w:ascii="Times New Roman" w:hAnsi="Times New Roman" w:cs="Times New Roman"/>
                <w:sz w:val="24"/>
                <w:szCs w:val="28"/>
              </w:rPr>
              <w:t>Середні</w:t>
            </w:r>
          </w:p>
        </w:tc>
        <w:tc>
          <w:tcPr>
            <w:tcW w:w="737" w:type="pct"/>
          </w:tcPr>
          <w:p w:rsidR="00AC5E69" w:rsidRPr="005E3FF5" w:rsidRDefault="00AC5E6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FF5">
              <w:rPr>
                <w:rFonts w:ascii="Times New Roman" w:hAnsi="Times New Roman" w:cs="Times New Roman"/>
                <w:sz w:val="24"/>
                <w:szCs w:val="28"/>
              </w:rPr>
              <w:t>Малі</w:t>
            </w:r>
          </w:p>
        </w:tc>
        <w:tc>
          <w:tcPr>
            <w:tcW w:w="737" w:type="pct"/>
          </w:tcPr>
          <w:p w:rsidR="00AC5E69" w:rsidRPr="005E3FF5" w:rsidRDefault="00AC5E6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FF5">
              <w:rPr>
                <w:rFonts w:ascii="Times New Roman" w:hAnsi="Times New Roman" w:cs="Times New Roman"/>
                <w:sz w:val="24"/>
                <w:szCs w:val="28"/>
              </w:rPr>
              <w:t>Мікро</w:t>
            </w:r>
          </w:p>
        </w:tc>
        <w:tc>
          <w:tcPr>
            <w:tcW w:w="737" w:type="pct"/>
          </w:tcPr>
          <w:p w:rsidR="00AC5E69" w:rsidRPr="005E3FF5" w:rsidRDefault="00AC5E6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E3FF5">
              <w:rPr>
                <w:rFonts w:ascii="Times New Roman" w:hAnsi="Times New Roman" w:cs="Times New Roman"/>
                <w:sz w:val="24"/>
                <w:szCs w:val="28"/>
              </w:rPr>
              <w:t>Разом</w:t>
            </w:r>
          </w:p>
        </w:tc>
      </w:tr>
      <w:tr w:rsidR="005E3FF5" w:rsidRPr="005E3FF5" w:rsidTr="00AC5E69">
        <w:tc>
          <w:tcPr>
            <w:tcW w:w="1316" w:type="pct"/>
          </w:tcPr>
          <w:p w:rsidR="00AC5E69" w:rsidRPr="005E3FF5" w:rsidRDefault="007B25F9" w:rsidP="00F74D6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E3FF5">
              <w:rPr>
                <w:rFonts w:ascii="Times New Roman" w:hAnsi="Times New Roman" w:cs="Times New Roman"/>
                <w:sz w:val="24"/>
                <w:szCs w:val="28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737" w:type="pct"/>
          </w:tcPr>
          <w:p w:rsidR="00AC5E69" w:rsidRPr="005E3FF5" w:rsidRDefault="00260ECA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7" w:type="pct"/>
          </w:tcPr>
          <w:p w:rsidR="00285BA6" w:rsidRPr="00285BA6" w:rsidRDefault="00AB4801" w:rsidP="00AB48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</w:t>
            </w:r>
          </w:p>
        </w:tc>
        <w:tc>
          <w:tcPr>
            <w:tcW w:w="737" w:type="pct"/>
          </w:tcPr>
          <w:p w:rsidR="00AB4801" w:rsidRPr="00210380" w:rsidRDefault="00EF63F4" w:rsidP="00AB48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6936E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AB3BDA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162DE2" w:rsidRPr="00285BA6" w:rsidRDefault="00162DE2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pct"/>
          </w:tcPr>
          <w:p w:rsidR="00AC5E69" w:rsidRPr="005E3FF5" w:rsidRDefault="00AB3BDA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737" w:type="pct"/>
          </w:tcPr>
          <w:p w:rsidR="00BE5C0C" w:rsidRPr="00210380" w:rsidRDefault="00AB3BDA" w:rsidP="00EF63F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1400</w:t>
            </w:r>
          </w:p>
        </w:tc>
      </w:tr>
      <w:tr w:rsidR="005E3FF5" w:rsidRPr="005E3FF5" w:rsidTr="00AC5E69">
        <w:tc>
          <w:tcPr>
            <w:tcW w:w="1316" w:type="pct"/>
          </w:tcPr>
          <w:p w:rsidR="00AC5E69" w:rsidRPr="005E3FF5" w:rsidRDefault="007B25F9" w:rsidP="00F74D6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5E3FF5">
              <w:rPr>
                <w:rFonts w:ascii="Times New Roman" w:hAnsi="Times New Roman" w:cs="Times New Roman"/>
                <w:sz w:val="24"/>
                <w:szCs w:val="28"/>
              </w:rPr>
              <w:t>Питома вага групи у загальній кількості, відсотків</w:t>
            </w:r>
          </w:p>
        </w:tc>
        <w:tc>
          <w:tcPr>
            <w:tcW w:w="737" w:type="pct"/>
          </w:tcPr>
          <w:p w:rsidR="00AC5E69" w:rsidRPr="005E3FF5" w:rsidRDefault="00260ECA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37" w:type="pct"/>
          </w:tcPr>
          <w:p w:rsidR="00AC5E69" w:rsidRPr="005E3FF5" w:rsidRDefault="00AB4801" w:rsidP="00AB48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37" w:type="pct"/>
          </w:tcPr>
          <w:p w:rsidR="005E3FF5" w:rsidRPr="00162DE2" w:rsidRDefault="00AB3BDA" w:rsidP="00BE5C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AB480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%</w:t>
            </w:r>
            <w:r w:rsidR="00162D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E5C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737" w:type="pct"/>
          </w:tcPr>
          <w:p w:rsidR="00AC5E69" w:rsidRPr="005E3FF5" w:rsidRDefault="00AB3BDA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  <w:tc>
          <w:tcPr>
            <w:tcW w:w="737" w:type="pct"/>
          </w:tcPr>
          <w:p w:rsidR="00AC5E69" w:rsidRPr="005E3FF5" w:rsidRDefault="00467F0B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  <w:r w:rsidR="00D55053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:rsidR="00AC5E69" w:rsidRDefault="00AC5E69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3"/>
        <w:gridCol w:w="3117"/>
        <w:gridCol w:w="3104"/>
      </w:tblGrid>
      <w:tr w:rsidR="007B25F9" w:rsidRPr="00CF2FE3" w:rsidTr="006E3EA1">
        <w:tc>
          <w:tcPr>
            <w:tcW w:w="3190" w:type="dxa"/>
          </w:tcPr>
          <w:p w:rsidR="007B25F9" w:rsidRPr="00CF2FE3" w:rsidRDefault="007B25F9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190" w:type="dxa"/>
          </w:tcPr>
          <w:p w:rsidR="007B25F9" w:rsidRPr="00CF2FE3" w:rsidRDefault="007B25F9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3190" w:type="dxa"/>
          </w:tcPr>
          <w:p w:rsidR="007B25F9" w:rsidRPr="00CF2FE3" w:rsidRDefault="007B25F9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23368E" w:rsidRPr="00CF2FE3" w:rsidTr="006E3EA1">
        <w:tc>
          <w:tcPr>
            <w:tcW w:w="3190" w:type="dxa"/>
          </w:tcPr>
          <w:p w:rsidR="0023368E" w:rsidRPr="00CF2FE3" w:rsidRDefault="0023368E" w:rsidP="006E3E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190" w:type="dxa"/>
          </w:tcPr>
          <w:p w:rsidR="0023368E" w:rsidRPr="00257FAE" w:rsidRDefault="0023368E" w:rsidP="006E3E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3190" w:type="dxa"/>
          </w:tcPr>
          <w:p w:rsidR="0023368E" w:rsidRPr="00257FAE" w:rsidRDefault="0023368E" w:rsidP="00E04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  <w:tr w:rsidR="0023368E" w:rsidRPr="00CF2FE3" w:rsidTr="006E3EA1">
        <w:tc>
          <w:tcPr>
            <w:tcW w:w="3190" w:type="dxa"/>
          </w:tcPr>
          <w:p w:rsidR="0023368E" w:rsidRPr="00CF2FE3" w:rsidRDefault="0023368E" w:rsidP="006E3E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3190" w:type="dxa"/>
          </w:tcPr>
          <w:p w:rsidR="0023368E" w:rsidRPr="00CF2FE3" w:rsidRDefault="0023368E" w:rsidP="00EF63F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3368E">
              <w:rPr>
                <w:rFonts w:ascii="Times New Roman" w:hAnsi="Times New Roman" w:cs="Times New Roman"/>
                <w:sz w:val="24"/>
                <w:szCs w:val="28"/>
              </w:rPr>
              <w:t>Підвищення якості надання освітніх послуг закладами освіти</w:t>
            </w:r>
          </w:p>
        </w:tc>
        <w:tc>
          <w:tcPr>
            <w:tcW w:w="3190" w:type="dxa"/>
          </w:tcPr>
          <w:p w:rsidR="0023368E" w:rsidRDefault="0023368E" w:rsidP="00E04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E1C32" w:rsidRPr="00CF2FE3" w:rsidRDefault="00E044BF" w:rsidP="00E044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4BF">
              <w:rPr>
                <w:rFonts w:ascii="Times New Roman" w:hAnsi="Times New Roman" w:cs="Times New Roman"/>
                <w:sz w:val="24"/>
                <w:szCs w:val="24"/>
              </w:rPr>
              <w:t>12000100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42F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</w:p>
        </w:tc>
      </w:tr>
    </w:tbl>
    <w:p w:rsidR="00AE1C32" w:rsidRPr="00AE1C32" w:rsidRDefault="00AE1C32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E69" w:rsidRPr="00AE1C32" w:rsidRDefault="00AE1C32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C32">
        <w:rPr>
          <w:rFonts w:ascii="Times New Roman" w:hAnsi="Times New Roman" w:cs="Times New Roman"/>
          <w:sz w:val="28"/>
          <w:szCs w:val="28"/>
        </w:rPr>
        <w:t xml:space="preserve">Витрати, які  будуть виникати </w:t>
      </w:r>
      <w:r>
        <w:rPr>
          <w:rFonts w:ascii="Times New Roman" w:hAnsi="Times New Roman" w:cs="Times New Roman"/>
          <w:sz w:val="28"/>
          <w:szCs w:val="28"/>
        </w:rPr>
        <w:t xml:space="preserve">внаслідок дії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AE1C3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7B25F9" w:rsidRPr="00CF2FE3" w:rsidTr="007B25F9">
        <w:tc>
          <w:tcPr>
            <w:tcW w:w="4785" w:type="dxa"/>
          </w:tcPr>
          <w:p w:rsidR="007B25F9" w:rsidRPr="00CF2FE3" w:rsidRDefault="007B25F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Сумарні витрати за альтернативами</w:t>
            </w:r>
          </w:p>
        </w:tc>
        <w:tc>
          <w:tcPr>
            <w:tcW w:w="4785" w:type="dxa"/>
          </w:tcPr>
          <w:p w:rsidR="007B25F9" w:rsidRPr="00CF2FE3" w:rsidRDefault="007B25F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Сума витрат, гривень</w:t>
            </w:r>
          </w:p>
        </w:tc>
      </w:tr>
      <w:tr w:rsidR="007B25F9" w:rsidRPr="00CF2FE3" w:rsidTr="007B25F9">
        <w:tc>
          <w:tcPr>
            <w:tcW w:w="4785" w:type="dxa"/>
          </w:tcPr>
          <w:p w:rsidR="007B25F9" w:rsidRPr="00CF2FE3" w:rsidRDefault="008B05E9" w:rsidP="008B05E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Альтернатива 1.</w:t>
            </w:r>
          </w:p>
        </w:tc>
        <w:tc>
          <w:tcPr>
            <w:tcW w:w="4785" w:type="dxa"/>
          </w:tcPr>
          <w:p w:rsidR="007B25F9" w:rsidRPr="008B05E9" w:rsidRDefault="008B05E9" w:rsidP="00467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  <w:tr w:rsidR="007B25F9" w:rsidRPr="00CF2FE3" w:rsidTr="007B25F9">
        <w:tc>
          <w:tcPr>
            <w:tcW w:w="4785" w:type="dxa"/>
          </w:tcPr>
          <w:p w:rsidR="007B25F9" w:rsidRPr="00CF2FE3" w:rsidRDefault="008B05E9" w:rsidP="008B05E9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Альтернатива 2.</w:t>
            </w:r>
          </w:p>
        </w:tc>
        <w:tc>
          <w:tcPr>
            <w:tcW w:w="4785" w:type="dxa"/>
          </w:tcPr>
          <w:p w:rsidR="007B25F9" w:rsidRPr="00CF2FE3" w:rsidRDefault="00E044BF" w:rsidP="00467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44BF">
              <w:rPr>
                <w:rFonts w:ascii="Times New Roman" w:hAnsi="Times New Roman" w:cs="Times New Roman"/>
                <w:sz w:val="24"/>
                <w:szCs w:val="24"/>
              </w:rPr>
              <w:t>12000100</w:t>
            </w:r>
          </w:p>
        </w:tc>
      </w:tr>
    </w:tbl>
    <w:p w:rsidR="00AC5E69" w:rsidRDefault="00AE1C32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A24A8" w:rsidRDefault="00CA24A8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BE" w:rsidRDefault="008755BE" w:rsidP="008972E1">
      <w:pPr>
        <w:pStyle w:val="1"/>
      </w:pPr>
      <w:bookmarkStart w:id="5" w:name="_Toc3536286"/>
      <w:r w:rsidRPr="008755BE">
        <w:lastRenderedPageBreak/>
        <w:t>IV. Вибір найбільш оптимального альтернативного способу досягнення цілей</w:t>
      </w:r>
      <w:bookmarkEnd w:id="5"/>
    </w:p>
    <w:p w:rsidR="00C140AC" w:rsidRPr="00B938CE" w:rsidRDefault="00C140AC" w:rsidP="00C140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C140AC" w:rsidRDefault="00C140AC" w:rsidP="00C140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C140AC" w:rsidRPr="00B938CE" w:rsidRDefault="00C140AC" w:rsidP="00C140AC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C140AC" w:rsidRPr="00B938CE" w:rsidRDefault="00C140AC" w:rsidP="00C140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4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повною мірою (проблема більше існувати не буде);</w:t>
      </w:r>
    </w:p>
    <w:p w:rsidR="00C140AC" w:rsidRPr="00B938CE" w:rsidRDefault="00C140AC" w:rsidP="00C140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5"/>
      <w:bookmarkEnd w:id="6"/>
      <w:r w:rsidRPr="00B938CE">
        <w:rPr>
          <w:rFonts w:ascii="Times New Roman" w:hAnsi="Times New Roman" w:cs="Times New Roman"/>
          <w:sz w:val="28"/>
          <w:szCs w:val="28"/>
        </w:rPr>
        <w:t xml:space="preserve">3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майже  повною мірою (усі важливі аспекти проблеми існувати не будуть);</w:t>
      </w:r>
    </w:p>
    <w:p w:rsidR="00C140AC" w:rsidRPr="00B938CE" w:rsidRDefault="00C140AC" w:rsidP="00C140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56"/>
      <w:bookmarkEnd w:id="7"/>
      <w:r w:rsidRPr="00B938CE">
        <w:rPr>
          <w:rFonts w:ascii="Times New Roman" w:hAnsi="Times New Roman" w:cs="Times New Roman"/>
          <w:sz w:val="28"/>
          <w:szCs w:val="28"/>
        </w:rPr>
        <w:t xml:space="preserve">2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C140AC" w:rsidRPr="00B938CE" w:rsidRDefault="00C140AC" w:rsidP="00C140A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57"/>
      <w:bookmarkEnd w:id="8"/>
      <w:r w:rsidRPr="00B938CE">
        <w:rPr>
          <w:rFonts w:ascii="Times New Roman" w:hAnsi="Times New Roman" w:cs="Times New Roman"/>
          <w:sz w:val="28"/>
          <w:szCs w:val="28"/>
        </w:rPr>
        <w:t xml:space="preserve">1 – цілі прийняття регуляторного </w:t>
      </w:r>
      <w:proofErr w:type="spellStart"/>
      <w:r w:rsidRPr="00B938C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sz w:val="28"/>
          <w:szCs w:val="28"/>
        </w:rPr>
        <w:t>, які не можуть бути досягнуті (проблема продовжує існувати).</w:t>
      </w:r>
    </w:p>
    <w:p w:rsidR="00711D98" w:rsidRPr="00711D98" w:rsidRDefault="00711D98" w:rsidP="00711D98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40AC" w:rsidRPr="00CF2FE3" w:rsidTr="00CF2FE3">
        <w:trPr>
          <w:trHeight w:val="707"/>
        </w:trPr>
        <w:tc>
          <w:tcPr>
            <w:tcW w:w="3190" w:type="dxa"/>
            <w:vAlign w:val="center"/>
          </w:tcPr>
          <w:p w:rsidR="007B25F9" w:rsidRPr="00CF2FE3" w:rsidRDefault="007B25F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3190" w:type="dxa"/>
            <w:vAlign w:val="center"/>
          </w:tcPr>
          <w:p w:rsidR="007B25F9" w:rsidRPr="00CF2FE3" w:rsidRDefault="007B25F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Бал результативності (за чотирибальною системою оцінки)</w:t>
            </w:r>
          </w:p>
        </w:tc>
        <w:tc>
          <w:tcPr>
            <w:tcW w:w="3190" w:type="dxa"/>
            <w:vAlign w:val="center"/>
          </w:tcPr>
          <w:p w:rsidR="007B25F9" w:rsidRPr="00CF2FE3" w:rsidRDefault="007B25F9" w:rsidP="007B25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Коментарі щодо присвоєння відповідного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бала</w:t>
            </w:r>
            <w:proofErr w:type="spellEnd"/>
          </w:p>
        </w:tc>
      </w:tr>
      <w:tr w:rsidR="00C140AC" w:rsidRPr="00CF2FE3" w:rsidTr="007B25F9">
        <w:tc>
          <w:tcPr>
            <w:tcW w:w="3190" w:type="dxa"/>
          </w:tcPr>
          <w:p w:rsidR="007B25F9" w:rsidRPr="00CF2FE3" w:rsidRDefault="007B25F9" w:rsidP="00F74D6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3190" w:type="dxa"/>
          </w:tcPr>
          <w:p w:rsidR="007B25F9" w:rsidRPr="00CF2FE3" w:rsidRDefault="00C140AC" w:rsidP="008B05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90" w:type="dxa"/>
          </w:tcPr>
          <w:p w:rsidR="007B25F9" w:rsidRPr="00CF2FE3" w:rsidRDefault="00AA1F4B" w:rsidP="000502B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Зазначена проблема від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сутності правового регулювання </w:t>
            </w:r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продовжуватиме існувати</w:t>
            </w:r>
            <w:r w:rsidR="00C140A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140AC" w:rsidRPr="00CF2FE3" w:rsidTr="007B25F9">
        <w:tc>
          <w:tcPr>
            <w:tcW w:w="3190" w:type="dxa"/>
          </w:tcPr>
          <w:p w:rsidR="007B25F9" w:rsidRPr="00CF2FE3" w:rsidRDefault="007B25F9" w:rsidP="00F74D6E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3190" w:type="dxa"/>
          </w:tcPr>
          <w:p w:rsidR="007B25F9" w:rsidRPr="00CF2FE3" w:rsidRDefault="008B05E9" w:rsidP="008B05E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190" w:type="dxa"/>
          </w:tcPr>
          <w:p w:rsidR="007B25F9" w:rsidRPr="00494CF7" w:rsidRDefault="00C140AC" w:rsidP="000B72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Максимальний бал. Запропонований спосіб вирішення зазначеної проблеми є найбільш доцільним, оскільки прийняття запропонованого проєкту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акта</w:t>
            </w:r>
            <w:proofErr w:type="spellEnd"/>
            <w:r w:rsidR="000B7264">
              <w:rPr>
                <w:rFonts w:ascii="Times New Roman" w:hAnsi="Times New Roman" w:cs="Times New Roman"/>
                <w:sz w:val="24"/>
                <w:szCs w:val="28"/>
              </w:rPr>
              <w:t xml:space="preserve"> дозволить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B7264">
              <w:rPr>
                <w:rFonts w:ascii="Times New Roman" w:hAnsi="Times New Roman" w:cs="Times New Roman"/>
                <w:sz w:val="24"/>
                <w:szCs w:val="28"/>
              </w:rPr>
              <w:t xml:space="preserve">  забезпечити</w:t>
            </w:r>
            <w:r w:rsidR="008B05E9" w:rsidRPr="00494CF7">
              <w:rPr>
                <w:rFonts w:ascii="Times New Roman" w:hAnsi="Times New Roman" w:cs="Times New Roman"/>
                <w:sz w:val="24"/>
                <w:szCs w:val="28"/>
              </w:rPr>
              <w:t xml:space="preserve"> введення процедури</w:t>
            </w:r>
            <w:r w:rsidR="005736E6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проведення експертизи та</w:t>
            </w:r>
            <w:r w:rsidR="008B05E9" w:rsidRPr="00494CF7">
              <w:rPr>
                <w:rFonts w:ascii="Times New Roman" w:hAnsi="Times New Roman" w:cs="Times New Roman"/>
                <w:sz w:val="24"/>
                <w:szCs w:val="28"/>
              </w:rPr>
              <w:t xml:space="preserve"> затвердження освітніх </w:t>
            </w:r>
            <w:r w:rsidR="00B1027B">
              <w:rPr>
                <w:rFonts w:ascii="Times New Roman" w:hAnsi="Times New Roman" w:cs="Times New Roman"/>
                <w:sz w:val="24"/>
                <w:szCs w:val="28"/>
              </w:rPr>
              <w:t xml:space="preserve">програм повної загальної </w:t>
            </w:r>
            <w:r w:rsidR="00093029">
              <w:rPr>
                <w:rFonts w:ascii="Times New Roman" w:hAnsi="Times New Roman" w:cs="Times New Roman"/>
                <w:sz w:val="24"/>
                <w:szCs w:val="28"/>
              </w:rPr>
              <w:t xml:space="preserve">середньої освіти, </w:t>
            </w:r>
            <w:r w:rsidR="00093029" w:rsidRPr="00093029">
              <w:rPr>
                <w:rFonts w:ascii="Times New Roman" w:hAnsi="Times New Roman" w:cs="Times New Roman"/>
                <w:sz w:val="24"/>
                <w:szCs w:val="28"/>
              </w:rPr>
              <w:t>розроблених не на основі типових освітніх програм</w:t>
            </w:r>
            <w:r w:rsidR="008B05E9" w:rsidRPr="00494CF7">
              <w:rPr>
                <w:rFonts w:ascii="Times New Roman" w:hAnsi="Times New Roman" w:cs="Times New Roman"/>
                <w:sz w:val="24"/>
                <w:szCs w:val="28"/>
              </w:rPr>
              <w:t xml:space="preserve"> для </w:t>
            </w:r>
            <w:r w:rsidR="00D91875">
              <w:rPr>
                <w:rFonts w:ascii="Times New Roman" w:hAnsi="Times New Roman" w:cs="Times New Roman"/>
                <w:sz w:val="24"/>
                <w:szCs w:val="28"/>
              </w:rPr>
              <w:t>розробників освітн</w:t>
            </w:r>
            <w:r w:rsidR="000502B2">
              <w:rPr>
                <w:rFonts w:ascii="Times New Roman" w:hAnsi="Times New Roman" w:cs="Times New Roman"/>
                <w:sz w:val="24"/>
                <w:szCs w:val="28"/>
              </w:rPr>
              <w:t>іх програм</w:t>
            </w:r>
            <w:r w:rsidR="00494CF7" w:rsidRPr="00494CF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7B25F9" w:rsidRDefault="007B25F9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70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912"/>
      </w:tblGrid>
      <w:tr w:rsidR="007B25F9" w:rsidRPr="005D0000" w:rsidTr="00086B63">
        <w:tc>
          <w:tcPr>
            <w:tcW w:w="1980" w:type="dxa"/>
            <w:vAlign w:val="center"/>
          </w:tcPr>
          <w:p w:rsidR="007B25F9" w:rsidRPr="005D0000" w:rsidRDefault="007B25F9" w:rsidP="00CF2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2551" w:type="dxa"/>
            <w:vAlign w:val="center"/>
          </w:tcPr>
          <w:p w:rsidR="007B25F9" w:rsidRPr="005D0000" w:rsidRDefault="007B25F9" w:rsidP="00CF2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:rsidR="007B25F9" w:rsidRPr="005D0000" w:rsidRDefault="00CF2FE3" w:rsidP="00CF2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r w:rsidR="007B25F9"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 (підсумок)</w:t>
            </w:r>
          </w:p>
        </w:tc>
        <w:tc>
          <w:tcPr>
            <w:tcW w:w="2912" w:type="dxa"/>
            <w:vAlign w:val="center"/>
          </w:tcPr>
          <w:p w:rsidR="007B25F9" w:rsidRPr="005D0000" w:rsidRDefault="007B25F9" w:rsidP="00CF2F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CF2FE3" w:rsidRPr="005D0000" w:rsidTr="00086B63">
        <w:tc>
          <w:tcPr>
            <w:tcW w:w="1980" w:type="dxa"/>
          </w:tcPr>
          <w:p w:rsidR="00CF2FE3" w:rsidRPr="005D0000" w:rsidRDefault="00CF2FE3" w:rsidP="006E3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Альтернатива 1</w:t>
            </w:r>
          </w:p>
        </w:tc>
        <w:tc>
          <w:tcPr>
            <w:tcW w:w="2551" w:type="dxa"/>
          </w:tcPr>
          <w:p w:rsidR="00494CF7" w:rsidRPr="005D0000" w:rsidRDefault="00494CF7" w:rsidP="00494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2127" w:type="dxa"/>
          </w:tcPr>
          <w:p w:rsidR="00CF2FE3" w:rsidRPr="005D0000" w:rsidRDefault="00494CF7" w:rsidP="00494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2912" w:type="dxa"/>
          </w:tcPr>
          <w:p w:rsidR="00CF2FE3" w:rsidRPr="005D0000" w:rsidRDefault="00494CF7" w:rsidP="000E33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Зазначений спосіб не сприяв вирішенню існуючої проблеми</w:t>
            </w:r>
          </w:p>
        </w:tc>
      </w:tr>
      <w:tr w:rsidR="00CF2FE3" w:rsidRPr="005D0000" w:rsidTr="00086B63">
        <w:tc>
          <w:tcPr>
            <w:tcW w:w="1980" w:type="dxa"/>
          </w:tcPr>
          <w:p w:rsidR="00CF2FE3" w:rsidRPr="005D0000" w:rsidRDefault="00CF2FE3" w:rsidP="006E3E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Альтернатива 2</w:t>
            </w:r>
          </w:p>
        </w:tc>
        <w:tc>
          <w:tcPr>
            <w:tcW w:w="2551" w:type="dxa"/>
          </w:tcPr>
          <w:p w:rsidR="00AD109C" w:rsidRPr="005D0000" w:rsidRDefault="00494CF7" w:rsidP="000E33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</w:t>
            </w:r>
            <w:r w:rsidR="00BE6576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109C"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000" w:rsidRPr="005D0000">
              <w:rPr>
                <w:rFonts w:ascii="Times New Roman" w:hAnsi="Times New Roman" w:cs="Times New Roman"/>
                <w:sz w:val="24"/>
                <w:szCs w:val="24"/>
              </w:rPr>
              <w:t xml:space="preserve">дозволить забезпечити </w:t>
            </w:r>
            <w:r w:rsidR="005D0000" w:rsidRPr="005D00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реалізацію положень </w:t>
            </w:r>
            <w:r w:rsidR="00872185" w:rsidRPr="00872185">
              <w:rPr>
                <w:rFonts w:ascii="Times New Roman" w:hAnsi="Times New Roman" w:cs="Times New Roman"/>
                <w:sz w:val="24"/>
                <w:szCs w:val="24"/>
              </w:rPr>
              <w:t>абзацу другого частини першої та абзацу першого частини четвертої статті 11 Закону України «Про повну загальну середню освіту» та абзацу четвертого частини другої статті 67 Закону України «Про освіту»</w:t>
            </w:r>
          </w:p>
        </w:tc>
        <w:tc>
          <w:tcPr>
            <w:tcW w:w="2127" w:type="dxa"/>
          </w:tcPr>
          <w:p w:rsidR="00CF2FE3" w:rsidRPr="005D0000" w:rsidRDefault="00E044BF" w:rsidP="00494C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12000100</w:t>
            </w:r>
            <w:r w:rsidR="0046742F" w:rsidRPr="0046742F">
              <w:rPr>
                <w:rFonts w:ascii="Times New Roman" w:hAnsi="Times New Roman" w:cs="Times New Roman"/>
                <w:sz w:val="24"/>
                <w:szCs w:val="24"/>
              </w:rPr>
              <w:t xml:space="preserve"> грн</w:t>
            </w:r>
          </w:p>
        </w:tc>
        <w:tc>
          <w:tcPr>
            <w:tcW w:w="2912" w:type="dxa"/>
          </w:tcPr>
          <w:p w:rsidR="00CF2FE3" w:rsidRPr="0042713A" w:rsidRDefault="00AD109C" w:rsidP="000E33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</w:t>
            </w:r>
            <w:r w:rsidR="00BE6576" w:rsidRPr="0042713A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r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у регуляторного </w:t>
            </w:r>
            <w:proofErr w:type="spellStart"/>
            <w:r w:rsidRPr="0042713A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  <w:r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сприятиме: вирішенню проблеми, що існує сьогодні,</w:t>
            </w:r>
            <w:r w:rsidR="0042713A"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 а саме</w:t>
            </w:r>
            <w:r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6E6"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експертизи та </w:t>
            </w:r>
            <w:r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освітніх </w:t>
            </w:r>
            <w:r w:rsidR="00AD3A5F">
              <w:rPr>
                <w:rFonts w:ascii="Times New Roman" w:hAnsi="Times New Roman" w:cs="Times New Roman"/>
                <w:sz w:val="24"/>
                <w:szCs w:val="24"/>
              </w:rPr>
              <w:t xml:space="preserve">програм, розроблених </w:t>
            </w:r>
            <w:r w:rsidR="0042713A"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 не на основі типових</w:t>
            </w:r>
            <w:r w:rsidRPr="00427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09C" w:rsidRPr="005D0000" w:rsidRDefault="00AD109C" w:rsidP="000E33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Наслідком буде покращення якості </w:t>
            </w:r>
            <w:r w:rsidR="005736E6" w:rsidRPr="0042713A">
              <w:rPr>
                <w:rFonts w:ascii="Times New Roman" w:hAnsi="Times New Roman" w:cs="Times New Roman"/>
                <w:sz w:val="24"/>
                <w:szCs w:val="24"/>
              </w:rPr>
              <w:t xml:space="preserve">повної </w:t>
            </w:r>
            <w:r w:rsidRPr="0042713A"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освіти.</w:t>
            </w:r>
          </w:p>
        </w:tc>
      </w:tr>
    </w:tbl>
    <w:p w:rsidR="007B25F9" w:rsidRDefault="007B25F9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B63" w:rsidRDefault="00086B63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972"/>
        <w:gridCol w:w="3109"/>
      </w:tblGrid>
      <w:tr w:rsidR="00CF2FE3" w:rsidRPr="00CF2FE3" w:rsidTr="000B7264">
        <w:trPr>
          <w:trHeight w:val="707"/>
        </w:trPr>
        <w:tc>
          <w:tcPr>
            <w:tcW w:w="2263" w:type="dxa"/>
            <w:vAlign w:val="center"/>
          </w:tcPr>
          <w:p w:rsidR="00CF2FE3" w:rsidRPr="00CF2FE3" w:rsidRDefault="00CF2FE3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Рейтинг</w:t>
            </w:r>
          </w:p>
        </w:tc>
        <w:tc>
          <w:tcPr>
            <w:tcW w:w="3972" w:type="dxa"/>
            <w:vAlign w:val="center"/>
          </w:tcPr>
          <w:p w:rsidR="00CF2FE3" w:rsidRPr="00CF2FE3" w:rsidRDefault="00CF2FE3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109" w:type="dxa"/>
            <w:vAlign w:val="center"/>
          </w:tcPr>
          <w:p w:rsidR="00CF2FE3" w:rsidRPr="00CF2FE3" w:rsidRDefault="00CF2FE3" w:rsidP="006E3E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акта</w:t>
            </w:r>
            <w:proofErr w:type="spellEnd"/>
          </w:p>
        </w:tc>
      </w:tr>
      <w:tr w:rsidR="00D82353" w:rsidRPr="00CF2FE3" w:rsidTr="000B7264">
        <w:tc>
          <w:tcPr>
            <w:tcW w:w="2263" w:type="dxa"/>
          </w:tcPr>
          <w:p w:rsidR="00D82353" w:rsidRPr="00CF2FE3" w:rsidRDefault="00D82353" w:rsidP="00D8235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3972" w:type="dxa"/>
          </w:tcPr>
          <w:p w:rsidR="00D82353" w:rsidRPr="00D82353" w:rsidRDefault="00D82353" w:rsidP="00D82353">
            <w:pPr>
              <w:pStyle w:val="a9"/>
              <w:spacing w:after="0"/>
              <w:jc w:val="both"/>
              <w:rPr>
                <w:szCs w:val="28"/>
                <w:lang w:val="uk-UA" w:eastAsia="en-US"/>
              </w:rPr>
            </w:pPr>
            <w:r w:rsidRPr="00D82353">
              <w:rPr>
                <w:szCs w:val="28"/>
                <w:lang w:val="uk-UA" w:eastAsia="en-US"/>
              </w:rPr>
              <w:t xml:space="preserve">Неприйняття проєкту </w:t>
            </w:r>
            <w:proofErr w:type="spellStart"/>
            <w:r w:rsidRPr="00D82353">
              <w:rPr>
                <w:szCs w:val="28"/>
                <w:lang w:val="uk-UA" w:eastAsia="en-US"/>
              </w:rPr>
              <w:t>акта</w:t>
            </w:r>
            <w:proofErr w:type="spellEnd"/>
            <w:r w:rsidRPr="00D82353">
              <w:rPr>
                <w:szCs w:val="28"/>
                <w:lang w:val="uk-UA" w:eastAsia="en-US"/>
              </w:rPr>
              <w:t xml:space="preserve"> унеможливить проведення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D82353">
              <w:rPr>
                <w:szCs w:val="28"/>
                <w:lang w:val="uk-UA" w:eastAsia="en-US"/>
              </w:rPr>
              <w:t xml:space="preserve"> експертизи та затвердження освітніх</w:t>
            </w:r>
            <w:r>
              <w:rPr>
                <w:szCs w:val="28"/>
                <w:lang w:val="uk-UA" w:eastAsia="en-US"/>
              </w:rPr>
              <w:t xml:space="preserve"> </w:t>
            </w:r>
            <w:r w:rsidRPr="00D82353">
              <w:rPr>
                <w:szCs w:val="28"/>
                <w:lang w:val="uk-UA" w:eastAsia="en-US"/>
              </w:rPr>
              <w:t>програм повної загальної середньої освіти, розроблених не на основі типових освітніх програм</w:t>
            </w:r>
          </w:p>
        </w:tc>
        <w:tc>
          <w:tcPr>
            <w:tcW w:w="3109" w:type="dxa"/>
          </w:tcPr>
          <w:p w:rsidR="00D82353" w:rsidRPr="00D82353" w:rsidRDefault="00D82353" w:rsidP="00D82353">
            <w:pPr>
              <w:pStyle w:val="a9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D82353">
              <w:rPr>
                <w:szCs w:val="28"/>
                <w:lang w:val="uk-UA" w:eastAsia="en-US"/>
              </w:rPr>
              <w:t xml:space="preserve">Негативні наслідки впливатимуть на осіб, які </w:t>
            </w:r>
            <w:r>
              <w:rPr>
                <w:szCs w:val="28"/>
                <w:lang w:val="uk-UA" w:eastAsia="en-US"/>
              </w:rPr>
              <w:t xml:space="preserve">бажають затвердити освітню </w:t>
            </w:r>
            <w:r w:rsidRPr="00D82353">
              <w:rPr>
                <w:szCs w:val="28"/>
                <w:lang w:val="uk-UA" w:eastAsia="en-US"/>
              </w:rPr>
              <w:t>програм</w:t>
            </w:r>
            <w:r>
              <w:rPr>
                <w:szCs w:val="28"/>
                <w:lang w:val="uk-UA" w:eastAsia="en-US"/>
              </w:rPr>
              <w:t>у</w:t>
            </w:r>
            <w:r w:rsidRPr="00D82353">
              <w:rPr>
                <w:szCs w:val="28"/>
                <w:lang w:val="uk-UA" w:eastAsia="en-US"/>
              </w:rPr>
              <w:t>, розроблен</w:t>
            </w:r>
            <w:r>
              <w:rPr>
                <w:szCs w:val="28"/>
                <w:lang w:val="uk-UA" w:eastAsia="en-US"/>
              </w:rPr>
              <w:t>у</w:t>
            </w:r>
            <w:r w:rsidRPr="00D82353">
              <w:rPr>
                <w:szCs w:val="28"/>
                <w:lang w:val="uk-UA" w:eastAsia="en-US"/>
              </w:rPr>
              <w:t xml:space="preserve"> не на основі типових освітніх програм</w:t>
            </w:r>
          </w:p>
        </w:tc>
      </w:tr>
      <w:tr w:rsidR="00CF2FE3" w:rsidRPr="00CF2FE3" w:rsidTr="000B7264">
        <w:tc>
          <w:tcPr>
            <w:tcW w:w="2263" w:type="dxa"/>
          </w:tcPr>
          <w:p w:rsidR="00CF2FE3" w:rsidRPr="00CF2FE3" w:rsidRDefault="00CF2FE3" w:rsidP="006E3EA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3972" w:type="dxa"/>
          </w:tcPr>
          <w:p w:rsidR="00CF2FE3" w:rsidRPr="00CF2FE3" w:rsidRDefault="00FE2F70" w:rsidP="00D8235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Створення</w:t>
            </w:r>
            <w:r w:rsidR="0047476B" w:rsidRPr="004747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процедури</w:t>
            </w:r>
            <w:r w:rsidR="00872185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проведення експертизи та механізм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872185">
              <w:rPr>
                <w:rFonts w:ascii="Times New Roman" w:hAnsi="Times New Roman" w:cs="Times New Roman"/>
                <w:sz w:val="24"/>
                <w:szCs w:val="28"/>
              </w:rPr>
              <w:t xml:space="preserve"> затвердження</w:t>
            </w:r>
            <w:r w:rsidR="0047476B" w:rsidRPr="0047476B">
              <w:rPr>
                <w:rFonts w:ascii="Times New Roman" w:hAnsi="Times New Roman" w:cs="Times New Roman"/>
                <w:sz w:val="24"/>
                <w:szCs w:val="28"/>
              </w:rPr>
              <w:t xml:space="preserve"> освітн</w:t>
            </w:r>
            <w:r w:rsidR="00872185">
              <w:rPr>
                <w:rFonts w:ascii="Times New Roman" w:hAnsi="Times New Roman" w:cs="Times New Roman"/>
                <w:sz w:val="24"/>
                <w:szCs w:val="28"/>
              </w:rPr>
              <w:t>іх</w:t>
            </w:r>
            <w:r w:rsidR="0047476B" w:rsidRPr="0047476B">
              <w:rPr>
                <w:rFonts w:ascii="Times New Roman" w:hAnsi="Times New Roman" w:cs="Times New Roman"/>
                <w:sz w:val="24"/>
                <w:szCs w:val="28"/>
              </w:rPr>
              <w:t xml:space="preserve"> програм</w:t>
            </w:r>
            <w:r w:rsidR="00872185">
              <w:rPr>
                <w:rFonts w:ascii="Times New Roman" w:hAnsi="Times New Roman" w:cs="Times New Roman"/>
                <w:sz w:val="24"/>
                <w:szCs w:val="28"/>
              </w:rPr>
              <w:t xml:space="preserve"> повної</w:t>
            </w:r>
            <w:r w:rsidR="0047476B" w:rsidRPr="004747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91875">
              <w:rPr>
                <w:rFonts w:ascii="Times New Roman" w:hAnsi="Times New Roman" w:cs="Times New Roman"/>
                <w:sz w:val="24"/>
                <w:szCs w:val="28"/>
              </w:rPr>
              <w:t xml:space="preserve">загальної середньої освіти, </w:t>
            </w:r>
            <w:r w:rsidR="00D91875" w:rsidRPr="00D91875">
              <w:rPr>
                <w:rFonts w:ascii="Times New Roman" w:hAnsi="Times New Roman" w:cs="Times New Roman"/>
                <w:sz w:val="24"/>
                <w:szCs w:val="28"/>
              </w:rPr>
              <w:t>розроблених не на основі типових освітніх програм</w:t>
            </w:r>
          </w:p>
        </w:tc>
        <w:tc>
          <w:tcPr>
            <w:tcW w:w="3109" w:type="dxa"/>
          </w:tcPr>
          <w:p w:rsidR="00CF2FE3" w:rsidRPr="00CF2FE3" w:rsidRDefault="00434FD1" w:rsidP="000E33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34FD1">
              <w:rPr>
                <w:rFonts w:ascii="Times New Roman" w:hAnsi="Times New Roman" w:cs="Times New Roman"/>
                <w:sz w:val="24"/>
                <w:szCs w:val="28"/>
              </w:rPr>
              <w:t>Негативних наслідків від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34FD1">
              <w:rPr>
                <w:rFonts w:ascii="Times New Roman" w:hAnsi="Times New Roman" w:cs="Times New Roman"/>
                <w:sz w:val="24"/>
                <w:szCs w:val="28"/>
              </w:rPr>
              <w:t>прийняття регуляторного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434FD1">
              <w:rPr>
                <w:rFonts w:ascii="Times New Roman" w:hAnsi="Times New Roman" w:cs="Times New Roman"/>
                <w:sz w:val="24"/>
                <w:szCs w:val="28"/>
              </w:rPr>
              <w:t>акта</w:t>
            </w:r>
            <w:proofErr w:type="spellEnd"/>
            <w:r w:rsidRPr="00434FD1">
              <w:rPr>
                <w:rFonts w:ascii="Times New Roman" w:hAnsi="Times New Roman" w:cs="Times New Roman"/>
                <w:sz w:val="24"/>
                <w:szCs w:val="28"/>
              </w:rPr>
              <w:t xml:space="preserve"> не очікується</w:t>
            </w:r>
          </w:p>
        </w:tc>
      </w:tr>
    </w:tbl>
    <w:p w:rsidR="00FE2F70" w:rsidRDefault="00FE2F70" w:rsidP="00FE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2E1" w:rsidRDefault="00FE2F70" w:rsidP="00FE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очікується.</w:t>
      </w:r>
    </w:p>
    <w:p w:rsidR="00FE2F70" w:rsidRDefault="00FE2F70" w:rsidP="008972E1">
      <w:pPr>
        <w:pStyle w:val="1"/>
      </w:pPr>
      <w:bookmarkStart w:id="9" w:name="_Toc3536287"/>
    </w:p>
    <w:p w:rsidR="008755BE" w:rsidRDefault="008755BE" w:rsidP="008972E1">
      <w:pPr>
        <w:pStyle w:val="1"/>
      </w:pPr>
      <w:r w:rsidRPr="008755BE">
        <w:t>V. Механізми та заходи, які забезпечать розв’язання визначеної проблеми</w:t>
      </w:r>
      <w:bookmarkEnd w:id="9"/>
    </w:p>
    <w:p w:rsidR="00711D98" w:rsidRDefault="00FE2F70" w:rsidP="008332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вирішення проблем, визначених у розділі першому та досягнення цілей, визначених у розділі другому цього аналізу регуляторного впливу,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передбачено механізм розв’язання проблеми шляхом його прийняття.</w:t>
      </w:r>
    </w:p>
    <w:p w:rsidR="00FE7588" w:rsidRPr="00FE7588" w:rsidRDefault="00FE7588" w:rsidP="00FE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88">
        <w:rPr>
          <w:rFonts w:ascii="Times New Roman" w:hAnsi="Times New Roman" w:cs="Times New Roman"/>
          <w:sz w:val="28"/>
          <w:szCs w:val="28"/>
        </w:rPr>
        <w:t xml:space="preserve">Досягнення визначених цілей впровадження регуляторного </w:t>
      </w:r>
      <w:proofErr w:type="spellStart"/>
      <w:r w:rsidRPr="00FE758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E7588">
        <w:rPr>
          <w:rFonts w:ascii="Times New Roman" w:hAnsi="Times New Roman" w:cs="Times New Roman"/>
          <w:sz w:val="28"/>
          <w:szCs w:val="28"/>
        </w:rPr>
        <w:t xml:space="preserve"> забезпечується шляхом запровадження </w:t>
      </w:r>
      <w:r w:rsidR="00872185">
        <w:rPr>
          <w:rFonts w:ascii="Times New Roman" w:hAnsi="Times New Roman" w:cs="Times New Roman"/>
          <w:sz w:val="28"/>
          <w:szCs w:val="28"/>
        </w:rPr>
        <w:t xml:space="preserve">процедури проведення експертизи та прозорого механізму </w:t>
      </w:r>
      <w:r w:rsidRPr="00FE7588">
        <w:rPr>
          <w:rFonts w:ascii="Times New Roman" w:hAnsi="Times New Roman" w:cs="Times New Roman"/>
          <w:sz w:val="28"/>
          <w:szCs w:val="28"/>
        </w:rPr>
        <w:t xml:space="preserve">затвердження освітніх </w:t>
      </w:r>
      <w:r w:rsidR="00B1027B">
        <w:rPr>
          <w:rFonts w:ascii="Times New Roman" w:hAnsi="Times New Roman" w:cs="Times New Roman"/>
          <w:sz w:val="28"/>
          <w:szCs w:val="28"/>
        </w:rPr>
        <w:t xml:space="preserve">програм повної загальної </w:t>
      </w:r>
      <w:r w:rsidRPr="00FE7588">
        <w:rPr>
          <w:rFonts w:ascii="Times New Roman" w:hAnsi="Times New Roman" w:cs="Times New Roman"/>
          <w:sz w:val="28"/>
          <w:szCs w:val="28"/>
        </w:rPr>
        <w:t>середньої освіти</w:t>
      </w:r>
      <w:r w:rsidR="00D91875">
        <w:rPr>
          <w:rFonts w:ascii="Times New Roman" w:hAnsi="Times New Roman" w:cs="Times New Roman"/>
          <w:sz w:val="28"/>
          <w:szCs w:val="28"/>
        </w:rPr>
        <w:t>,</w:t>
      </w:r>
      <w:r w:rsidRPr="00FE7588">
        <w:rPr>
          <w:rFonts w:ascii="Times New Roman" w:hAnsi="Times New Roman" w:cs="Times New Roman"/>
          <w:sz w:val="28"/>
          <w:szCs w:val="28"/>
        </w:rPr>
        <w:t xml:space="preserve"> </w:t>
      </w:r>
      <w:r w:rsidR="00D91875">
        <w:rPr>
          <w:rFonts w:ascii="Times New Roman" w:hAnsi="Times New Roman" w:cs="Times New Roman"/>
          <w:sz w:val="28"/>
          <w:szCs w:val="28"/>
        </w:rPr>
        <w:t xml:space="preserve">розроблених не на основі типових освітніх </w:t>
      </w:r>
      <w:r w:rsidR="00D91875" w:rsidRPr="0042713A">
        <w:rPr>
          <w:rFonts w:ascii="Times New Roman" w:hAnsi="Times New Roman" w:cs="Times New Roman"/>
          <w:sz w:val="28"/>
          <w:szCs w:val="28"/>
        </w:rPr>
        <w:t>програм</w:t>
      </w:r>
      <w:r w:rsidRPr="0042713A">
        <w:rPr>
          <w:rFonts w:ascii="Times New Roman" w:hAnsi="Times New Roman" w:cs="Times New Roman"/>
          <w:sz w:val="28"/>
          <w:szCs w:val="28"/>
        </w:rPr>
        <w:t xml:space="preserve"> </w:t>
      </w:r>
      <w:r w:rsidR="0042713A" w:rsidRPr="0042713A">
        <w:rPr>
          <w:rFonts w:ascii="Times New Roman" w:hAnsi="Times New Roman" w:cs="Times New Roman"/>
          <w:sz w:val="28"/>
          <w:szCs w:val="28"/>
        </w:rPr>
        <w:t>і</w:t>
      </w:r>
      <w:r w:rsidRPr="0042713A">
        <w:rPr>
          <w:rFonts w:ascii="Times New Roman" w:hAnsi="Times New Roman" w:cs="Times New Roman"/>
          <w:sz w:val="28"/>
          <w:szCs w:val="28"/>
        </w:rPr>
        <w:t>з</w:t>
      </w:r>
      <w:r w:rsidRPr="00FE7588">
        <w:rPr>
          <w:rFonts w:ascii="Times New Roman" w:hAnsi="Times New Roman" w:cs="Times New Roman"/>
          <w:sz w:val="28"/>
          <w:szCs w:val="28"/>
        </w:rPr>
        <w:t xml:space="preserve"> метою встановлення </w:t>
      </w:r>
      <w:r w:rsidR="00184855">
        <w:rPr>
          <w:rFonts w:ascii="Times New Roman" w:hAnsi="Times New Roman" w:cs="Times New Roman"/>
          <w:sz w:val="28"/>
          <w:szCs w:val="28"/>
        </w:rPr>
        <w:t xml:space="preserve">їх </w:t>
      </w:r>
      <w:r w:rsidRPr="00FE7588">
        <w:rPr>
          <w:rFonts w:ascii="Times New Roman" w:hAnsi="Times New Roman" w:cs="Times New Roman"/>
          <w:sz w:val="28"/>
          <w:szCs w:val="28"/>
        </w:rPr>
        <w:t xml:space="preserve">відповідності </w:t>
      </w:r>
      <w:r w:rsidR="00184855">
        <w:rPr>
          <w:rFonts w:ascii="Times New Roman" w:hAnsi="Times New Roman" w:cs="Times New Roman"/>
          <w:sz w:val="28"/>
          <w:szCs w:val="28"/>
        </w:rPr>
        <w:t xml:space="preserve">вимогам </w:t>
      </w:r>
      <w:r w:rsidR="00913DB3">
        <w:rPr>
          <w:rFonts w:ascii="Times New Roman" w:hAnsi="Times New Roman" w:cs="Times New Roman"/>
          <w:sz w:val="28"/>
          <w:szCs w:val="28"/>
        </w:rPr>
        <w:t>де</w:t>
      </w:r>
      <w:r w:rsidRPr="00FE7588">
        <w:rPr>
          <w:rFonts w:ascii="Times New Roman" w:hAnsi="Times New Roman" w:cs="Times New Roman"/>
          <w:sz w:val="28"/>
          <w:szCs w:val="28"/>
        </w:rPr>
        <w:t>ржавн</w:t>
      </w:r>
      <w:r w:rsidR="00913DB3">
        <w:rPr>
          <w:rFonts w:ascii="Times New Roman" w:hAnsi="Times New Roman" w:cs="Times New Roman"/>
          <w:sz w:val="28"/>
          <w:szCs w:val="28"/>
        </w:rPr>
        <w:t>их</w:t>
      </w:r>
      <w:r w:rsidRPr="00FE758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913DB3">
        <w:rPr>
          <w:rFonts w:ascii="Times New Roman" w:hAnsi="Times New Roman" w:cs="Times New Roman"/>
          <w:sz w:val="28"/>
          <w:szCs w:val="28"/>
        </w:rPr>
        <w:t>ів</w:t>
      </w:r>
      <w:r w:rsidR="00817919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184855">
        <w:rPr>
          <w:rFonts w:ascii="Times New Roman" w:hAnsi="Times New Roman" w:cs="Times New Roman"/>
          <w:sz w:val="28"/>
          <w:szCs w:val="28"/>
        </w:rPr>
        <w:t xml:space="preserve"> відповідного рівня.</w:t>
      </w:r>
    </w:p>
    <w:p w:rsidR="00FE7588" w:rsidRPr="00FE7588" w:rsidRDefault="00913DB3" w:rsidP="00FE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Прийняття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FE7588" w:rsidRPr="00FE7588">
        <w:rPr>
          <w:rFonts w:ascii="Times New Roman" w:hAnsi="Times New Roman" w:cs="Times New Roman"/>
          <w:sz w:val="28"/>
          <w:szCs w:val="28"/>
        </w:rPr>
        <w:t xml:space="preserve"> направлено на належне виконання функцій центрального органу виконавчої влади із забезпечення якості освіти та виконання вимог законодавства, що регулює питання у сфері освіти.</w:t>
      </w:r>
    </w:p>
    <w:p w:rsidR="00FE7588" w:rsidRPr="00FE7588" w:rsidRDefault="00FE7588" w:rsidP="00FE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88">
        <w:rPr>
          <w:rFonts w:ascii="Times New Roman" w:hAnsi="Times New Roman" w:cs="Times New Roman"/>
          <w:sz w:val="28"/>
          <w:szCs w:val="28"/>
        </w:rPr>
        <w:t xml:space="preserve">Прийняття </w:t>
      </w:r>
      <w:proofErr w:type="spellStart"/>
      <w:r w:rsidRPr="00FE7588">
        <w:rPr>
          <w:rFonts w:ascii="Times New Roman" w:hAnsi="Times New Roman" w:cs="Times New Roman"/>
          <w:sz w:val="28"/>
          <w:szCs w:val="28"/>
        </w:rPr>
        <w:t>акт</w:t>
      </w:r>
      <w:r w:rsidR="00913D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E7588">
        <w:rPr>
          <w:rFonts w:ascii="Times New Roman" w:hAnsi="Times New Roman" w:cs="Times New Roman"/>
          <w:sz w:val="28"/>
          <w:szCs w:val="28"/>
        </w:rPr>
        <w:t xml:space="preserve"> не потребує здійснення центральними органами виконавчої влади додаткових заходів для впровадження регуляторного </w:t>
      </w:r>
      <w:proofErr w:type="spellStart"/>
      <w:r w:rsidRPr="00FE7588">
        <w:rPr>
          <w:rFonts w:ascii="Times New Roman" w:hAnsi="Times New Roman" w:cs="Times New Roman"/>
          <w:sz w:val="28"/>
          <w:szCs w:val="28"/>
        </w:rPr>
        <w:t>акт</w:t>
      </w:r>
      <w:r w:rsidR="00913D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E7588">
        <w:rPr>
          <w:rFonts w:ascii="Times New Roman" w:hAnsi="Times New Roman" w:cs="Times New Roman"/>
          <w:sz w:val="28"/>
          <w:szCs w:val="28"/>
        </w:rPr>
        <w:t>.</w:t>
      </w:r>
    </w:p>
    <w:p w:rsidR="008972E1" w:rsidRDefault="00FE7588" w:rsidP="00FE75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588">
        <w:rPr>
          <w:rFonts w:ascii="Times New Roman" w:hAnsi="Times New Roman" w:cs="Times New Roman"/>
          <w:sz w:val="28"/>
          <w:szCs w:val="28"/>
        </w:rPr>
        <w:t>Міністерство освіти і науки України та Державна служба якості освіти України шляхом оприлюднення на офіційних сайтах інформації, а також шляхом листування з закладами освіти, науковими установами та іншими суб'єктами освітньої діяльності доводить до них інформацію та рекомендації із застосування та запровадження нормативно-правових актів у сфері освіти.</w:t>
      </w:r>
    </w:p>
    <w:p w:rsidR="00FE7588" w:rsidRDefault="00FE7588" w:rsidP="00FE75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BE" w:rsidRDefault="008755BE" w:rsidP="008972E1">
      <w:pPr>
        <w:pStyle w:val="1"/>
      </w:pPr>
      <w:bookmarkStart w:id="10" w:name="_Toc3536288"/>
      <w:r w:rsidRPr="008755BE">
        <w:t xml:space="preserve">VI. Оцінка виконання вимог регуляторного </w:t>
      </w:r>
      <w:proofErr w:type="spellStart"/>
      <w:r w:rsidRPr="008755BE">
        <w:t>акта</w:t>
      </w:r>
      <w:proofErr w:type="spellEnd"/>
      <w:r w:rsidRPr="008755BE"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10"/>
    </w:p>
    <w:p w:rsidR="00833229" w:rsidRPr="00976A0E" w:rsidRDefault="00833229" w:rsidP="00976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B3" w:rsidRPr="001C48AE" w:rsidRDefault="00913DB3" w:rsidP="00913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8AE">
        <w:rPr>
          <w:rFonts w:ascii="Times New Roman" w:hAnsi="Times New Roman" w:cs="Times New Roman"/>
          <w:sz w:val="28"/>
          <w:szCs w:val="28"/>
        </w:rPr>
        <w:t xml:space="preserve">Від впровадження проєкту регуляторного </w:t>
      </w:r>
      <w:proofErr w:type="spellStart"/>
      <w:r w:rsidRPr="001C48A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C48AE">
        <w:rPr>
          <w:rFonts w:ascii="Times New Roman" w:hAnsi="Times New Roman" w:cs="Times New Roman"/>
          <w:sz w:val="28"/>
          <w:szCs w:val="28"/>
        </w:rPr>
        <w:t xml:space="preserve"> негативних наслідків не очікується.</w:t>
      </w:r>
    </w:p>
    <w:p w:rsidR="00913DB3" w:rsidRPr="001C48AE" w:rsidRDefault="00913DB3" w:rsidP="00913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3A3">
        <w:rPr>
          <w:rFonts w:ascii="Times New Roman" w:hAnsi="Times New Roman" w:cs="Times New Roman"/>
          <w:sz w:val="28"/>
          <w:szCs w:val="28"/>
        </w:rPr>
        <w:t xml:space="preserve">Реалізація проєкту регуляторного </w:t>
      </w:r>
      <w:proofErr w:type="spellStart"/>
      <w:r w:rsidRPr="008853A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8853A3">
        <w:rPr>
          <w:rFonts w:ascii="Times New Roman" w:hAnsi="Times New Roman" w:cs="Times New Roman"/>
          <w:sz w:val="28"/>
          <w:szCs w:val="28"/>
        </w:rPr>
        <w:t xml:space="preserve"> не потребує додаткових витрат з державного бюджету України, тому розрахунок бюджетних витрат не здійснювався.</w:t>
      </w:r>
    </w:p>
    <w:p w:rsidR="008755BE" w:rsidRPr="00976A0E" w:rsidRDefault="00833229" w:rsidP="00913DB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53A3">
        <w:rPr>
          <w:rFonts w:ascii="Times New Roman" w:hAnsi="Times New Roman" w:cs="Times New Roman"/>
          <w:sz w:val="28"/>
          <w:szCs w:val="28"/>
        </w:rPr>
        <w:t>Враховуючи,</w:t>
      </w:r>
      <w:r w:rsidRPr="00B938CE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</w:t>
      </w:r>
      <w:r w:rsidR="00976A0E">
        <w:rPr>
          <w:rFonts w:ascii="Times New Roman" w:hAnsi="Times New Roman" w:cs="Times New Roman"/>
          <w:bCs/>
          <w:sz w:val="28"/>
          <w:szCs w:val="28"/>
        </w:rPr>
        <w:t>ється регулювання, перевищує 10 </w:t>
      </w:r>
      <w:r w:rsidRPr="00B938CE">
        <w:rPr>
          <w:rFonts w:ascii="Times New Roman" w:hAnsi="Times New Roman" w:cs="Times New Roman"/>
          <w:bCs/>
          <w:sz w:val="28"/>
          <w:szCs w:val="28"/>
        </w:rPr>
        <w:t xml:space="preserve">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 впливу регуляторного </w:t>
      </w:r>
      <w:proofErr w:type="spellStart"/>
      <w:r w:rsidRPr="00B938CE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B938CE">
        <w:rPr>
          <w:rFonts w:ascii="Times New Roman" w:hAnsi="Times New Roman" w:cs="Times New Roman"/>
          <w:bCs/>
          <w:sz w:val="28"/>
          <w:szCs w:val="28"/>
        </w:rPr>
        <w:t xml:space="preserve"> (Тест малого підприємництва).</w:t>
      </w:r>
    </w:p>
    <w:p w:rsidR="008972E1" w:rsidRDefault="008972E1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5BE" w:rsidRDefault="008755BE" w:rsidP="008972E1">
      <w:pPr>
        <w:pStyle w:val="1"/>
      </w:pPr>
      <w:bookmarkStart w:id="11" w:name="_Toc3536289"/>
      <w:r w:rsidRPr="008755BE">
        <w:t xml:space="preserve">VII. Обґрунтування запропонованого строку дії регуляторного </w:t>
      </w:r>
      <w:proofErr w:type="spellStart"/>
      <w:r w:rsidRPr="008755BE">
        <w:t>акта</w:t>
      </w:r>
      <w:bookmarkEnd w:id="11"/>
      <w:proofErr w:type="spellEnd"/>
    </w:p>
    <w:p w:rsidR="007D0DC4" w:rsidRDefault="007D0DC4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C4" w:rsidRDefault="00976A0E" w:rsidP="007D0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 дії регулятор</w:t>
      </w:r>
      <w:r w:rsidR="009D24A1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="009D24A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обмежується у часі, що дасть змогу досягти цілей державного регулювання. </w:t>
      </w:r>
      <w:r w:rsidR="009D24A1">
        <w:rPr>
          <w:rFonts w:ascii="Times New Roman" w:hAnsi="Times New Roman" w:cs="Times New Roman"/>
          <w:sz w:val="28"/>
          <w:szCs w:val="28"/>
        </w:rPr>
        <w:t xml:space="preserve">Зміна строку дії </w:t>
      </w:r>
      <w:proofErr w:type="spellStart"/>
      <w:r w:rsidR="009D24A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9D24A1">
        <w:rPr>
          <w:rFonts w:ascii="Times New Roman" w:hAnsi="Times New Roman" w:cs="Times New Roman"/>
          <w:sz w:val="28"/>
          <w:szCs w:val="28"/>
        </w:rPr>
        <w:t xml:space="preserve"> можлива  в разі зміни правових актів, на вимогах яких базується проєкт регуляторно</w:t>
      </w:r>
      <w:r w:rsidR="00913DB3">
        <w:rPr>
          <w:rFonts w:ascii="Times New Roman" w:hAnsi="Times New Roman" w:cs="Times New Roman"/>
          <w:sz w:val="28"/>
          <w:szCs w:val="28"/>
        </w:rPr>
        <w:t>го</w:t>
      </w:r>
      <w:r w:rsidR="009D2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4A1">
        <w:rPr>
          <w:rFonts w:ascii="Times New Roman" w:hAnsi="Times New Roman" w:cs="Times New Roman"/>
          <w:sz w:val="28"/>
          <w:szCs w:val="28"/>
        </w:rPr>
        <w:t>акт</w:t>
      </w:r>
      <w:r w:rsidR="00913D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D24A1">
        <w:rPr>
          <w:rFonts w:ascii="Times New Roman" w:hAnsi="Times New Roman" w:cs="Times New Roman"/>
          <w:sz w:val="28"/>
          <w:szCs w:val="28"/>
        </w:rPr>
        <w:t xml:space="preserve">. Проєкт регуляторного </w:t>
      </w:r>
      <w:proofErr w:type="spellStart"/>
      <w:r w:rsidR="009D24A1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9D24A1">
        <w:rPr>
          <w:rFonts w:ascii="Times New Roman" w:hAnsi="Times New Roman" w:cs="Times New Roman"/>
          <w:sz w:val="28"/>
          <w:szCs w:val="28"/>
        </w:rPr>
        <w:t xml:space="preserve"> набирає чинності з дня його офіційного опублікування.  </w:t>
      </w:r>
    </w:p>
    <w:p w:rsidR="009D24A1" w:rsidRDefault="009D24A1" w:rsidP="008972E1">
      <w:pPr>
        <w:pStyle w:val="1"/>
      </w:pPr>
      <w:bookmarkStart w:id="12" w:name="_Toc3536290"/>
    </w:p>
    <w:p w:rsidR="008755BE" w:rsidRDefault="008755BE" w:rsidP="008972E1">
      <w:pPr>
        <w:pStyle w:val="1"/>
      </w:pPr>
      <w:r w:rsidRPr="008755BE">
        <w:t xml:space="preserve">VIII. Визначення показників результативності дії регуляторного </w:t>
      </w:r>
      <w:proofErr w:type="spellStart"/>
      <w:r w:rsidRPr="008755BE">
        <w:t>акта</w:t>
      </w:r>
      <w:bookmarkEnd w:id="12"/>
      <w:proofErr w:type="spellEnd"/>
    </w:p>
    <w:p w:rsidR="008C3293" w:rsidRDefault="008C3293" w:rsidP="008C32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786D" w:rsidRDefault="00615FDD" w:rsidP="00AD3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обрано такі показники</w:t>
      </w:r>
      <w:r w:rsidR="009D24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54D8" w:rsidRPr="006054D8" w:rsidRDefault="006054D8" w:rsidP="0060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054D8">
        <w:rPr>
          <w:rFonts w:ascii="Times New Roman" w:hAnsi="Times New Roman" w:cs="Times New Roman"/>
          <w:sz w:val="28"/>
          <w:szCs w:val="28"/>
        </w:rPr>
        <w:t xml:space="preserve">розмір надходжень до державного та місцевих бюджетів і державних цільових фондів, пов’язаних з дією </w:t>
      </w:r>
      <w:proofErr w:type="spellStart"/>
      <w:r w:rsidRPr="006054D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054D8">
        <w:rPr>
          <w:rFonts w:ascii="Times New Roman" w:hAnsi="Times New Roman" w:cs="Times New Roman"/>
          <w:sz w:val="28"/>
          <w:szCs w:val="28"/>
        </w:rPr>
        <w:t xml:space="preserve"> – не прогнозується;</w:t>
      </w:r>
    </w:p>
    <w:p w:rsidR="006054D8" w:rsidRPr="006054D8" w:rsidRDefault="006054D8" w:rsidP="0060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054D8">
        <w:rPr>
          <w:rFonts w:ascii="Times New Roman" w:hAnsi="Times New Roman" w:cs="Times New Roman"/>
          <w:sz w:val="28"/>
          <w:szCs w:val="28"/>
        </w:rPr>
        <w:t xml:space="preserve">розмір коштів і час, що витрачатимуться суб’єктами господарювання, пов’язаними з виконанням вимог </w:t>
      </w:r>
      <w:proofErr w:type="spellStart"/>
      <w:r w:rsidRPr="006054D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054D8">
        <w:rPr>
          <w:rFonts w:ascii="Times New Roman" w:hAnsi="Times New Roman" w:cs="Times New Roman"/>
          <w:sz w:val="28"/>
          <w:szCs w:val="28"/>
        </w:rPr>
        <w:t xml:space="preserve"> – не прогнозується; </w:t>
      </w:r>
    </w:p>
    <w:p w:rsidR="00BE12AE" w:rsidRDefault="006054D8" w:rsidP="006054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6054D8">
        <w:rPr>
          <w:rFonts w:ascii="Times New Roman" w:hAnsi="Times New Roman" w:cs="Times New Roman"/>
          <w:sz w:val="28"/>
          <w:szCs w:val="28"/>
        </w:rPr>
        <w:t xml:space="preserve">кількість суб’єктів господарювання та/або фізичних осіб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E12AE">
        <w:rPr>
          <w:rFonts w:ascii="Times New Roman" w:hAnsi="Times New Roman" w:cs="Times New Roman"/>
          <w:sz w:val="28"/>
          <w:szCs w:val="28"/>
        </w:rPr>
        <w:t>закладів освіти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12AE">
        <w:rPr>
          <w:rFonts w:ascii="Times New Roman" w:hAnsi="Times New Roman" w:cs="Times New Roman"/>
          <w:sz w:val="28"/>
          <w:szCs w:val="28"/>
        </w:rPr>
        <w:t xml:space="preserve"> наукових установ</w:t>
      </w:r>
      <w:r>
        <w:rPr>
          <w:rFonts w:ascii="Times New Roman" w:hAnsi="Times New Roman" w:cs="Times New Roman"/>
          <w:sz w:val="28"/>
          <w:szCs w:val="28"/>
        </w:rPr>
        <w:t xml:space="preserve"> та інших фізичних осіб)</w:t>
      </w:r>
      <w:r w:rsidRPr="006054D8">
        <w:rPr>
          <w:rFonts w:ascii="Times New Roman" w:hAnsi="Times New Roman" w:cs="Times New Roman"/>
          <w:sz w:val="28"/>
          <w:szCs w:val="28"/>
        </w:rPr>
        <w:t xml:space="preserve">, на яких поширюватиметься дія </w:t>
      </w:r>
      <w:proofErr w:type="spellStart"/>
      <w:r w:rsidRPr="006054D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054D8">
        <w:rPr>
          <w:rFonts w:ascii="Times New Roman" w:hAnsi="Times New Roman" w:cs="Times New Roman"/>
          <w:sz w:val="28"/>
          <w:szCs w:val="28"/>
        </w:rPr>
        <w:t>;</w:t>
      </w:r>
    </w:p>
    <w:p w:rsidR="00AB3BDA" w:rsidRDefault="00CD7C70" w:rsidP="00AD3A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BDA">
        <w:rPr>
          <w:rFonts w:ascii="Times New Roman" w:hAnsi="Times New Roman" w:cs="Times New Roman"/>
          <w:sz w:val="28"/>
          <w:szCs w:val="28"/>
        </w:rPr>
        <w:t> </w:t>
      </w:r>
      <w:r w:rsidR="00AB3BDA" w:rsidRPr="00761BC6">
        <w:rPr>
          <w:rFonts w:ascii="Times New Roman" w:hAnsi="Times New Roman"/>
          <w:sz w:val="28"/>
          <w:szCs w:val="28"/>
          <w:lang w:eastAsia="ru-RU"/>
        </w:rPr>
        <w:t xml:space="preserve">рівень поінформованості суб'єктів господарювання з основних положень </w:t>
      </w:r>
      <w:proofErr w:type="spellStart"/>
      <w:r w:rsidR="00AB3BDA" w:rsidRPr="00761BC6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="00AB3BDA">
        <w:rPr>
          <w:rFonts w:ascii="Times New Roman" w:hAnsi="Times New Roman"/>
          <w:sz w:val="28"/>
          <w:szCs w:val="28"/>
          <w:lang w:eastAsia="ru-RU"/>
        </w:rPr>
        <w:t>;</w:t>
      </w:r>
    </w:p>
    <w:p w:rsidR="005122E2" w:rsidRDefault="00AB3BDA" w:rsidP="00AD3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C70" w:rsidRPr="00BE12AE">
        <w:rPr>
          <w:rFonts w:ascii="Times New Roman" w:hAnsi="Times New Roman" w:cs="Times New Roman"/>
          <w:sz w:val="28"/>
          <w:szCs w:val="28"/>
        </w:rPr>
        <w:t>кількість</w:t>
      </w:r>
      <w:r w:rsidR="00CD7C70">
        <w:rPr>
          <w:rFonts w:ascii="Times New Roman" w:hAnsi="Times New Roman" w:cs="Times New Roman"/>
          <w:sz w:val="28"/>
          <w:szCs w:val="28"/>
        </w:rPr>
        <w:t xml:space="preserve"> освітніх </w:t>
      </w:r>
      <w:r w:rsidR="00AD3A5F">
        <w:rPr>
          <w:rFonts w:ascii="Times New Roman" w:hAnsi="Times New Roman" w:cs="Times New Roman"/>
          <w:sz w:val="28"/>
          <w:szCs w:val="28"/>
        </w:rPr>
        <w:t xml:space="preserve">програм, розроблених </w:t>
      </w:r>
      <w:r w:rsidR="000E33D6">
        <w:rPr>
          <w:rFonts w:ascii="Times New Roman" w:hAnsi="Times New Roman" w:cs="Times New Roman"/>
          <w:sz w:val="28"/>
          <w:szCs w:val="28"/>
        </w:rPr>
        <w:t xml:space="preserve"> не на основі типових</w:t>
      </w:r>
      <w:r w:rsidR="00184855">
        <w:rPr>
          <w:rFonts w:ascii="Times New Roman" w:hAnsi="Times New Roman" w:cs="Times New Roman"/>
          <w:sz w:val="28"/>
          <w:szCs w:val="28"/>
        </w:rPr>
        <w:t>,</w:t>
      </w:r>
      <w:r w:rsidR="00CD7C70">
        <w:rPr>
          <w:rFonts w:ascii="Times New Roman" w:hAnsi="Times New Roman" w:cs="Times New Roman"/>
          <w:sz w:val="28"/>
          <w:szCs w:val="28"/>
        </w:rPr>
        <w:t xml:space="preserve"> </w:t>
      </w:r>
      <w:r w:rsidR="00184855">
        <w:rPr>
          <w:rFonts w:ascii="Times New Roman" w:hAnsi="Times New Roman" w:cs="Times New Roman"/>
          <w:sz w:val="28"/>
          <w:szCs w:val="28"/>
        </w:rPr>
        <w:t xml:space="preserve">поданих </w:t>
      </w:r>
      <w:r w:rsidR="00CD7C70">
        <w:rPr>
          <w:rFonts w:ascii="Times New Roman" w:hAnsi="Times New Roman" w:cs="Times New Roman"/>
          <w:sz w:val="28"/>
          <w:szCs w:val="28"/>
        </w:rPr>
        <w:t>на затвердження до Державної служби якості освіти України;</w:t>
      </w:r>
    </w:p>
    <w:p w:rsidR="00AB3BDA" w:rsidRDefault="00AB3BDA" w:rsidP="00AD3A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12AE">
        <w:rPr>
          <w:rFonts w:ascii="Times New Roman" w:hAnsi="Times New Roman" w:cs="Times New Roman"/>
          <w:sz w:val="28"/>
          <w:szCs w:val="28"/>
        </w:rPr>
        <w:t>кількість</w:t>
      </w:r>
      <w:r>
        <w:rPr>
          <w:rFonts w:ascii="Times New Roman" w:hAnsi="Times New Roman" w:cs="Times New Roman"/>
          <w:sz w:val="28"/>
          <w:szCs w:val="28"/>
        </w:rPr>
        <w:t xml:space="preserve"> закладів освіти, в яких проводиться моніторинг якості впровадження освітньої програми, розробленої не на основі типових;</w:t>
      </w:r>
    </w:p>
    <w:p w:rsidR="00393163" w:rsidRDefault="00711D98" w:rsidP="00615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4271">
        <w:rPr>
          <w:rFonts w:ascii="Times New Roman" w:hAnsi="Times New Roman" w:cs="Times New Roman"/>
          <w:sz w:val="28"/>
          <w:szCs w:val="28"/>
        </w:rPr>
        <w:t> </w:t>
      </w:r>
      <w:r w:rsidRPr="00711D98">
        <w:rPr>
          <w:rFonts w:ascii="Times New Roman" w:hAnsi="Times New Roman" w:cs="Times New Roman"/>
          <w:sz w:val="28"/>
          <w:szCs w:val="28"/>
        </w:rPr>
        <w:t>кількість</w:t>
      </w:r>
      <w:r w:rsidR="00AD3A5F">
        <w:rPr>
          <w:rFonts w:ascii="Times New Roman" w:hAnsi="Times New Roman" w:cs="Times New Roman"/>
          <w:sz w:val="28"/>
          <w:szCs w:val="28"/>
        </w:rPr>
        <w:t xml:space="preserve"> освітніх програм, розроблених не на основі типових,</w:t>
      </w:r>
      <w:r w:rsidR="00AB3BDA" w:rsidRPr="00711D98">
        <w:rPr>
          <w:rFonts w:ascii="Times New Roman" w:hAnsi="Times New Roman" w:cs="Times New Roman"/>
          <w:sz w:val="28"/>
          <w:szCs w:val="28"/>
        </w:rPr>
        <w:t xml:space="preserve"> </w:t>
      </w:r>
      <w:r w:rsidR="00AB3BDA">
        <w:rPr>
          <w:rFonts w:ascii="Times New Roman" w:hAnsi="Times New Roman" w:cs="Times New Roman"/>
          <w:sz w:val="28"/>
          <w:szCs w:val="28"/>
        </w:rPr>
        <w:t>затверджених</w:t>
      </w:r>
      <w:r w:rsidR="00AD3A5F">
        <w:rPr>
          <w:rFonts w:ascii="Times New Roman" w:hAnsi="Times New Roman" w:cs="Times New Roman"/>
          <w:sz w:val="28"/>
          <w:szCs w:val="28"/>
        </w:rPr>
        <w:t xml:space="preserve"> </w:t>
      </w:r>
      <w:r w:rsidR="000E33D6">
        <w:rPr>
          <w:rFonts w:ascii="Times New Roman" w:hAnsi="Times New Roman" w:cs="Times New Roman"/>
          <w:sz w:val="28"/>
          <w:szCs w:val="28"/>
        </w:rPr>
        <w:t>Державною службою якості освіти України</w:t>
      </w:r>
      <w:r w:rsidR="00346413">
        <w:rPr>
          <w:rFonts w:ascii="Times New Roman" w:hAnsi="Times New Roman" w:cs="Times New Roman"/>
          <w:sz w:val="28"/>
          <w:szCs w:val="28"/>
        </w:rPr>
        <w:t>.</w:t>
      </w:r>
    </w:p>
    <w:p w:rsidR="00711D98" w:rsidRPr="00711D98" w:rsidRDefault="00BE6576" w:rsidP="00E06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  <w:r w:rsidR="00711D98" w:rsidRPr="00711D98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="00711D98" w:rsidRPr="00711D9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711D98" w:rsidRPr="00711D98">
        <w:rPr>
          <w:rFonts w:ascii="Times New Roman" w:hAnsi="Times New Roman" w:cs="Times New Roman"/>
          <w:sz w:val="28"/>
          <w:szCs w:val="28"/>
        </w:rPr>
        <w:t xml:space="preserve"> розміщено на офіційних веб-сайтах Державної слу</w:t>
      </w:r>
      <w:r w:rsidR="000E33D6">
        <w:rPr>
          <w:rFonts w:ascii="Times New Roman" w:hAnsi="Times New Roman" w:cs="Times New Roman"/>
          <w:sz w:val="28"/>
          <w:szCs w:val="28"/>
        </w:rPr>
        <w:t xml:space="preserve">жби якості освіти України </w:t>
      </w:r>
      <w:r w:rsidR="009D24A1">
        <w:rPr>
          <w:rFonts w:ascii="Times New Roman" w:hAnsi="Times New Roman" w:cs="Times New Roman"/>
          <w:sz w:val="28"/>
          <w:szCs w:val="28"/>
        </w:rPr>
        <w:t>та Міністерства освіти і науки У</w:t>
      </w:r>
      <w:r w:rsidR="000E33D6">
        <w:rPr>
          <w:rFonts w:ascii="Times New Roman" w:hAnsi="Times New Roman" w:cs="Times New Roman"/>
          <w:sz w:val="28"/>
          <w:szCs w:val="28"/>
        </w:rPr>
        <w:t>країни</w:t>
      </w:r>
      <w:r w:rsidR="00711D98" w:rsidRPr="00711D98">
        <w:rPr>
          <w:rFonts w:ascii="Times New Roman" w:hAnsi="Times New Roman" w:cs="Times New Roman"/>
          <w:sz w:val="28"/>
          <w:szCs w:val="28"/>
        </w:rPr>
        <w:t>, що є достатнім для поінформованості широкої громадськості та суб’єктів господарювання з метою вивчення їх думки</w:t>
      </w:r>
      <w:r w:rsidR="000F091B">
        <w:rPr>
          <w:rFonts w:ascii="Times New Roman" w:hAnsi="Times New Roman" w:cs="Times New Roman"/>
          <w:sz w:val="28"/>
          <w:szCs w:val="28"/>
        </w:rPr>
        <w:t>,</w:t>
      </w:r>
      <w:r w:rsidR="00711D98" w:rsidRPr="00711D98">
        <w:rPr>
          <w:rFonts w:ascii="Times New Roman" w:hAnsi="Times New Roman" w:cs="Times New Roman"/>
          <w:sz w:val="28"/>
          <w:szCs w:val="28"/>
        </w:rPr>
        <w:t xml:space="preserve"> з приводу результативності запроваджених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r w:rsidR="00711D98" w:rsidRPr="00711D9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711D98" w:rsidRPr="00711D98">
        <w:rPr>
          <w:rFonts w:ascii="Times New Roman" w:hAnsi="Times New Roman" w:cs="Times New Roman"/>
          <w:sz w:val="28"/>
          <w:szCs w:val="28"/>
        </w:rPr>
        <w:t xml:space="preserve"> наказу заходів.</w:t>
      </w:r>
    </w:p>
    <w:p w:rsidR="00711D98" w:rsidRPr="00711D98" w:rsidRDefault="00711D98" w:rsidP="00E06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98">
        <w:rPr>
          <w:rFonts w:ascii="Times New Roman" w:hAnsi="Times New Roman" w:cs="Times New Roman"/>
          <w:sz w:val="28"/>
          <w:szCs w:val="28"/>
        </w:rPr>
        <w:t xml:space="preserve">Рівень поінформованості з основними положеннями </w:t>
      </w:r>
      <w:proofErr w:type="spellStart"/>
      <w:r w:rsidRPr="00711D9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711D98">
        <w:rPr>
          <w:rFonts w:ascii="Times New Roman" w:hAnsi="Times New Roman" w:cs="Times New Roman"/>
          <w:sz w:val="28"/>
          <w:szCs w:val="28"/>
        </w:rPr>
        <w:t xml:space="preserve"> – вище середнього за рахунок:</w:t>
      </w:r>
    </w:p>
    <w:p w:rsidR="00711D98" w:rsidRPr="00711D98" w:rsidRDefault="00711D98" w:rsidP="00E06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D98">
        <w:rPr>
          <w:rFonts w:ascii="Times New Roman" w:hAnsi="Times New Roman" w:cs="Times New Roman"/>
          <w:sz w:val="28"/>
          <w:szCs w:val="28"/>
        </w:rPr>
        <w:t xml:space="preserve">а) заклади освіти можуть ознайомитися з </w:t>
      </w:r>
      <w:proofErr w:type="spellStart"/>
      <w:r w:rsidR="00BE6576">
        <w:rPr>
          <w:rFonts w:ascii="Times New Roman" w:hAnsi="Times New Roman" w:cs="Times New Roman"/>
          <w:sz w:val="28"/>
          <w:szCs w:val="28"/>
        </w:rPr>
        <w:t>проєкт</w:t>
      </w:r>
      <w:r w:rsidRPr="00711D9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711D98">
        <w:rPr>
          <w:rFonts w:ascii="Times New Roman" w:hAnsi="Times New Roman" w:cs="Times New Roman"/>
          <w:sz w:val="28"/>
          <w:szCs w:val="28"/>
        </w:rPr>
        <w:t xml:space="preserve"> наказу МОН, який розміщено на офіційному веб-сайті МОН;</w:t>
      </w:r>
    </w:p>
    <w:p w:rsidR="00711D98" w:rsidRPr="00711D98" w:rsidRDefault="00711D98" w:rsidP="00E06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711D98">
        <w:rPr>
          <w:rFonts w:ascii="Times New Roman" w:hAnsi="Times New Roman" w:cs="Times New Roman"/>
          <w:sz w:val="28"/>
          <w:szCs w:val="28"/>
        </w:rPr>
        <w:t>у разі прийняття, наказ буде розміщено на офіційному веб-сайті Міністерства освіти і науки (mon.gov.ua) та Державної служби якості освіти</w:t>
      </w:r>
      <w:r w:rsidR="008C3293">
        <w:rPr>
          <w:rFonts w:ascii="Times New Roman" w:hAnsi="Times New Roman" w:cs="Times New Roman"/>
          <w:sz w:val="28"/>
          <w:szCs w:val="28"/>
        </w:rPr>
        <w:t xml:space="preserve"> (</w:t>
      </w:r>
      <w:r w:rsidR="008C3293" w:rsidRPr="008C3293">
        <w:rPr>
          <w:rFonts w:ascii="Times New Roman" w:hAnsi="Times New Roman" w:cs="Times New Roman"/>
          <w:sz w:val="28"/>
          <w:szCs w:val="28"/>
        </w:rPr>
        <w:t>sqe.gov.ua</w:t>
      </w:r>
      <w:r w:rsidR="008C3293">
        <w:rPr>
          <w:rFonts w:ascii="Times New Roman" w:hAnsi="Times New Roman" w:cs="Times New Roman"/>
          <w:sz w:val="28"/>
          <w:szCs w:val="28"/>
        </w:rPr>
        <w:t>)</w:t>
      </w:r>
      <w:r w:rsidRPr="00711D98">
        <w:rPr>
          <w:rFonts w:ascii="Times New Roman" w:hAnsi="Times New Roman" w:cs="Times New Roman"/>
          <w:sz w:val="28"/>
          <w:szCs w:val="28"/>
        </w:rPr>
        <w:t>.</w:t>
      </w:r>
    </w:p>
    <w:p w:rsidR="00346413" w:rsidRDefault="00346413" w:rsidP="00E06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5BE" w:rsidRDefault="008755BE" w:rsidP="008972E1">
      <w:pPr>
        <w:pStyle w:val="1"/>
      </w:pPr>
      <w:bookmarkStart w:id="13" w:name="_Toc3536291"/>
      <w:r w:rsidRPr="008755BE"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8755BE">
        <w:t>акта</w:t>
      </w:r>
      <w:bookmarkEnd w:id="13"/>
      <w:proofErr w:type="spellEnd"/>
    </w:p>
    <w:p w:rsidR="008755BE" w:rsidRDefault="008755BE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5EA" w:rsidRPr="00E065EA" w:rsidRDefault="00E065EA" w:rsidP="00E06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EA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дії регуляторного </w:t>
      </w:r>
      <w:proofErr w:type="spellStart"/>
      <w:r w:rsidRPr="00E065E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065EA">
        <w:rPr>
          <w:rFonts w:ascii="Times New Roman" w:hAnsi="Times New Roman" w:cs="Times New Roman"/>
          <w:sz w:val="28"/>
          <w:szCs w:val="28"/>
        </w:rPr>
        <w:t xml:space="preserve"> буде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5EA">
        <w:rPr>
          <w:rFonts w:ascii="Times New Roman" w:hAnsi="Times New Roman" w:cs="Times New Roman"/>
          <w:sz w:val="28"/>
          <w:szCs w:val="28"/>
        </w:rPr>
        <w:t>проводитися за допомогою заходів, спрямованих на оцінку стану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5EA">
        <w:rPr>
          <w:rFonts w:ascii="Times New Roman" w:hAnsi="Times New Roman" w:cs="Times New Roman"/>
          <w:sz w:val="28"/>
          <w:szCs w:val="28"/>
        </w:rPr>
        <w:t xml:space="preserve">впровадження регуляторного </w:t>
      </w:r>
      <w:proofErr w:type="spellStart"/>
      <w:r w:rsidRPr="00E065E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065EA">
        <w:rPr>
          <w:rFonts w:ascii="Times New Roman" w:hAnsi="Times New Roman" w:cs="Times New Roman"/>
          <w:sz w:val="28"/>
          <w:szCs w:val="28"/>
        </w:rPr>
        <w:t xml:space="preserve"> та визначення ефективності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5EA">
        <w:rPr>
          <w:rFonts w:ascii="Times New Roman" w:hAnsi="Times New Roman" w:cs="Times New Roman"/>
          <w:sz w:val="28"/>
          <w:szCs w:val="28"/>
        </w:rPr>
        <w:t xml:space="preserve">доцільності </w:t>
      </w:r>
      <w:r w:rsidRPr="0042713A">
        <w:rPr>
          <w:rFonts w:ascii="Times New Roman" w:hAnsi="Times New Roman" w:cs="Times New Roman"/>
          <w:sz w:val="28"/>
          <w:szCs w:val="28"/>
        </w:rPr>
        <w:t>впровадженого регулювання, шляхом аналізу</w:t>
      </w:r>
      <w:r w:rsidRPr="00E065EA">
        <w:rPr>
          <w:rFonts w:ascii="Times New Roman" w:hAnsi="Times New Roman" w:cs="Times New Roman"/>
          <w:sz w:val="28"/>
          <w:szCs w:val="28"/>
        </w:rPr>
        <w:t xml:space="preserve"> статистичних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5EA">
        <w:rPr>
          <w:rFonts w:ascii="Times New Roman" w:hAnsi="Times New Roman" w:cs="Times New Roman"/>
          <w:sz w:val="28"/>
          <w:szCs w:val="28"/>
        </w:rPr>
        <w:t>показників.</w:t>
      </w:r>
    </w:p>
    <w:p w:rsidR="006054D8" w:rsidRDefault="006054D8" w:rsidP="00E06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4D8">
        <w:rPr>
          <w:rFonts w:ascii="Times New Roman" w:hAnsi="Times New Roman" w:cs="Times New Roman"/>
          <w:sz w:val="28"/>
          <w:szCs w:val="28"/>
        </w:rPr>
        <w:t xml:space="preserve">Базове відстеження результативності регуляторного </w:t>
      </w:r>
      <w:proofErr w:type="spellStart"/>
      <w:r w:rsidRPr="006054D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054D8">
        <w:rPr>
          <w:rFonts w:ascii="Times New Roman" w:hAnsi="Times New Roman" w:cs="Times New Roman"/>
          <w:sz w:val="28"/>
          <w:szCs w:val="28"/>
        </w:rPr>
        <w:t xml:space="preserve"> буде здійснюватися через один рік, після набрання чинності цього регуляторного </w:t>
      </w:r>
      <w:proofErr w:type="spellStart"/>
      <w:r w:rsidRPr="006054D8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6054D8">
        <w:rPr>
          <w:rFonts w:ascii="Times New Roman" w:hAnsi="Times New Roman" w:cs="Times New Roman"/>
          <w:sz w:val="28"/>
          <w:szCs w:val="28"/>
        </w:rPr>
        <w:t xml:space="preserve"> шляхом збирання статистичних даних, одержання пропозицій до нього, їх аналізу.</w:t>
      </w:r>
    </w:p>
    <w:p w:rsidR="00361FAA" w:rsidRPr="00361FAA" w:rsidRDefault="00361FAA" w:rsidP="0036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AA">
        <w:rPr>
          <w:rFonts w:ascii="Times New Roman" w:hAnsi="Times New Roman" w:cs="Times New Roman"/>
          <w:sz w:val="28"/>
          <w:szCs w:val="28"/>
        </w:rPr>
        <w:t xml:space="preserve">Повторне відстеження результативності регуляторного </w:t>
      </w:r>
      <w:proofErr w:type="spellStart"/>
      <w:r w:rsidRPr="00361FA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61FAA">
        <w:rPr>
          <w:rFonts w:ascii="Times New Roman" w:hAnsi="Times New Roman" w:cs="Times New Roman"/>
          <w:sz w:val="28"/>
          <w:szCs w:val="28"/>
        </w:rPr>
        <w:t xml:space="preserve"> буде здійснюватися не пізніше двох років з дня набрання чинності цим актом, шляхом аналізу статистичних даних.</w:t>
      </w:r>
    </w:p>
    <w:p w:rsidR="00361FAA" w:rsidRDefault="00361FAA" w:rsidP="0036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FAA">
        <w:rPr>
          <w:rFonts w:ascii="Times New Roman" w:hAnsi="Times New Roman" w:cs="Times New Roman"/>
          <w:sz w:val="28"/>
          <w:szCs w:val="28"/>
        </w:rPr>
        <w:t xml:space="preserve">Періодичні відстеження результативності регуляторного </w:t>
      </w:r>
      <w:proofErr w:type="spellStart"/>
      <w:r w:rsidRPr="00361FA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61FAA">
        <w:rPr>
          <w:rFonts w:ascii="Times New Roman" w:hAnsi="Times New Roman" w:cs="Times New Roman"/>
          <w:sz w:val="28"/>
          <w:szCs w:val="28"/>
        </w:rPr>
        <w:t xml:space="preserve"> будуть здійснюватися шляхом аналізу статистичних даних раз на кожні три роки починаючи з дня закінчення заходів з повторного відстеження результативності цього </w:t>
      </w:r>
      <w:proofErr w:type="spellStart"/>
      <w:r w:rsidRPr="00361FA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61FAA">
        <w:rPr>
          <w:rFonts w:ascii="Times New Roman" w:hAnsi="Times New Roman" w:cs="Times New Roman"/>
          <w:sz w:val="28"/>
          <w:szCs w:val="28"/>
        </w:rPr>
        <w:t>.</w:t>
      </w:r>
    </w:p>
    <w:p w:rsidR="00615FDD" w:rsidRDefault="00E065EA" w:rsidP="0036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5EA">
        <w:rPr>
          <w:rFonts w:ascii="Times New Roman" w:hAnsi="Times New Roman" w:cs="Times New Roman"/>
          <w:sz w:val="28"/>
          <w:szCs w:val="28"/>
        </w:rPr>
        <w:t>У разі виявлення неврегульованих та проблемних питань шляхом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5EA">
        <w:rPr>
          <w:rFonts w:ascii="Times New Roman" w:hAnsi="Times New Roman" w:cs="Times New Roman"/>
          <w:sz w:val="28"/>
          <w:szCs w:val="28"/>
        </w:rPr>
        <w:t xml:space="preserve">аналізу якісних показників дії цього </w:t>
      </w:r>
      <w:proofErr w:type="spellStart"/>
      <w:r w:rsidRPr="00E065E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065EA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E065EA">
        <w:rPr>
          <w:rFonts w:ascii="Times New Roman" w:hAnsi="Times New Roman" w:cs="Times New Roman"/>
          <w:sz w:val="28"/>
          <w:szCs w:val="28"/>
        </w:rPr>
        <w:t>внесено</w:t>
      </w:r>
      <w:proofErr w:type="spellEnd"/>
      <w:r w:rsidRPr="00E065EA">
        <w:rPr>
          <w:rFonts w:ascii="Times New Roman" w:hAnsi="Times New Roman" w:cs="Times New Roman"/>
          <w:sz w:val="28"/>
          <w:szCs w:val="28"/>
        </w:rPr>
        <w:t xml:space="preserve"> відповідні зміни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5EA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E065E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E065EA">
        <w:rPr>
          <w:rFonts w:ascii="Times New Roman" w:hAnsi="Times New Roman" w:cs="Times New Roman"/>
          <w:sz w:val="28"/>
          <w:szCs w:val="28"/>
        </w:rPr>
        <w:t>.</w:t>
      </w:r>
    </w:p>
    <w:p w:rsidR="008755BE" w:rsidRDefault="00615FDD" w:rsidP="00E065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проведення відстеження результативності дії регуляторного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залучатиметься Державна служба якості освіти України.</w:t>
      </w:r>
      <w:r w:rsidR="00E065EA" w:rsidRPr="00E065EA">
        <w:rPr>
          <w:rFonts w:ascii="Times New Roman" w:hAnsi="Times New Roman" w:cs="Times New Roman"/>
          <w:sz w:val="28"/>
          <w:szCs w:val="28"/>
        </w:rPr>
        <w:cr/>
      </w:r>
    </w:p>
    <w:p w:rsidR="008755BE" w:rsidRDefault="008755BE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22B1" w:rsidRDefault="006B22B1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69"/>
      </w:tblGrid>
      <w:tr w:rsidR="008755BE" w:rsidRPr="00064A99" w:rsidTr="008755BE">
        <w:tc>
          <w:tcPr>
            <w:tcW w:w="4785" w:type="dxa"/>
          </w:tcPr>
          <w:p w:rsidR="008755BE" w:rsidRPr="00064A99" w:rsidRDefault="00361FAA" w:rsidP="00F74D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Міністр</w:t>
            </w:r>
            <w:r w:rsidR="006B22B1" w:rsidRPr="00064A99">
              <w:rPr>
                <w:rFonts w:ascii="Times New Roman" w:hAnsi="Times New Roman" w:cs="Times New Roman"/>
                <w:sz w:val="28"/>
                <w:szCs w:val="28"/>
              </w:rPr>
              <w:t xml:space="preserve"> освіти і науки України</w:t>
            </w:r>
          </w:p>
        </w:tc>
        <w:tc>
          <w:tcPr>
            <w:tcW w:w="4785" w:type="dxa"/>
          </w:tcPr>
          <w:p w:rsidR="008755BE" w:rsidRPr="00064A99" w:rsidRDefault="00064A99" w:rsidP="00064A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4A99">
              <w:rPr>
                <w:rFonts w:ascii="Times New Roman" w:hAnsi="Times New Roman" w:cs="Times New Roman"/>
                <w:sz w:val="28"/>
                <w:szCs w:val="28"/>
              </w:rPr>
              <w:t>Сергій</w:t>
            </w:r>
            <w:r w:rsidR="006B22B1" w:rsidRPr="00064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4A99">
              <w:rPr>
                <w:rFonts w:ascii="Times New Roman" w:hAnsi="Times New Roman" w:cs="Times New Roman"/>
                <w:sz w:val="28"/>
                <w:szCs w:val="28"/>
              </w:rPr>
              <w:t>ШКАРЛЕТ</w:t>
            </w:r>
          </w:p>
        </w:tc>
      </w:tr>
      <w:tr w:rsidR="008755BE" w:rsidRPr="00064A99" w:rsidTr="008755BE">
        <w:tc>
          <w:tcPr>
            <w:tcW w:w="4785" w:type="dxa"/>
          </w:tcPr>
          <w:p w:rsidR="008755BE" w:rsidRPr="00064A99" w:rsidRDefault="008755BE" w:rsidP="00F74D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755BE" w:rsidRPr="00064A99" w:rsidRDefault="008755BE" w:rsidP="00F74D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5BE" w:rsidRPr="00064A99" w:rsidTr="008755BE">
        <w:tc>
          <w:tcPr>
            <w:tcW w:w="4785" w:type="dxa"/>
          </w:tcPr>
          <w:p w:rsidR="008755BE" w:rsidRPr="00064A99" w:rsidRDefault="008755BE" w:rsidP="00F74D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4A99">
              <w:rPr>
                <w:rFonts w:ascii="Times New Roman" w:hAnsi="Times New Roman" w:cs="Times New Roman"/>
                <w:sz w:val="28"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:rsidR="008755BE" w:rsidRPr="00064A99" w:rsidRDefault="008755BE" w:rsidP="00F74D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5BE" w:rsidRDefault="008755BE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EA1" w:rsidRDefault="006E3EA1" w:rsidP="00F74D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1FAA" w:rsidRDefault="00361FAA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6E3EA1" w:rsidRPr="006E3EA1" w:rsidRDefault="006E3EA1" w:rsidP="006E3EA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EA1" w:rsidRPr="006E3EA1" w:rsidRDefault="006E3EA1" w:rsidP="006E3EA1">
      <w:pPr>
        <w:widowControl w:val="0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b/>
          <w:sz w:val="28"/>
          <w:szCs w:val="28"/>
          <w:lang w:eastAsia="ru-RU"/>
        </w:rPr>
        <w:t>Додаток 2</w:t>
      </w:r>
    </w:p>
    <w:p w:rsidR="006E3EA1" w:rsidRPr="006E3EA1" w:rsidRDefault="006E3EA1" w:rsidP="006E3EA1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6E3EA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6E3EA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6E3EA1" w:rsidRPr="006E3EA1" w:rsidRDefault="006E3EA1" w:rsidP="006E3EA1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6E3EA1" w:rsidRPr="006E3EA1" w:rsidRDefault="006E3EA1" w:rsidP="006E3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6E3EA1" w:rsidRPr="006E3EA1" w:rsidRDefault="006E3EA1" w:rsidP="006E3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суб'єктів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="00D67346" w:rsidRPr="000D3B63">
        <w:rPr>
          <w:rFonts w:ascii="Times New Roman" w:hAnsi="Times New Roman" w:cs="Times New Roman"/>
          <w:sz w:val="28"/>
          <w:szCs w:val="28"/>
          <w:lang w:eastAsia="ru-RU"/>
        </w:rPr>
        <w:t>з квітня</w:t>
      </w:r>
      <w:r w:rsidRPr="000D3B6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4470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0D3B63">
        <w:rPr>
          <w:rFonts w:ascii="Times New Roman" w:hAnsi="Times New Roman" w:cs="Times New Roman"/>
          <w:sz w:val="28"/>
          <w:szCs w:val="28"/>
          <w:lang w:eastAsia="ru-RU"/>
        </w:rPr>
        <w:t xml:space="preserve"> р</w:t>
      </w:r>
      <w:r w:rsidR="00D67346" w:rsidRPr="000D3B63">
        <w:rPr>
          <w:rFonts w:ascii="Times New Roman" w:hAnsi="Times New Roman" w:cs="Times New Roman"/>
          <w:sz w:val="28"/>
          <w:szCs w:val="28"/>
          <w:lang w:eastAsia="ru-RU"/>
        </w:rPr>
        <w:t>оку</w:t>
      </w:r>
      <w:r w:rsidR="00D6734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24470F">
        <w:rPr>
          <w:rFonts w:ascii="Times New Roman" w:hAnsi="Times New Roman" w:cs="Times New Roman"/>
          <w:sz w:val="28"/>
          <w:szCs w:val="28"/>
          <w:lang w:eastAsia="ru-RU"/>
        </w:rPr>
        <w:t>листопад 2021 року</w:t>
      </w:r>
      <w:r w:rsidR="00ED72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60" w:firstRow="1" w:lastRow="1" w:firstColumn="0" w:lastColumn="0" w:noHBand="0" w:noVBand="0"/>
      </w:tblPr>
      <w:tblGrid>
        <w:gridCol w:w="1618"/>
        <w:gridCol w:w="3308"/>
        <w:gridCol w:w="1787"/>
        <w:gridCol w:w="2625"/>
      </w:tblGrid>
      <w:tr w:rsidR="006E3EA1" w:rsidRPr="006E3EA1" w:rsidTr="0024470F">
        <w:trPr>
          <w:trHeight w:val="1900"/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Порядковий номер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Кількість учасників консультацій, осіб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Основні результати консультацій (опис)</w:t>
            </w:r>
          </w:p>
        </w:tc>
      </w:tr>
      <w:tr w:rsidR="006E3EA1" w:rsidRPr="006E3EA1" w:rsidTr="0024470F">
        <w:trPr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A20E93" w:rsidP="00274703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роєкт </w:t>
            </w:r>
            <w:proofErr w:type="spellStart"/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обго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в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о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рено з представниками Державної служби якості освіти 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У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країни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274703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274703" w:rsidP="006E3EA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результатами обговорення всі пропозиції та зауваження щодо проєкту було проаналізовано, частково враховано</w:t>
            </w:r>
          </w:p>
        </w:tc>
      </w:tr>
      <w:tr w:rsidR="006E3EA1" w:rsidRPr="006E3EA1" w:rsidTr="0024470F">
        <w:trPr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24470F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Нарада під головування заступника Міністра освіти і науки України щодо основних організаційних засад визначення доцільності </w:t>
            </w:r>
            <w:r w:rsidR="00274703"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проведення 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="00274703"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експертизи 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і затвердження  освітніх </w:t>
            </w:r>
            <w:r w:rsidR="00AD3A5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програм, розроблених 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не на основі типових освітніх програм</w:t>
            </w:r>
            <w:r w:rsidR="00274703"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27470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Обговорено основні  організаційні засади </w:t>
            </w: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системи 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р</w:t>
            </w: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оботи щодо проведення 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експертизи 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і затвердження  освітніх </w:t>
            </w:r>
            <w:r w:rsidR="00AD3A5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програм, розроблених </w:t>
            </w:r>
            <w:r w:rsidR="00274703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не на основі типових освітніх програм</w:t>
            </w:r>
          </w:p>
        </w:tc>
      </w:tr>
      <w:tr w:rsidR="006E3EA1" w:rsidRPr="006E3EA1" w:rsidTr="0024470F">
        <w:trPr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274703" w:rsidP="006E3EA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Обговорено з працівниками територіальних органів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>Державної служби якості освіти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274703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6E3EA1"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274703" w:rsidP="006E3EA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 результатами обговорення всі пропозиції та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зауваження щодо проєкту було проаналізовано, частково враховано</w:t>
            </w:r>
          </w:p>
        </w:tc>
      </w:tr>
      <w:tr w:rsidR="006E3EA1" w:rsidRPr="006E3EA1" w:rsidTr="0024470F">
        <w:trPr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274703" w:rsidP="006E3EA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Обговорення з керівниками закладів освіти, педагогічними працівниками</w:t>
            </w:r>
            <w:r w:rsidR="006E3EA1"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274703" w:rsidP="006E3EA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результатами обговорення всі пропозиції та зауваження щодо проєкту було проаналізовано, частково враховано</w:t>
            </w:r>
          </w:p>
        </w:tc>
      </w:tr>
      <w:tr w:rsidR="006E3EA1" w:rsidRPr="006E3EA1" w:rsidTr="0024470F">
        <w:trPr>
          <w:tblCellSpacing w:w="22" w:type="dxa"/>
        </w:trPr>
        <w:tc>
          <w:tcPr>
            <w:tcW w:w="8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24470F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40BA" w:rsidRPr="00711D98" w:rsidRDefault="0024470F" w:rsidP="00854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Громадське обговорення</w:t>
            </w:r>
            <w:r w:rsidR="008540BA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.  Проєкт розміщено на сайті</w:t>
            </w:r>
            <w:r w:rsidR="008540BA" w:rsidRPr="00711D98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служби якості освіти</w:t>
            </w:r>
            <w:r w:rsidR="008540B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540BA" w:rsidRPr="008C3293">
              <w:rPr>
                <w:rFonts w:ascii="Times New Roman" w:hAnsi="Times New Roman" w:cs="Times New Roman"/>
                <w:sz w:val="28"/>
                <w:szCs w:val="28"/>
              </w:rPr>
              <w:t>sqe.gov.ua</w:t>
            </w:r>
            <w:r w:rsidR="008540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540BA" w:rsidRPr="00711D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40BA" w:rsidRDefault="008540BA" w:rsidP="00854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EA1" w:rsidRPr="006E3EA1" w:rsidRDefault="006E3EA1" w:rsidP="006E3EA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9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FE7043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3EA1" w:rsidRPr="006E3EA1" w:rsidRDefault="006E3EA1" w:rsidP="00AA187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Враховано </w:t>
            </w:r>
            <w:r w:rsidR="00AA1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частково </w:t>
            </w: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зауваження та пропозиції до проєкту Порядку </w:t>
            </w:r>
            <w:r w:rsidR="00AA18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експертизи освітніх програм, розроблених не на основі типових освітніх програм</w:t>
            </w:r>
          </w:p>
        </w:tc>
      </w:tr>
    </w:tbl>
    <w:p w:rsidR="006E3EA1" w:rsidRPr="006E3EA1" w:rsidRDefault="006E3EA1" w:rsidP="006E3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EA1" w:rsidRPr="006E3EA1" w:rsidRDefault="006E3EA1" w:rsidP="006E3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суб'єктів малого підприємництва (мікро- та малі):</w:t>
      </w:r>
    </w:p>
    <w:p w:rsidR="006E3EA1" w:rsidRPr="006E3EA1" w:rsidRDefault="00AB3BDA" w:rsidP="006E3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</w:t>
      </w:r>
      <w:r w:rsidR="006E3EA1" w:rsidRPr="006E3EA1">
        <w:rPr>
          <w:rFonts w:ascii="Times New Roman" w:hAnsi="Times New Roman" w:cs="Times New Roman"/>
          <w:sz w:val="28"/>
          <w:szCs w:val="28"/>
          <w:lang w:eastAsia="ru-RU"/>
        </w:rPr>
        <w:t xml:space="preserve">кількість суб'єктів господарювання, на </w:t>
      </w:r>
      <w:r w:rsidR="00AA187C">
        <w:rPr>
          <w:rFonts w:ascii="Times New Roman" w:hAnsi="Times New Roman" w:cs="Times New Roman"/>
          <w:sz w:val="28"/>
          <w:szCs w:val="28"/>
          <w:lang w:eastAsia="ru-RU"/>
        </w:rPr>
        <w:t xml:space="preserve">яких поширюється регулювання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1400</w:t>
      </w:r>
      <w:r w:rsidR="006E3EA1" w:rsidRPr="006E3EA1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24470F" w:rsidRPr="00AB3BDA">
        <w:rPr>
          <w:rFonts w:ascii="Times New Roman" w:hAnsi="Times New Roman" w:cs="Times New Roman"/>
          <w:sz w:val="28"/>
          <w:szCs w:val="28"/>
          <w:lang w:eastAsia="uk-UA"/>
        </w:rPr>
        <w:t>140</w:t>
      </w:r>
      <w:r w:rsidRPr="00AB3BDA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24470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6E3EA1" w:rsidRPr="006E3EA1">
        <w:rPr>
          <w:rFonts w:ascii="Times New Roman" w:hAnsi="Times New Roman" w:cs="Times New Roman"/>
          <w:sz w:val="28"/>
          <w:szCs w:val="28"/>
          <w:lang w:eastAsia="ru-RU"/>
        </w:rPr>
        <w:t>(одиниць);</w:t>
      </w:r>
    </w:p>
    <w:p w:rsidR="008540BA" w:rsidRPr="00A42CB0" w:rsidRDefault="006E3EA1" w:rsidP="00A42CB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 w:rsidR="00FE7043" w:rsidRPr="00FE7043">
        <w:rPr>
          <w:rFonts w:ascii="Times New Roman" w:hAnsi="Times New Roman" w:cs="Times New Roman"/>
          <w:sz w:val="28"/>
          <w:szCs w:val="28"/>
          <w:lang w:eastAsia="ru-RU"/>
        </w:rPr>
        <w:t>100%</w:t>
      </w:r>
      <w:r w:rsidRPr="006E3EA1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суб'єктів господарювання»).</w:t>
      </w:r>
    </w:p>
    <w:p w:rsidR="006E3EA1" w:rsidRPr="006E3EA1" w:rsidRDefault="006E3EA1" w:rsidP="006E3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EA1" w:rsidRPr="006E3EA1" w:rsidRDefault="006E3EA1" w:rsidP="006E3EA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sz w:val="28"/>
          <w:szCs w:val="28"/>
          <w:lang w:eastAsia="ru-RU"/>
        </w:rPr>
        <w:t xml:space="preserve">3. Розрахунок витрат суб'єктів малого підприємництва на виконання вимог регулювання (під час здійснення розрахунку за основу взято витрати одного суб'єкта малого підприємництва для підготовки та подання </w:t>
      </w:r>
      <w:r w:rsidR="00AA187C">
        <w:rPr>
          <w:rFonts w:ascii="Times New Roman" w:hAnsi="Times New Roman" w:cs="Times New Roman"/>
          <w:sz w:val="28"/>
          <w:szCs w:val="28"/>
          <w:lang w:eastAsia="ru-RU"/>
        </w:rPr>
        <w:t xml:space="preserve">однієї освітньої програми для експертизи)   </w:t>
      </w:r>
    </w:p>
    <w:tbl>
      <w:tblPr>
        <w:tblW w:w="9775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3342"/>
        <w:gridCol w:w="2127"/>
        <w:gridCol w:w="1842"/>
        <w:gridCol w:w="1843"/>
      </w:tblGrid>
      <w:tr w:rsidR="006E3EA1" w:rsidRPr="006E3EA1" w:rsidTr="00D243E0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Періодичні (за наступний рік)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6E3EA1" w:rsidRPr="006E3EA1" w:rsidTr="006E3EA1">
        <w:tc>
          <w:tcPr>
            <w:tcW w:w="977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6E3EA1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6E3EA1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6E3EA1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6E3EA1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6E3EA1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Інші процедури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E3EA1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6E3EA1" w:rsidP="0024470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Витрати на оборотні активи (матеріали, канцелярські товари, </w:t>
            </w:r>
            <w:proofErr w:type="spellStart"/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видрук</w:t>
            </w:r>
            <w:proofErr w:type="spellEnd"/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тощо)</w:t>
            </w: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D72A1" w:rsidRDefault="00ED72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</w:p>
          <w:p w:rsidR="006E3EA1" w:rsidRPr="006E3EA1" w:rsidRDefault="00ED72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  <w:r w:rsidR="00AA187C">
              <w:rPr>
                <w:rFonts w:ascii="Times New Roman" w:eastAsia="Arial Unicode MS" w:hAnsi="Times New Roman" w:cs="Times New Roman"/>
                <w:sz w:val="28"/>
                <w:szCs w:val="28"/>
                <w:lang w:bidi="uk-UA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A42CB0" w:rsidP="00ED72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  <w:r w:rsidR="00ED72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  <w:r w:rsidR="00AA187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E3EA1" w:rsidRPr="006E3EA1" w:rsidRDefault="00ED72A1" w:rsidP="00ED72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  <w:r w:rsidR="00A42CB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  <w:r w:rsidR="00AA187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</w:tc>
      </w:tr>
      <w:tr w:rsidR="006E3EA1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6E3EA1" w:rsidRDefault="006E3EA1" w:rsidP="006E3EA1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F53A16" w:rsidRDefault="0024470F" w:rsidP="006E3EA1">
            <w:pPr>
              <w:widowControl w:val="0"/>
              <w:numPr>
                <w:ilvl w:val="0"/>
                <w:numId w:val="11"/>
              </w:numPr>
              <w:tabs>
                <w:tab w:val="left" w:pos="484"/>
                <w:tab w:val="left" w:pos="851"/>
              </w:tabs>
              <w:spacing w:after="0" w:line="240" w:lineRule="auto"/>
              <w:ind w:left="0"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53A16" w:rsidRPr="00F53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ідготовка рукопису освітньої програми, розробленої не на основі типової освітньої програми</w:t>
            </w:r>
            <w:r w:rsidR="00F53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2C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4A87" w:rsidRPr="00F53A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E3EA1" w:rsidRPr="006E3EA1" w:rsidRDefault="00504A87" w:rsidP="0046742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9230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Формула: </w:t>
            </w:r>
            <w:r w:rsidRPr="0029230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</w:r>
            <w:r w:rsidR="0046742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освітня програма</w:t>
            </w:r>
            <w:r w:rsidRPr="0029230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</w:t>
            </w:r>
            <w:r w:rsidR="006E3EA1" w:rsidRPr="0029230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Х</w:t>
            </w:r>
            <w:r w:rsidRPr="0029230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фактичні витрати часу </w:t>
            </w:r>
            <w:r w:rsidR="00A42CB0" w:rsidRPr="0029230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персоналу</w:t>
            </w:r>
            <w:r w:rsidR="006E3EA1" w:rsidRPr="0029230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на заробітну плату</w:t>
            </w:r>
            <w:r w:rsidR="0024470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(10 год)</w:t>
            </w:r>
            <w:r w:rsidR="00294E78">
              <w:rPr>
                <w:rStyle w:val="af1"/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footnoteReference w:id="1"/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6E3EA1" w:rsidRDefault="00297B5D" w:rsidP="00F53A1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361,1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6E3EA1" w:rsidRDefault="00292308" w:rsidP="00F53A16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97B5D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E3EA1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361,1</w:t>
            </w:r>
          </w:p>
        </w:tc>
      </w:tr>
      <w:tr w:rsidR="00297B5D" w:rsidRPr="006E3EA1" w:rsidTr="0024470F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(сума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7B5D" w:rsidRPr="006E3EA1" w:rsidRDefault="00297B5D" w:rsidP="00297B5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361,1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361,1</w:t>
            </w:r>
          </w:p>
        </w:tc>
      </w:tr>
      <w:tr w:rsidR="00297B5D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58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AB3B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AB3BD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400</w:t>
            </w:r>
          </w:p>
        </w:tc>
      </w:tr>
      <w:tr w:rsidR="00297B5D" w:rsidRPr="006E3EA1" w:rsidTr="00D243E0">
        <w:trPr>
          <w:trHeight w:val="289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8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8853A3" w:rsidRDefault="00297B5D" w:rsidP="00297B5D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853A3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8853A3" w:rsidRDefault="00AB3BDA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505540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8853A3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853A3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8853A3" w:rsidRDefault="00AB3BDA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505540</w:t>
            </w:r>
          </w:p>
        </w:tc>
      </w:tr>
      <w:tr w:rsidR="00297B5D" w:rsidRPr="006E3EA1" w:rsidTr="006E3EA1">
        <w:tc>
          <w:tcPr>
            <w:tcW w:w="977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</w:p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297B5D" w:rsidRPr="006E3EA1" w:rsidTr="00297B5D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Процедури отримання первинної інформації про вимоги регулювання </w:t>
            </w:r>
          </w:p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</w:t>
            </w:r>
            <w:r w:rsidRPr="005B5D42">
              <w:rPr>
                <w:rFonts w:ascii="Times New Roman" w:hAnsi="Times New Roman" w:cs="Times New Roman"/>
                <w:sz w:val="28"/>
                <w:szCs w:val="28"/>
              </w:rPr>
              <w:t>20 хв. Х середньозважена середня заробітна плата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</w:tr>
      <w:tr w:rsidR="00297B5D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297B5D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81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97B5D" w:rsidRPr="006E3EA1" w:rsidRDefault="00297B5D" w:rsidP="00AB3B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1</w:t>
            </w:r>
            <w:r w:rsidR="00AB3BDA"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400</w:t>
            </w: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8853A3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</w:pPr>
            <w:r w:rsidRPr="008853A3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8853A3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</w:pPr>
            <w:r w:rsidRPr="008853A3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1</w:t>
            </w:r>
            <w:r w:rsidR="00AB3BDA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6</w:t>
            </w:r>
            <w:r w:rsidRPr="008853A3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800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853A3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1</w:t>
            </w:r>
            <w:r w:rsidR="00AB3BDA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6</w:t>
            </w:r>
            <w:r w:rsidRPr="008853A3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800</w:t>
            </w: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Процедури організації виконання вимог регулювання, а саме: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12.1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5B5D42" w:rsidRDefault="008853A3" w:rsidP="008853A3">
            <w:pPr>
              <w:pStyle w:val="Standard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</w:pPr>
            <w:r w:rsidRPr="005B5D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uk-UA" w:eastAsia="ru-RU" w:bidi="ar-SA"/>
              </w:rPr>
              <w:t>витрати на отримання адміністративних послуг:</w:t>
            </w:r>
          </w:p>
          <w:p w:rsidR="008853A3" w:rsidRDefault="008853A3" w:rsidP="008853A3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отримання </w:t>
            </w:r>
            <w:proofErr w:type="spellStart"/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грифа</w:t>
            </w:r>
            <w:proofErr w:type="spellEnd"/>
          </w:p>
          <w:p w:rsidR="008853A3" w:rsidRPr="006E3EA1" w:rsidRDefault="008853A3" w:rsidP="008853A3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Формула: середня кількість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навчальних програм, що потребують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грифа</w:t>
            </w:r>
            <w:proofErr w:type="spellEnd"/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(2) </w:t>
            </w:r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 вартість платних послуг з проведення експертизи для надання </w:t>
            </w:r>
            <w:proofErr w:type="spellStart"/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грифа</w:t>
            </w:r>
            <w:proofErr w:type="spellEnd"/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(2000 грн Х 2 експерта)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8000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8000</w:t>
            </w: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8853A3" w:rsidRPr="006E3EA1" w:rsidTr="00D243E0"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8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AB3BDA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8"/>
                <w:szCs w:val="28"/>
                <w:lang w:eastAsia="ru-RU"/>
              </w:rPr>
              <w:t>1400</w:t>
            </w:r>
          </w:p>
        </w:tc>
      </w:tr>
      <w:tr w:rsidR="008853A3" w:rsidRPr="006E3EA1" w:rsidTr="00297B5D">
        <w:tc>
          <w:tcPr>
            <w:tcW w:w="6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16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8853A3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</w:pPr>
            <w:r w:rsidRPr="008853A3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53A3" w:rsidRPr="008853A3" w:rsidRDefault="00AB3BDA" w:rsidP="00AB3BDA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11</w:t>
            </w:r>
            <w:r w:rsidR="008853A3" w:rsidRPr="008853A3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20000</w:t>
            </w:r>
            <w:r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53A3" w:rsidRPr="006E3EA1" w:rsidRDefault="00AB3BDA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1</w:t>
            </w:r>
            <w:r w:rsidR="008853A3" w:rsidRPr="008853A3">
              <w:rPr>
                <w:rFonts w:ascii="Times New Roman" w:eastAsia="Arial" w:hAnsi="Times New Roman" w:cs="Times New Roman"/>
                <w:b/>
                <w:i/>
                <w:kern w:val="3"/>
                <w:sz w:val="28"/>
                <w:szCs w:val="28"/>
                <w:lang w:eastAsia="zh-CN" w:bidi="hi-IN"/>
              </w:rPr>
              <w:t>1200000</w:t>
            </w: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17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Інші процедури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18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19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6E3EA1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8853A3" w:rsidRPr="006E3EA1" w:rsidTr="00D243E0"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6E3EA1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E3EA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33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53A3" w:rsidRPr="008853A3" w:rsidRDefault="008853A3" w:rsidP="008853A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853A3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53A3" w:rsidRPr="008853A3" w:rsidRDefault="00E044BF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11216</w:t>
            </w:r>
            <w:r w:rsidR="008853A3" w:rsidRPr="008853A3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 xml:space="preserve">800 </w:t>
            </w:r>
          </w:p>
        </w:tc>
        <w:tc>
          <w:tcPr>
            <w:tcW w:w="18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53A3" w:rsidRPr="008853A3" w:rsidRDefault="008853A3" w:rsidP="008853A3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8853A3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853A3" w:rsidRPr="008853A3" w:rsidRDefault="00E044BF" w:rsidP="008853A3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11216</w:t>
            </w:r>
            <w:r w:rsidRPr="008853A3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800</w:t>
            </w:r>
          </w:p>
        </w:tc>
      </w:tr>
    </w:tbl>
    <w:p w:rsidR="006E3EA1" w:rsidRPr="006E3EA1" w:rsidRDefault="006E3EA1" w:rsidP="006E3E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EA1" w:rsidRPr="006E3EA1" w:rsidRDefault="006E3EA1" w:rsidP="006E3EA1">
      <w:pPr>
        <w:suppressAutoHyphens/>
        <w:autoSpaceDN w:val="0"/>
        <w:spacing w:after="0" w:line="240" w:lineRule="auto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</w:p>
    <w:p w:rsidR="006E3EA1" w:rsidRPr="006E3EA1" w:rsidRDefault="006E3EA1" w:rsidP="006E3E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sz w:val="28"/>
          <w:szCs w:val="28"/>
          <w:lang w:eastAsia="ru-RU"/>
        </w:rPr>
        <w:t>Бюджетні витрати на адміністрування регулювання суб'єктів малого підприємництва</w:t>
      </w:r>
    </w:p>
    <w:p w:rsidR="006E3EA1" w:rsidRPr="006E3EA1" w:rsidRDefault="006E3EA1" w:rsidP="006E3E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2584" w:rsidRDefault="006D1456" w:rsidP="006D14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E3EA1" w:rsidRPr="006E3EA1">
        <w:rPr>
          <w:rFonts w:ascii="Times New Roman" w:hAnsi="Times New Roman" w:cs="Times New Roman"/>
          <w:sz w:val="28"/>
          <w:szCs w:val="28"/>
          <w:lang w:eastAsia="ru-RU"/>
        </w:rPr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6E3EA1" w:rsidRPr="00332584" w:rsidRDefault="006E3EA1" w:rsidP="0033258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sz w:val="28"/>
          <w:szCs w:val="28"/>
          <w:lang w:eastAsia="ru-RU"/>
        </w:rPr>
        <w:t>Державний орган, для якого здійснюється розрахунок вартості адміністрування регулювання:</w:t>
      </w:r>
    </w:p>
    <w:p w:rsidR="006E3EA1" w:rsidRPr="006E3EA1" w:rsidRDefault="006E3EA1" w:rsidP="006D145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E3EA1" w:rsidRDefault="00332584" w:rsidP="006E3EA1">
      <w:pPr>
        <w:tabs>
          <w:tab w:val="left" w:pos="851"/>
        </w:tabs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uk-UA" w:bidi="uk-UA"/>
        </w:rPr>
        <w:t>Державна служба якості освіти</w:t>
      </w:r>
    </w:p>
    <w:p w:rsidR="00332584" w:rsidRPr="006E3EA1" w:rsidRDefault="00332584" w:rsidP="006E3EA1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657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548"/>
        <w:gridCol w:w="1310"/>
        <w:gridCol w:w="1682"/>
        <w:gridCol w:w="1471"/>
        <w:gridCol w:w="1577"/>
        <w:gridCol w:w="1977"/>
      </w:tblGrid>
      <w:tr w:rsidR="006E3EA1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Процедура регулювання суб'єктів малого підприємництва (розрахунок на одного типового суб'єкта господарювання малого підприємництва - за потреби окремо для суб'єктів малого та </w:t>
            </w:r>
            <w:proofErr w:type="spellStart"/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мікропідприємництв</w:t>
            </w:r>
            <w:proofErr w:type="spellEnd"/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Планові витрати часу на процедуру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3EA1" w:rsidRPr="006E3EA1" w:rsidRDefault="006E3EA1" w:rsidP="0033258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Вартість часу співробітника  (заробітна плата)</w:t>
            </w:r>
            <w:r w:rsidR="00332584">
              <w:rPr>
                <w:rStyle w:val="af1"/>
                <w:rFonts w:ascii="Times New Roman" w:hAnsi="Times New Roman" w:cs="Times New Roman"/>
                <w:sz w:val="26"/>
                <w:szCs w:val="26"/>
                <w:lang w:eastAsia="ru-RU"/>
              </w:rPr>
              <w:footnoteReference w:id="2"/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Оцінка кількості процедур за рік, що припадають на одного суб'єкта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Оцінка кількості суб'єктів, що підпадають під дію процедури регулювання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E3EA1" w:rsidRPr="006E3EA1" w:rsidRDefault="006E3EA1" w:rsidP="006E3EA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Витрати на адміністрування регулювання* (за рік), гривень</w:t>
            </w:r>
          </w:p>
        </w:tc>
      </w:tr>
      <w:tr w:rsidR="00332584" w:rsidRPr="006E3EA1" w:rsidTr="00332584">
        <w:trPr>
          <w:trHeight w:val="813"/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1. Облік суб'єкта господарювання, що перебуває у сфері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414372" w:rsidRDefault="00332584" w:rsidP="003325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хв.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F35E25" w:rsidP="00F35E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="00332584"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32584"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E044BF" w:rsidP="003325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F35E25" w:rsidP="00F35E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044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</w:t>
            </w:r>
            <w:r w:rsidR="00332584"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  <w:tr w:rsidR="00332584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Поточний контроль за суб'єктом господарювання, що перебуває у сфері регулювання, у тому числі: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</w:p>
        </w:tc>
      </w:tr>
      <w:tr w:rsidR="00332584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камеральні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2584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виїзні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2584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Підготовка, затвердження та опрацювання одного окремого </w:t>
            </w:r>
            <w:proofErr w:type="spellStart"/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акта</w:t>
            </w:r>
            <w:proofErr w:type="spellEnd"/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про порушення вимог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2584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 Реалізація одного окремого рішення щодо порушення вимог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2584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 Оскарження одного окремого рішення суб'єктами господарювання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2584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 Підготовка звітності за результатами регулювання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uk-UA" w:bidi="uk-UA"/>
              </w:rPr>
            </w:pPr>
            <w:r w:rsidRPr="006E3EA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332584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42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7. Інші адміністративні процедури</w:t>
            </w:r>
            <w:r w:rsidR="009F3DE6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6E3EA1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32584" w:rsidRPr="009F3DE6" w:rsidRDefault="00332584" w:rsidP="003325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3DE6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5B5D42" w:rsidRDefault="009F3DE6" w:rsidP="009F3D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витрати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підготовку документів щодо результатів проведення  експертизи та засідання Комісії, фактичні витрати часу персоналу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заробітну плату </w:t>
            </w:r>
            <w:r w:rsidRPr="00ED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1 суб’єкта </w:t>
            </w:r>
            <w:r w:rsidRPr="00ED7243">
              <w:rPr>
                <w:rFonts w:ascii="Times New Roman" w:hAnsi="Times New Roman"/>
                <w:sz w:val="28"/>
                <w:szCs w:val="28"/>
              </w:rPr>
              <w:t>господарювання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5B5D42" w:rsidRDefault="009F3DE6" w:rsidP="009F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D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 год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9F3DE6" w:rsidRDefault="009F3DE6" w:rsidP="009F3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74,4 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9F3DE6" w:rsidRDefault="009F3DE6" w:rsidP="009F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9F3DE6" w:rsidRDefault="00E044BF" w:rsidP="009F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9F3DE6" w:rsidRDefault="00E044BF" w:rsidP="009F3D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208</w:t>
            </w:r>
            <w:r w:rsidR="009F3DE6"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9F3DE6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ED7243" w:rsidRDefault="009F3DE6" w:rsidP="009F3D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243">
              <w:rPr>
                <w:rFonts w:ascii="Times New Roman" w:hAnsi="Times New Roman"/>
                <w:sz w:val="28"/>
                <w:szCs w:val="28"/>
              </w:rPr>
              <w:t xml:space="preserve">ознайомлення суб’єкта господарювання з вимогами регулювання, надання усних консультацій та письмових роз’яснень суб’єктам господарювання, </w:t>
            </w:r>
            <w:r w:rsidRPr="00ED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фактичні витрати часу персоналу на заробітну плату на 1 суб’єкта </w:t>
            </w:r>
            <w:r w:rsidRPr="00ED7243">
              <w:rPr>
                <w:rFonts w:ascii="Times New Roman" w:hAnsi="Times New Roman"/>
                <w:sz w:val="28"/>
                <w:szCs w:val="28"/>
              </w:rPr>
              <w:t xml:space="preserve">господарювання 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ED7243" w:rsidRDefault="009F3DE6" w:rsidP="009F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72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 хв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9F3DE6" w:rsidRDefault="009F3DE6" w:rsidP="009F3D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74,4 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9F3DE6" w:rsidRDefault="009F3DE6" w:rsidP="009F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9F3DE6" w:rsidRDefault="009F3DE6" w:rsidP="009F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9F3DE6" w:rsidRDefault="009F3DE6" w:rsidP="009F3D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044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9F3DE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720 грн</w:t>
            </w:r>
          </w:p>
        </w:tc>
      </w:tr>
      <w:tr w:rsidR="009F3DE6" w:rsidRPr="0046742F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46742F" w:rsidRDefault="009F3DE6" w:rsidP="009F3DE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</w:pPr>
            <w:r w:rsidRPr="0046742F">
              <w:rPr>
                <w:rFonts w:ascii="Times New Roman" w:hAnsi="Times New Roman"/>
                <w:b/>
                <w:color w:val="000000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46742F" w:rsidRDefault="009F3DE6" w:rsidP="009F3D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742F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 год 40 хв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46742F" w:rsidRDefault="009F3DE6" w:rsidP="009F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742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74,4 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46742F" w:rsidRDefault="009F3DE6" w:rsidP="009F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2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46742F" w:rsidRDefault="009F3DE6" w:rsidP="009F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42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3DE6" w:rsidRPr="0046742F" w:rsidRDefault="00E044BF" w:rsidP="009F3D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27776</w:t>
            </w:r>
            <w:r w:rsidR="009F3DE6" w:rsidRPr="0046742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0 грн</w:t>
            </w:r>
          </w:p>
        </w:tc>
      </w:tr>
      <w:tr w:rsidR="0046742F" w:rsidRPr="006E3EA1" w:rsidTr="00332584">
        <w:trPr>
          <w:tblCellSpacing w:w="22" w:type="dxa"/>
          <w:jc w:val="center"/>
        </w:trPr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42F" w:rsidRPr="006342B8" w:rsidRDefault="0046742F" w:rsidP="0046742F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6342B8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Сумарно за п’ять років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42F" w:rsidRDefault="0046742F" w:rsidP="004674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 год 20 хв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42F" w:rsidRPr="00414372" w:rsidRDefault="0046742F" w:rsidP="004674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</w:t>
            </w:r>
            <w:r w:rsidRPr="00414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143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грн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42F" w:rsidRPr="005B5D42" w:rsidRDefault="0046742F" w:rsidP="0046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42F" w:rsidRPr="005B5D42" w:rsidRDefault="0046742F" w:rsidP="00467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742F" w:rsidRDefault="00E044BF" w:rsidP="004674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1388800</w:t>
            </w:r>
            <w:r w:rsidR="004674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грн</w:t>
            </w:r>
          </w:p>
        </w:tc>
      </w:tr>
    </w:tbl>
    <w:p w:rsidR="008E10F4" w:rsidRPr="006342B8" w:rsidRDefault="008E10F4" w:rsidP="008E10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bookmarkStart w:id="14" w:name="n213"/>
      <w:bookmarkEnd w:id="14"/>
    </w:p>
    <w:p w:rsidR="006E3EA1" w:rsidRPr="006E3EA1" w:rsidRDefault="006E3EA1" w:rsidP="006E3EA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3EA1">
        <w:rPr>
          <w:rFonts w:ascii="Times New Roman" w:hAnsi="Times New Roman" w:cs="Times New Roman"/>
          <w:sz w:val="28"/>
          <w:szCs w:val="28"/>
          <w:lang w:eastAsia="ru-RU"/>
        </w:rPr>
        <w:t>4. Розрахунок сумарних витрат суб'єктів малого підприємництва, що виникають на виконання вимог регулювання</w:t>
      </w:r>
    </w:p>
    <w:p w:rsidR="006E3EA1" w:rsidRPr="006E3EA1" w:rsidRDefault="006E3EA1" w:rsidP="006E3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13"/>
        <w:tblW w:w="9909" w:type="dxa"/>
        <w:tblLook w:val="04A0" w:firstRow="1" w:lastRow="0" w:firstColumn="1" w:lastColumn="0" w:noHBand="0" w:noVBand="1"/>
      </w:tblPr>
      <w:tblGrid>
        <w:gridCol w:w="1696"/>
        <w:gridCol w:w="5245"/>
        <w:gridCol w:w="2968"/>
      </w:tblGrid>
      <w:tr w:rsidR="006E3EA1" w:rsidRPr="006E3EA1" w:rsidTr="00E044BF">
        <w:tc>
          <w:tcPr>
            <w:tcW w:w="1696" w:type="dxa"/>
          </w:tcPr>
          <w:p w:rsidR="006E3EA1" w:rsidRPr="006E3EA1" w:rsidRDefault="006E3EA1" w:rsidP="006E3EA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Порядковий номер</w:t>
            </w:r>
          </w:p>
        </w:tc>
        <w:tc>
          <w:tcPr>
            <w:tcW w:w="5245" w:type="dxa"/>
          </w:tcPr>
          <w:p w:rsidR="006E3EA1" w:rsidRPr="006E3EA1" w:rsidRDefault="006E3EA1" w:rsidP="006E3EA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E3EA1" w:rsidRPr="006E3EA1" w:rsidRDefault="006E3EA1" w:rsidP="006E3EA1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Витрати, грн</w:t>
            </w:r>
          </w:p>
        </w:tc>
      </w:tr>
      <w:tr w:rsidR="00E044BF" w:rsidRPr="006E3EA1" w:rsidTr="00E044BF">
        <w:tc>
          <w:tcPr>
            <w:tcW w:w="1696" w:type="dxa"/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суб'єктів малого підприємництва на виконання регулювання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BF" w:rsidRPr="00E044BF" w:rsidRDefault="00E044BF" w:rsidP="00E044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505540</w:t>
            </w:r>
          </w:p>
        </w:tc>
      </w:tr>
      <w:tr w:rsidR="00E044BF" w:rsidRPr="006E3EA1" w:rsidTr="00E044BF">
        <w:tc>
          <w:tcPr>
            <w:tcW w:w="1696" w:type="dxa"/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суб'єктів малого підприємництва щодо виконання регулювання та звітування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BF" w:rsidRPr="00E044BF" w:rsidRDefault="00E044BF" w:rsidP="00E044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11216800</w:t>
            </w:r>
          </w:p>
        </w:tc>
      </w:tr>
      <w:tr w:rsidR="00E044BF" w:rsidRPr="006E3EA1" w:rsidTr="00E044BF">
        <w:tc>
          <w:tcPr>
            <w:tcW w:w="1696" w:type="dxa"/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BF" w:rsidRPr="00E044BF" w:rsidRDefault="00E044BF" w:rsidP="00E044BF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044B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11722340</w:t>
            </w:r>
          </w:p>
        </w:tc>
      </w:tr>
      <w:tr w:rsidR="00E044BF" w:rsidRPr="006E3EA1" w:rsidTr="00E044BF">
        <w:tc>
          <w:tcPr>
            <w:tcW w:w="1696" w:type="dxa"/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суб'єктів малого підприємництва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BF" w:rsidRPr="00E044BF" w:rsidRDefault="00E044BF" w:rsidP="00E044BF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E044B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277760</w:t>
            </w:r>
          </w:p>
        </w:tc>
      </w:tr>
      <w:tr w:rsidR="00E044BF" w:rsidRPr="006E3EA1" w:rsidTr="00E044BF">
        <w:tc>
          <w:tcPr>
            <w:tcW w:w="1696" w:type="dxa"/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</w:tcPr>
          <w:p w:rsidR="00E044BF" w:rsidRPr="006E3EA1" w:rsidRDefault="00E044BF" w:rsidP="00E044BF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3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4BF" w:rsidRPr="00E044BF" w:rsidRDefault="00E044BF" w:rsidP="00E044B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44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12000100</w:t>
            </w:r>
          </w:p>
        </w:tc>
      </w:tr>
    </w:tbl>
    <w:p w:rsidR="006E3EA1" w:rsidRPr="006E3EA1" w:rsidRDefault="006E3EA1" w:rsidP="006E3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6E3EA1" w:rsidRPr="006E3EA1" w:rsidRDefault="006E3EA1" w:rsidP="006E3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E3EA1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5. Розроблення </w:t>
      </w:r>
      <w:proofErr w:type="spellStart"/>
      <w:r w:rsidRPr="006E3EA1">
        <w:rPr>
          <w:rFonts w:ascii="Times New Roman" w:hAnsi="Times New Roman" w:cs="Times New Roman"/>
          <w:sz w:val="28"/>
          <w:szCs w:val="28"/>
          <w:lang w:eastAsia="uk-UA" w:bidi="uk-UA"/>
        </w:rPr>
        <w:t>корегуючих</w:t>
      </w:r>
      <w:proofErr w:type="spellEnd"/>
      <w:r w:rsidRPr="006E3EA1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(пом’якшувальних) заходів для малого підприємництва щодо запропонованого регулювання</w:t>
      </w:r>
    </w:p>
    <w:p w:rsidR="006E3EA1" w:rsidRPr="006E3EA1" w:rsidRDefault="006E3EA1" w:rsidP="006E3E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6E3EA1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</w:t>
      </w:r>
      <w:proofErr w:type="spellStart"/>
      <w:r w:rsidRPr="006E3EA1">
        <w:rPr>
          <w:rFonts w:ascii="Times New Roman" w:hAnsi="Times New Roman" w:cs="Times New Roman"/>
          <w:sz w:val="28"/>
          <w:szCs w:val="28"/>
          <w:lang w:eastAsia="uk-UA" w:bidi="uk-UA"/>
        </w:rPr>
        <w:t>корегуючих</w:t>
      </w:r>
      <w:proofErr w:type="spellEnd"/>
      <w:r w:rsidRPr="006E3EA1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 (пом’якшувальних) заходів) для малого підприємництва.</w:t>
      </w:r>
      <w:bookmarkStart w:id="15" w:name="_GoBack"/>
      <w:bookmarkEnd w:id="15"/>
    </w:p>
    <w:sectPr w:rsidR="006E3EA1" w:rsidRPr="006E3EA1" w:rsidSect="00737BA6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A7" w:rsidRDefault="00FC7EA7" w:rsidP="00950417">
      <w:pPr>
        <w:spacing w:after="0" w:line="240" w:lineRule="auto"/>
      </w:pPr>
      <w:r>
        <w:separator/>
      </w:r>
    </w:p>
  </w:endnote>
  <w:endnote w:type="continuationSeparator" w:id="0">
    <w:p w:rsidR="00FC7EA7" w:rsidRDefault="00FC7EA7" w:rsidP="0095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A7" w:rsidRDefault="00FC7EA7" w:rsidP="00950417">
      <w:pPr>
        <w:spacing w:after="0" w:line="240" w:lineRule="auto"/>
      </w:pPr>
      <w:r>
        <w:separator/>
      </w:r>
    </w:p>
  </w:footnote>
  <w:footnote w:type="continuationSeparator" w:id="0">
    <w:p w:rsidR="00FC7EA7" w:rsidRDefault="00FC7EA7" w:rsidP="00950417">
      <w:pPr>
        <w:spacing w:after="0" w:line="240" w:lineRule="auto"/>
      </w:pPr>
      <w:r>
        <w:continuationSeparator/>
      </w:r>
    </w:p>
  </w:footnote>
  <w:footnote w:id="1">
    <w:p w:rsidR="00294E78" w:rsidRDefault="00294E78">
      <w:pPr>
        <w:pStyle w:val="af"/>
      </w:pPr>
      <w:r>
        <w:rPr>
          <w:rStyle w:val="af1"/>
        </w:rPr>
        <w:footnoteRef/>
      </w:r>
      <w:r>
        <w:t xml:space="preserve"> </w:t>
      </w:r>
      <w:r w:rsidRPr="00535748">
        <w:rPr>
          <w:rFonts w:ascii="Times New Roman" w:hAnsi="Times New Roman" w:cs="Times New Roman"/>
          <w:sz w:val="24"/>
          <w:szCs w:val="24"/>
        </w:rPr>
        <w:t>Середньозважена середня заробітна плата</w:t>
      </w:r>
      <w:r w:rsidRPr="00535748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Pr="00535748">
        <w:rPr>
          <w:rFonts w:ascii="Times New Roman" w:hAnsi="Times New Roman" w:cs="Times New Roman"/>
          <w:sz w:val="24"/>
          <w:szCs w:val="24"/>
        </w:rPr>
        <w:t>1 год – 36,11 грн.</w:t>
      </w:r>
    </w:p>
  </w:footnote>
  <w:footnote w:id="2">
    <w:p w:rsidR="00332584" w:rsidRDefault="00332584" w:rsidP="00332584">
      <w:pPr>
        <w:tabs>
          <w:tab w:val="left" w:pos="851"/>
        </w:tabs>
        <w:jc w:val="both"/>
      </w:pPr>
      <w:r>
        <w:rPr>
          <w:rStyle w:val="af1"/>
        </w:rPr>
        <w:footnoteRef/>
      </w:r>
      <w:r>
        <w:t xml:space="preserve">  </w:t>
      </w:r>
      <w:r w:rsidRPr="00543630">
        <w:rPr>
          <w:rFonts w:ascii="Times New Roman" w:hAnsi="Times New Roman" w:cs="Times New Roman"/>
          <w:color w:val="0070C0"/>
        </w:rPr>
        <w:t xml:space="preserve">За вартість часу взято </w:t>
      </w:r>
      <w:r>
        <w:rPr>
          <w:rFonts w:ascii="Times New Roman" w:hAnsi="Times New Roman" w:cs="Times New Roman"/>
          <w:color w:val="0070C0"/>
        </w:rPr>
        <w:t>74,4</w:t>
      </w:r>
      <w:r w:rsidRPr="00543630">
        <w:rPr>
          <w:rFonts w:ascii="Times New Roman" w:hAnsi="Times New Roman" w:cs="Times New Roman"/>
          <w:color w:val="0070C0"/>
        </w:rPr>
        <w:t xml:space="preserve"> грн, оскільки за даними Пенсійного фонду України показник середньої заробітної плати за</w:t>
      </w:r>
      <w:r>
        <w:rPr>
          <w:rFonts w:ascii="Times New Roman" w:hAnsi="Times New Roman" w:cs="Times New Roman"/>
          <w:color w:val="0070C0"/>
        </w:rPr>
        <w:t xml:space="preserve"> вересень</w:t>
      </w:r>
      <w:r w:rsidRPr="00543630">
        <w:rPr>
          <w:rFonts w:ascii="Times New Roman" w:hAnsi="Times New Roman" w:cs="Times New Roman"/>
          <w:color w:val="0070C0"/>
        </w:rPr>
        <w:t xml:space="preserve"> 202</w:t>
      </w:r>
      <w:r>
        <w:rPr>
          <w:rFonts w:ascii="Times New Roman" w:hAnsi="Times New Roman" w:cs="Times New Roman"/>
          <w:color w:val="0070C0"/>
        </w:rPr>
        <w:t>1</w:t>
      </w:r>
      <w:r w:rsidRPr="00543630">
        <w:rPr>
          <w:rFonts w:ascii="Times New Roman" w:hAnsi="Times New Roman" w:cs="Times New Roman"/>
          <w:color w:val="0070C0"/>
        </w:rPr>
        <w:t xml:space="preserve"> р</w:t>
      </w:r>
      <w:r>
        <w:rPr>
          <w:rFonts w:ascii="Times New Roman" w:hAnsi="Times New Roman" w:cs="Times New Roman"/>
          <w:color w:val="0070C0"/>
        </w:rPr>
        <w:t>. становить 13</w:t>
      </w:r>
      <w:r w:rsidRPr="00543630">
        <w:rPr>
          <w:rFonts w:ascii="Times New Roman" w:hAnsi="Times New Roman" w:cs="Times New Roman"/>
          <w:color w:val="0070C0"/>
        </w:rPr>
        <w:t> </w:t>
      </w:r>
      <w:r>
        <w:rPr>
          <w:rFonts w:ascii="Times New Roman" w:hAnsi="Times New Roman" w:cs="Times New Roman"/>
          <w:color w:val="0070C0"/>
        </w:rPr>
        <w:t>095</w:t>
      </w:r>
      <w:r w:rsidRPr="00543630">
        <w:rPr>
          <w:rFonts w:ascii="Times New Roman" w:hAnsi="Times New Roman" w:cs="Times New Roman"/>
          <w:color w:val="0070C0"/>
        </w:rPr>
        <w:t>,</w:t>
      </w:r>
      <w:r>
        <w:rPr>
          <w:rFonts w:ascii="Times New Roman" w:hAnsi="Times New Roman" w:cs="Times New Roman"/>
          <w:color w:val="0070C0"/>
        </w:rPr>
        <w:t>82</w:t>
      </w:r>
      <w:r w:rsidRPr="00543630">
        <w:rPr>
          <w:rFonts w:ascii="Times New Roman" w:hAnsi="Times New Roman" w:cs="Times New Roman"/>
          <w:color w:val="0070C0"/>
        </w:rPr>
        <w:t xml:space="preserve"> грн (</w:t>
      </w:r>
      <w:r w:rsidRPr="00332584">
        <w:rPr>
          <w:rFonts w:ascii="Times New Roman" w:hAnsi="Times New Roman" w:cs="Times New Roman"/>
          <w:color w:val="0070C0"/>
        </w:rPr>
        <w:t>https://www.pfu.gov.ua/2130793-pokaznyk-serednoyi-zarobitnoyi-platy-za-2021-rik/</w:t>
      </w:r>
      <w:r w:rsidRPr="00543630">
        <w:rPr>
          <w:rFonts w:ascii="Times New Roman" w:hAnsi="Times New Roman" w:cs="Times New Roman"/>
          <w:color w:val="0070C0"/>
        </w:rPr>
        <w:t>). Формула: середня заробітна плата на кількість робочих днів та кількість робочих годин.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7785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74F4C" w:rsidRPr="00737BA6" w:rsidRDefault="00F74F4C" w:rsidP="00737BA6">
        <w:pPr>
          <w:pStyle w:val="a5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7EAE" w:rsidRPr="00DC7EA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16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A26"/>
    <w:multiLevelType w:val="hybridMultilevel"/>
    <w:tmpl w:val="00A64B08"/>
    <w:lvl w:ilvl="0" w:tplc="E77CFD88">
      <w:numFmt w:val="bullet"/>
      <w:lvlText w:val="-"/>
      <w:lvlJc w:val="left"/>
      <w:pPr>
        <w:ind w:left="2027" w:hanging="1176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AF3571"/>
    <w:multiLevelType w:val="hybridMultilevel"/>
    <w:tmpl w:val="E77C1F02"/>
    <w:lvl w:ilvl="0" w:tplc="63BCA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D01BCB"/>
    <w:multiLevelType w:val="hybridMultilevel"/>
    <w:tmpl w:val="2A1E14D6"/>
    <w:lvl w:ilvl="0" w:tplc="E326C474">
      <w:numFmt w:val="bullet"/>
      <w:lvlText w:val="-"/>
      <w:lvlJc w:val="left"/>
      <w:pPr>
        <w:ind w:left="1919" w:hanging="1068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0505F29"/>
    <w:multiLevelType w:val="hybridMultilevel"/>
    <w:tmpl w:val="476A2BB6"/>
    <w:lvl w:ilvl="0" w:tplc="88AA4E3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F63BE7"/>
    <w:multiLevelType w:val="hybridMultilevel"/>
    <w:tmpl w:val="728CEA0A"/>
    <w:lvl w:ilvl="0" w:tplc="ADA41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46893"/>
    <w:multiLevelType w:val="hybridMultilevel"/>
    <w:tmpl w:val="85F0C8C4"/>
    <w:lvl w:ilvl="0" w:tplc="EFCACDE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B0F43"/>
    <w:multiLevelType w:val="hybridMultilevel"/>
    <w:tmpl w:val="8B4C69FC"/>
    <w:lvl w:ilvl="0" w:tplc="874009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64D02"/>
    <w:multiLevelType w:val="hybridMultilevel"/>
    <w:tmpl w:val="2E1C40A0"/>
    <w:lvl w:ilvl="0" w:tplc="63BCA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43B3484"/>
    <w:multiLevelType w:val="hybridMultilevel"/>
    <w:tmpl w:val="678014BA"/>
    <w:lvl w:ilvl="0" w:tplc="640216D6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79F87800"/>
    <w:multiLevelType w:val="hybridMultilevel"/>
    <w:tmpl w:val="ABD2048A"/>
    <w:lvl w:ilvl="0" w:tplc="AB324B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D073BA6"/>
    <w:multiLevelType w:val="hybridMultilevel"/>
    <w:tmpl w:val="AA26FF06"/>
    <w:lvl w:ilvl="0" w:tplc="62CA36AA">
      <w:start w:val="2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95F27"/>
    <w:multiLevelType w:val="hybridMultilevel"/>
    <w:tmpl w:val="CEC60A1E"/>
    <w:lvl w:ilvl="0" w:tplc="2DEC409A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1A"/>
    <w:rsid w:val="000010D9"/>
    <w:rsid w:val="00001F74"/>
    <w:rsid w:val="00006EAB"/>
    <w:rsid w:val="00011FAE"/>
    <w:rsid w:val="000205C8"/>
    <w:rsid w:val="000215D9"/>
    <w:rsid w:val="00033F94"/>
    <w:rsid w:val="00047847"/>
    <w:rsid w:val="000502B2"/>
    <w:rsid w:val="00064A99"/>
    <w:rsid w:val="00072B53"/>
    <w:rsid w:val="00077A2B"/>
    <w:rsid w:val="00086B63"/>
    <w:rsid w:val="00093029"/>
    <w:rsid w:val="00097D22"/>
    <w:rsid w:val="000A7A1C"/>
    <w:rsid w:val="000B7264"/>
    <w:rsid w:val="000C5F56"/>
    <w:rsid w:val="000D0EC3"/>
    <w:rsid w:val="000D3B63"/>
    <w:rsid w:val="000E231D"/>
    <w:rsid w:val="000E33D6"/>
    <w:rsid w:val="000E3D7A"/>
    <w:rsid w:val="000F091B"/>
    <w:rsid w:val="000F1DA4"/>
    <w:rsid w:val="000F6327"/>
    <w:rsid w:val="00111E89"/>
    <w:rsid w:val="00114D0D"/>
    <w:rsid w:val="001176A9"/>
    <w:rsid w:val="00120458"/>
    <w:rsid w:val="00120D3A"/>
    <w:rsid w:val="0012415B"/>
    <w:rsid w:val="001267A2"/>
    <w:rsid w:val="00131D55"/>
    <w:rsid w:val="001320DF"/>
    <w:rsid w:val="00133454"/>
    <w:rsid w:val="00162DE2"/>
    <w:rsid w:val="0016344F"/>
    <w:rsid w:val="00172864"/>
    <w:rsid w:val="00184855"/>
    <w:rsid w:val="00186521"/>
    <w:rsid w:val="0019583A"/>
    <w:rsid w:val="00196715"/>
    <w:rsid w:val="001A0051"/>
    <w:rsid w:val="001A0A48"/>
    <w:rsid w:val="001A2A2A"/>
    <w:rsid w:val="001B1815"/>
    <w:rsid w:val="001D482F"/>
    <w:rsid w:val="00201D9D"/>
    <w:rsid w:val="00210380"/>
    <w:rsid w:val="00217330"/>
    <w:rsid w:val="0023368E"/>
    <w:rsid w:val="002414E3"/>
    <w:rsid w:val="00241515"/>
    <w:rsid w:val="0024470F"/>
    <w:rsid w:val="0025762C"/>
    <w:rsid w:val="00257A58"/>
    <w:rsid w:val="00257FAE"/>
    <w:rsid w:val="00260ECA"/>
    <w:rsid w:val="002610AB"/>
    <w:rsid w:val="00264E6F"/>
    <w:rsid w:val="00270CFF"/>
    <w:rsid w:val="00274703"/>
    <w:rsid w:val="002807C3"/>
    <w:rsid w:val="00285BA6"/>
    <w:rsid w:val="00287F1E"/>
    <w:rsid w:val="00292308"/>
    <w:rsid w:val="00294E78"/>
    <w:rsid w:val="00297B5D"/>
    <w:rsid w:val="002A23BC"/>
    <w:rsid w:val="002B7BD3"/>
    <w:rsid w:val="002D1F58"/>
    <w:rsid w:val="002D210C"/>
    <w:rsid w:val="002D2DF5"/>
    <w:rsid w:val="002D6890"/>
    <w:rsid w:val="002E6665"/>
    <w:rsid w:val="002F0448"/>
    <w:rsid w:val="002F3A97"/>
    <w:rsid w:val="00301E4F"/>
    <w:rsid w:val="003023B7"/>
    <w:rsid w:val="0030560F"/>
    <w:rsid w:val="003130A4"/>
    <w:rsid w:val="00314195"/>
    <w:rsid w:val="00314B7E"/>
    <w:rsid w:val="00316862"/>
    <w:rsid w:val="003311F7"/>
    <w:rsid w:val="00332584"/>
    <w:rsid w:val="003341CD"/>
    <w:rsid w:val="00346413"/>
    <w:rsid w:val="003557DF"/>
    <w:rsid w:val="003605E2"/>
    <w:rsid w:val="00361FAA"/>
    <w:rsid w:val="00367DFF"/>
    <w:rsid w:val="003711D0"/>
    <w:rsid w:val="003903D1"/>
    <w:rsid w:val="0039139C"/>
    <w:rsid w:val="003925BA"/>
    <w:rsid w:val="00393163"/>
    <w:rsid w:val="003C0109"/>
    <w:rsid w:val="003E4B89"/>
    <w:rsid w:val="00410297"/>
    <w:rsid w:val="00413E92"/>
    <w:rsid w:val="00421115"/>
    <w:rsid w:val="00426FD1"/>
    <w:rsid w:val="0042713A"/>
    <w:rsid w:val="00433C76"/>
    <w:rsid w:val="00434FD1"/>
    <w:rsid w:val="00445C10"/>
    <w:rsid w:val="00454274"/>
    <w:rsid w:val="00454A1E"/>
    <w:rsid w:val="00456094"/>
    <w:rsid w:val="0046742F"/>
    <w:rsid w:val="00467F0B"/>
    <w:rsid w:val="00471CF3"/>
    <w:rsid w:val="0047476B"/>
    <w:rsid w:val="0047646B"/>
    <w:rsid w:val="00482DF3"/>
    <w:rsid w:val="00490BD1"/>
    <w:rsid w:val="0049245F"/>
    <w:rsid w:val="00494CF7"/>
    <w:rsid w:val="004A2C94"/>
    <w:rsid w:val="004B11A5"/>
    <w:rsid w:val="004C6094"/>
    <w:rsid w:val="004F558C"/>
    <w:rsid w:val="00500670"/>
    <w:rsid w:val="00501398"/>
    <w:rsid w:val="005027E6"/>
    <w:rsid w:val="0050413E"/>
    <w:rsid w:val="00504A87"/>
    <w:rsid w:val="005122E2"/>
    <w:rsid w:val="005178E3"/>
    <w:rsid w:val="00532DC6"/>
    <w:rsid w:val="00533AE5"/>
    <w:rsid w:val="00543E74"/>
    <w:rsid w:val="00546E7B"/>
    <w:rsid w:val="00570967"/>
    <w:rsid w:val="005736E6"/>
    <w:rsid w:val="00580EBA"/>
    <w:rsid w:val="00582D72"/>
    <w:rsid w:val="00590ACD"/>
    <w:rsid w:val="00595394"/>
    <w:rsid w:val="00595B16"/>
    <w:rsid w:val="005A78C6"/>
    <w:rsid w:val="005B04CB"/>
    <w:rsid w:val="005B168E"/>
    <w:rsid w:val="005B437D"/>
    <w:rsid w:val="005B64EC"/>
    <w:rsid w:val="005B7736"/>
    <w:rsid w:val="005C62D1"/>
    <w:rsid w:val="005D0000"/>
    <w:rsid w:val="005D0CA2"/>
    <w:rsid w:val="005D18A9"/>
    <w:rsid w:val="005D474E"/>
    <w:rsid w:val="005D6A41"/>
    <w:rsid w:val="005E2118"/>
    <w:rsid w:val="005E3FF5"/>
    <w:rsid w:val="005E7730"/>
    <w:rsid w:val="005F2A49"/>
    <w:rsid w:val="005F52D8"/>
    <w:rsid w:val="006054D8"/>
    <w:rsid w:val="00611F3A"/>
    <w:rsid w:val="00613059"/>
    <w:rsid w:val="00615FDD"/>
    <w:rsid w:val="00617679"/>
    <w:rsid w:val="006304FA"/>
    <w:rsid w:val="00635A99"/>
    <w:rsid w:val="00636A27"/>
    <w:rsid w:val="00641E21"/>
    <w:rsid w:val="006522BF"/>
    <w:rsid w:val="006537D4"/>
    <w:rsid w:val="00654346"/>
    <w:rsid w:val="00654A92"/>
    <w:rsid w:val="0065594A"/>
    <w:rsid w:val="00655ACE"/>
    <w:rsid w:val="00660479"/>
    <w:rsid w:val="0066718B"/>
    <w:rsid w:val="006936E3"/>
    <w:rsid w:val="006B0EF0"/>
    <w:rsid w:val="006B22B1"/>
    <w:rsid w:val="006C55F1"/>
    <w:rsid w:val="006D1200"/>
    <w:rsid w:val="006D1456"/>
    <w:rsid w:val="006E0E68"/>
    <w:rsid w:val="006E3EA1"/>
    <w:rsid w:val="006E4F95"/>
    <w:rsid w:val="006E586E"/>
    <w:rsid w:val="006F1518"/>
    <w:rsid w:val="00703228"/>
    <w:rsid w:val="00711D98"/>
    <w:rsid w:val="00717881"/>
    <w:rsid w:val="007202B8"/>
    <w:rsid w:val="007245B8"/>
    <w:rsid w:val="0072568A"/>
    <w:rsid w:val="0073381E"/>
    <w:rsid w:val="00736B2E"/>
    <w:rsid w:val="00737BA6"/>
    <w:rsid w:val="00761BC6"/>
    <w:rsid w:val="007844D7"/>
    <w:rsid w:val="00785DED"/>
    <w:rsid w:val="007903C8"/>
    <w:rsid w:val="00792ECF"/>
    <w:rsid w:val="007963AD"/>
    <w:rsid w:val="007A0EE2"/>
    <w:rsid w:val="007A4085"/>
    <w:rsid w:val="007B25F9"/>
    <w:rsid w:val="007C36DE"/>
    <w:rsid w:val="007D0DC4"/>
    <w:rsid w:val="007E1B10"/>
    <w:rsid w:val="007E6A23"/>
    <w:rsid w:val="007F3715"/>
    <w:rsid w:val="008066F9"/>
    <w:rsid w:val="0081097A"/>
    <w:rsid w:val="00814271"/>
    <w:rsid w:val="00817919"/>
    <w:rsid w:val="00822C13"/>
    <w:rsid w:val="00833229"/>
    <w:rsid w:val="00835FD3"/>
    <w:rsid w:val="00844327"/>
    <w:rsid w:val="00846062"/>
    <w:rsid w:val="008500B0"/>
    <w:rsid w:val="00852A5E"/>
    <w:rsid w:val="008533ED"/>
    <w:rsid w:val="008540BA"/>
    <w:rsid w:val="00867233"/>
    <w:rsid w:val="00872185"/>
    <w:rsid w:val="008755BE"/>
    <w:rsid w:val="008853A3"/>
    <w:rsid w:val="00892DEE"/>
    <w:rsid w:val="008972E1"/>
    <w:rsid w:val="008B05E9"/>
    <w:rsid w:val="008B1D49"/>
    <w:rsid w:val="008C3293"/>
    <w:rsid w:val="008C6778"/>
    <w:rsid w:val="008D21D3"/>
    <w:rsid w:val="008E10F4"/>
    <w:rsid w:val="008E376F"/>
    <w:rsid w:val="00905E9E"/>
    <w:rsid w:val="00913DB3"/>
    <w:rsid w:val="00914CD2"/>
    <w:rsid w:val="00914D2F"/>
    <w:rsid w:val="00915F03"/>
    <w:rsid w:val="0092579E"/>
    <w:rsid w:val="00944165"/>
    <w:rsid w:val="00950417"/>
    <w:rsid w:val="00957EB8"/>
    <w:rsid w:val="00976A0E"/>
    <w:rsid w:val="009A006A"/>
    <w:rsid w:val="009A069B"/>
    <w:rsid w:val="009A09A1"/>
    <w:rsid w:val="009A2D88"/>
    <w:rsid w:val="009C0647"/>
    <w:rsid w:val="009C520E"/>
    <w:rsid w:val="009C5DBA"/>
    <w:rsid w:val="009C6389"/>
    <w:rsid w:val="009D24A1"/>
    <w:rsid w:val="009E794A"/>
    <w:rsid w:val="009F3DE6"/>
    <w:rsid w:val="00A11AB1"/>
    <w:rsid w:val="00A20E93"/>
    <w:rsid w:val="00A2707F"/>
    <w:rsid w:val="00A31E7A"/>
    <w:rsid w:val="00A42CB0"/>
    <w:rsid w:val="00A56B76"/>
    <w:rsid w:val="00A6184B"/>
    <w:rsid w:val="00A67852"/>
    <w:rsid w:val="00A7194E"/>
    <w:rsid w:val="00A94D54"/>
    <w:rsid w:val="00AA187C"/>
    <w:rsid w:val="00AA1F4B"/>
    <w:rsid w:val="00AB3BDA"/>
    <w:rsid w:val="00AB4801"/>
    <w:rsid w:val="00AC5E69"/>
    <w:rsid w:val="00AC6902"/>
    <w:rsid w:val="00AD1090"/>
    <w:rsid w:val="00AD109C"/>
    <w:rsid w:val="00AD3A5F"/>
    <w:rsid w:val="00AD4798"/>
    <w:rsid w:val="00AE1C32"/>
    <w:rsid w:val="00AE6587"/>
    <w:rsid w:val="00B1027B"/>
    <w:rsid w:val="00B10AFE"/>
    <w:rsid w:val="00B120CB"/>
    <w:rsid w:val="00B23B82"/>
    <w:rsid w:val="00B2613D"/>
    <w:rsid w:val="00B3201A"/>
    <w:rsid w:val="00B40B92"/>
    <w:rsid w:val="00B44549"/>
    <w:rsid w:val="00B4465F"/>
    <w:rsid w:val="00B45981"/>
    <w:rsid w:val="00B57B66"/>
    <w:rsid w:val="00B71AED"/>
    <w:rsid w:val="00B81FFB"/>
    <w:rsid w:val="00B9230E"/>
    <w:rsid w:val="00BA149B"/>
    <w:rsid w:val="00BB1DA4"/>
    <w:rsid w:val="00BB256C"/>
    <w:rsid w:val="00BC2EAA"/>
    <w:rsid w:val="00BE0639"/>
    <w:rsid w:val="00BE12AE"/>
    <w:rsid w:val="00BE14A4"/>
    <w:rsid w:val="00BE4BAD"/>
    <w:rsid w:val="00BE5C0C"/>
    <w:rsid w:val="00BE6576"/>
    <w:rsid w:val="00BF1225"/>
    <w:rsid w:val="00C1250C"/>
    <w:rsid w:val="00C140AC"/>
    <w:rsid w:val="00C16598"/>
    <w:rsid w:val="00C431EB"/>
    <w:rsid w:val="00C43EB4"/>
    <w:rsid w:val="00C53EDA"/>
    <w:rsid w:val="00C5567F"/>
    <w:rsid w:val="00C55CDC"/>
    <w:rsid w:val="00C64A44"/>
    <w:rsid w:val="00C7595F"/>
    <w:rsid w:val="00C83DB0"/>
    <w:rsid w:val="00C84605"/>
    <w:rsid w:val="00C87B98"/>
    <w:rsid w:val="00CA1895"/>
    <w:rsid w:val="00CA24A8"/>
    <w:rsid w:val="00CA4454"/>
    <w:rsid w:val="00CA7C04"/>
    <w:rsid w:val="00CC3704"/>
    <w:rsid w:val="00CC3BF2"/>
    <w:rsid w:val="00CD6730"/>
    <w:rsid w:val="00CD6779"/>
    <w:rsid w:val="00CD7C70"/>
    <w:rsid w:val="00CD7EC1"/>
    <w:rsid w:val="00CE4E86"/>
    <w:rsid w:val="00CE5775"/>
    <w:rsid w:val="00CE7EA4"/>
    <w:rsid w:val="00CF2FE3"/>
    <w:rsid w:val="00CF34EC"/>
    <w:rsid w:val="00D036BC"/>
    <w:rsid w:val="00D0783F"/>
    <w:rsid w:val="00D13805"/>
    <w:rsid w:val="00D202EF"/>
    <w:rsid w:val="00D2236B"/>
    <w:rsid w:val="00D243E0"/>
    <w:rsid w:val="00D2465B"/>
    <w:rsid w:val="00D275F3"/>
    <w:rsid w:val="00D3490A"/>
    <w:rsid w:val="00D37674"/>
    <w:rsid w:val="00D4382F"/>
    <w:rsid w:val="00D51C43"/>
    <w:rsid w:val="00D5364D"/>
    <w:rsid w:val="00D55053"/>
    <w:rsid w:val="00D67346"/>
    <w:rsid w:val="00D73F0F"/>
    <w:rsid w:val="00D77A53"/>
    <w:rsid w:val="00D82353"/>
    <w:rsid w:val="00D83E72"/>
    <w:rsid w:val="00D91875"/>
    <w:rsid w:val="00D91B2D"/>
    <w:rsid w:val="00D95351"/>
    <w:rsid w:val="00D965B9"/>
    <w:rsid w:val="00DC78BA"/>
    <w:rsid w:val="00DC7EAE"/>
    <w:rsid w:val="00DD5C6F"/>
    <w:rsid w:val="00DE29B7"/>
    <w:rsid w:val="00DE6E27"/>
    <w:rsid w:val="00DE7441"/>
    <w:rsid w:val="00DF18C9"/>
    <w:rsid w:val="00DF31C5"/>
    <w:rsid w:val="00DF65DE"/>
    <w:rsid w:val="00E044BF"/>
    <w:rsid w:val="00E065EA"/>
    <w:rsid w:val="00E20B9E"/>
    <w:rsid w:val="00E20E83"/>
    <w:rsid w:val="00E2101E"/>
    <w:rsid w:val="00E37A78"/>
    <w:rsid w:val="00E41B26"/>
    <w:rsid w:val="00E47BCD"/>
    <w:rsid w:val="00E52E7A"/>
    <w:rsid w:val="00E544D9"/>
    <w:rsid w:val="00E6320E"/>
    <w:rsid w:val="00E64305"/>
    <w:rsid w:val="00E741C5"/>
    <w:rsid w:val="00E84944"/>
    <w:rsid w:val="00E90339"/>
    <w:rsid w:val="00E96422"/>
    <w:rsid w:val="00EA638E"/>
    <w:rsid w:val="00EA6786"/>
    <w:rsid w:val="00EB0F27"/>
    <w:rsid w:val="00EB1D1E"/>
    <w:rsid w:val="00EC4CCE"/>
    <w:rsid w:val="00EC54DA"/>
    <w:rsid w:val="00EC6826"/>
    <w:rsid w:val="00ED0031"/>
    <w:rsid w:val="00ED72A1"/>
    <w:rsid w:val="00ED763E"/>
    <w:rsid w:val="00EE64B8"/>
    <w:rsid w:val="00EF27BF"/>
    <w:rsid w:val="00EF4CA8"/>
    <w:rsid w:val="00EF63F4"/>
    <w:rsid w:val="00F019F1"/>
    <w:rsid w:val="00F028E4"/>
    <w:rsid w:val="00F02B65"/>
    <w:rsid w:val="00F033E7"/>
    <w:rsid w:val="00F11E77"/>
    <w:rsid w:val="00F1684F"/>
    <w:rsid w:val="00F25495"/>
    <w:rsid w:val="00F34671"/>
    <w:rsid w:val="00F35E25"/>
    <w:rsid w:val="00F3786D"/>
    <w:rsid w:val="00F418D7"/>
    <w:rsid w:val="00F43290"/>
    <w:rsid w:val="00F53A16"/>
    <w:rsid w:val="00F54AC4"/>
    <w:rsid w:val="00F5523C"/>
    <w:rsid w:val="00F74CB1"/>
    <w:rsid w:val="00F74D6E"/>
    <w:rsid w:val="00F74F4C"/>
    <w:rsid w:val="00FA7B90"/>
    <w:rsid w:val="00FC7EA7"/>
    <w:rsid w:val="00FE2F70"/>
    <w:rsid w:val="00FE7043"/>
    <w:rsid w:val="00FE7588"/>
    <w:rsid w:val="00FF7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DB71"/>
  <w15:docId w15:val="{AA10EBB6-947A-4213-8245-0F3038A3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ingLiU_HKSCS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01A"/>
    <w:pPr>
      <w:spacing w:line="276" w:lineRule="auto"/>
    </w:pPr>
    <w:rPr>
      <w:rFonts w:ascii="Calibri" w:eastAsia="Times New Roman" w:hAnsi="Calibri" w:cs="Calibri"/>
      <w:sz w:val="22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755BE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link w:val="20"/>
    <w:qFormat/>
    <w:rsid w:val="00737BA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8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201A"/>
    <w:pPr>
      <w:spacing w:after="0"/>
    </w:pPr>
    <w:rPr>
      <w:rFonts w:ascii="Calibri" w:eastAsia="Times New Roman" w:hAnsi="Calibri" w:cs="Calibri"/>
      <w:sz w:val="22"/>
      <w:lang w:val="uk-UA"/>
    </w:rPr>
  </w:style>
  <w:style w:type="character" w:customStyle="1" w:styleId="apple-converted-space">
    <w:name w:val="apple-converted-space"/>
    <w:basedOn w:val="a0"/>
    <w:rsid w:val="00120458"/>
  </w:style>
  <w:style w:type="table" w:styleId="a4">
    <w:name w:val="Table Grid"/>
    <w:basedOn w:val="a1"/>
    <w:uiPriority w:val="59"/>
    <w:rsid w:val="0012045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unhideWhenUsed/>
    <w:rsid w:val="00655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559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50417"/>
    <w:rPr>
      <w:rFonts w:ascii="Calibri" w:eastAsia="Times New Roman" w:hAnsi="Calibri" w:cs="Calibri"/>
      <w:sz w:val="22"/>
      <w:lang w:val="uk-UA"/>
    </w:rPr>
  </w:style>
  <w:style w:type="paragraph" w:styleId="a7">
    <w:name w:val="footer"/>
    <w:basedOn w:val="a"/>
    <w:link w:val="a8"/>
    <w:uiPriority w:val="99"/>
    <w:unhideWhenUsed/>
    <w:rsid w:val="00950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50417"/>
    <w:rPr>
      <w:rFonts w:ascii="Calibri" w:eastAsia="Times New Roman" w:hAnsi="Calibri" w:cs="Calibri"/>
      <w:sz w:val="22"/>
      <w:lang w:val="uk-UA"/>
    </w:rPr>
  </w:style>
  <w:style w:type="paragraph" w:styleId="a9">
    <w:name w:val="Normal (Web)"/>
    <w:basedOn w:val="a"/>
    <w:uiPriority w:val="99"/>
    <w:rsid w:val="00F54A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37BA6"/>
    <w:rPr>
      <w:rFonts w:eastAsia="Times New Roman" w:cs="Times New Roman"/>
      <w:b/>
      <w:bCs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9A2D88"/>
    <w:pPr>
      <w:ind w:left="720"/>
      <w:contextualSpacing/>
    </w:pPr>
  </w:style>
  <w:style w:type="character" w:customStyle="1" w:styleId="rvts44">
    <w:name w:val="rvts44"/>
    <w:basedOn w:val="a0"/>
    <w:rsid w:val="00660479"/>
  </w:style>
  <w:style w:type="paragraph" w:customStyle="1" w:styleId="rvps2">
    <w:name w:val="rvps2"/>
    <w:basedOn w:val="a"/>
    <w:rsid w:val="00AE65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b">
    <w:name w:val="Hyperlink"/>
    <w:basedOn w:val="a0"/>
    <w:unhideWhenUsed/>
    <w:rsid w:val="00E37A78"/>
    <w:rPr>
      <w:color w:val="0000FF"/>
      <w:u w:val="single"/>
    </w:rPr>
  </w:style>
  <w:style w:type="character" w:customStyle="1" w:styleId="FontStyle44">
    <w:name w:val="Font Style44"/>
    <w:rsid w:val="00B9230E"/>
    <w:rPr>
      <w:rFonts w:ascii="Times New Roman" w:hAnsi="Times New Roman" w:cs="Times New Roman" w:hint="default"/>
      <w:sz w:val="24"/>
      <w:szCs w:val="24"/>
    </w:rPr>
  </w:style>
  <w:style w:type="paragraph" w:customStyle="1" w:styleId="rvps21">
    <w:name w:val="rvps21"/>
    <w:basedOn w:val="a"/>
    <w:rsid w:val="004A2C94"/>
    <w:pPr>
      <w:spacing w:after="125" w:line="240" w:lineRule="auto"/>
      <w:ind w:firstLine="376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4A2C9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11">
    <w:name w:val="Без інтервалів1"/>
    <w:rsid w:val="003E4B89"/>
    <w:pPr>
      <w:spacing w:after="0"/>
    </w:pPr>
    <w:rPr>
      <w:rFonts w:ascii="Calibri" w:eastAsia="Calibri" w:hAnsi="Calibri" w:cs="Calibri"/>
      <w:sz w:val="22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B71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71AED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8755BE"/>
    <w:rPr>
      <w:rFonts w:eastAsiaTheme="majorEastAsia" w:cstheme="majorBidi"/>
      <w:b/>
      <w:bCs/>
      <w:szCs w:val="28"/>
      <w:lang w:val="uk-UA"/>
    </w:rPr>
  </w:style>
  <w:style w:type="paragraph" w:styleId="12">
    <w:name w:val="toc 1"/>
    <w:basedOn w:val="a"/>
    <w:next w:val="a"/>
    <w:autoRedefine/>
    <w:uiPriority w:val="39"/>
    <w:unhideWhenUsed/>
    <w:rsid w:val="008972E1"/>
    <w:pPr>
      <w:spacing w:after="100"/>
    </w:pPr>
  </w:style>
  <w:style w:type="paragraph" w:customStyle="1" w:styleId="rvps12">
    <w:name w:val="rvps12"/>
    <w:basedOn w:val="a"/>
    <w:rsid w:val="00CF2F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0"/>
    <w:uiPriority w:val="22"/>
    <w:qFormat/>
    <w:rsid w:val="00064A99"/>
    <w:rPr>
      <w:b/>
      <w:bCs/>
    </w:rPr>
  </w:style>
  <w:style w:type="table" w:customStyle="1" w:styleId="13">
    <w:name w:val="Сітка таблиці1"/>
    <w:basedOn w:val="a1"/>
    <w:next w:val="a4"/>
    <w:uiPriority w:val="39"/>
    <w:rsid w:val="006E3EA1"/>
    <w:pPr>
      <w:spacing w:after="0"/>
    </w:pPr>
    <w:rPr>
      <w:rFonts w:ascii="Calibri" w:hAnsi="Calibri" w:cs="Times New Roman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F18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rvts9">
    <w:name w:val="rvts9"/>
    <w:basedOn w:val="a0"/>
    <w:rsid w:val="0047646B"/>
  </w:style>
  <w:style w:type="paragraph" w:styleId="af">
    <w:name w:val="footnote text"/>
    <w:basedOn w:val="a"/>
    <w:link w:val="af0"/>
    <w:uiPriority w:val="99"/>
    <w:semiHidden/>
    <w:unhideWhenUsed/>
    <w:rsid w:val="00294E78"/>
    <w:pPr>
      <w:spacing w:after="0" w:line="240" w:lineRule="auto"/>
    </w:pPr>
    <w:rPr>
      <w:sz w:val="20"/>
      <w:szCs w:val="20"/>
    </w:rPr>
  </w:style>
  <w:style w:type="character" w:customStyle="1" w:styleId="af0">
    <w:name w:val="Текст виноски Знак"/>
    <w:basedOn w:val="a0"/>
    <w:link w:val="af"/>
    <w:uiPriority w:val="99"/>
    <w:semiHidden/>
    <w:rsid w:val="00294E78"/>
    <w:rPr>
      <w:rFonts w:ascii="Calibri" w:eastAsia="Times New Roman" w:hAnsi="Calibri" w:cs="Calibri"/>
      <w:sz w:val="20"/>
      <w:szCs w:val="20"/>
      <w:lang w:val="uk-UA"/>
    </w:rPr>
  </w:style>
  <w:style w:type="character" w:styleId="af1">
    <w:name w:val="footnote reference"/>
    <w:basedOn w:val="a0"/>
    <w:uiPriority w:val="99"/>
    <w:semiHidden/>
    <w:unhideWhenUsed/>
    <w:rsid w:val="00294E78"/>
    <w:rPr>
      <w:vertAlign w:val="superscript"/>
    </w:rPr>
  </w:style>
  <w:style w:type="paragraph" w:customStyle="1" w:styleId="Standard">
    <w:name w:val="Standard"/>
    <w:rsid w:val="00297B5D"/>
    <w:pPr>
      <w:suppressAutoHyphens/>
      <w:autoSpaceDN w:val="0"/>
      <w:spacing w:after="0" w:line="276" w:lineRule="auto"/>
    </w:pPr>
    <w:rPr>
      <w:rFonts w:ascii="Arial" w:eastAsia="Arial" w:hAnsi="Arial" w:cs="Arial"/>
      <w:color w:val="000000"/>
      <w:kern w:val="3"/>
      <w:sz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BD526-3A7B-4DBD-837A-2C7BA7F3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15916</Words>
  <Characters>9073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Kudrenko B.V.</cp:lastModifiedBy>
  <cp:revision>3</cp:revision>
  <cp:lastPrinted>2020-07-30T13:29:00Z</cp:lastPrinted>
  <dcterms:created xsi:type="dcterms:W3CDTF">2021-12-29T15:59:00Z</dcterms:created>
  <dcterms:modified xsi:type="dcterms:W3CDTF">2021-12-31T08:56:00Z</dcterms:modified>
</cp:coreProperties>
</file>