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66391" w14:textId="77777777" w:rsidR="00150B32" w:rsidRPr="00150B32" w:rsidRDefault="00150B32" w:rsidP="00150B32">
      <w:pPr>
        <w:spacing w:after="0"/>
        <w:jc w:val="center"/>
        <w:rPr>
          <w:rFonts w:ascii="Times New Roman" w:hAnsi="Times New Roman" w:cs="Times New Roman"/>
        </w:rPr>
      </w:pPr>
      <w:r w:rsidRPr="00150B32">
        <w:rPr>
          <w:rFonts w:ascii="Times New Roman" w:hAnsi="Times New Roman" w:cs="Times New Roman"/>
        </w:rPr>
        <w:t>Звіт про громадське обговорення</w:t>
      </w:r>
    </w:p>
    <w:p w14:paraId="13E9B1AA" w14:textId="627F9D2A" w:rsidR="00B518D5" w:rsidRPr="00150B32" w:rsidRDefault="00150B32" w:rsidP="00150B32">
      <w:pPr>
        <w:spacing w:after="0"/>
        <w:jc w:val="center"/>
        <w:rPr>
          <w:rFonts w:ascii="Times New Roman" w:hAnsi="Times New Roman" w:cs="Times New Roman"/>
        </w:rPr>
      </w:pPr>
      <w:r w:rsidRPr="00150B32">
        <w:rPr>
          <w:rFonts w:ascii="Times New Roman" w:hAnsi="Times New Roman" w:cs="Times New Roman"/>
        </w:rPr>
        <w:t xml:space="preserve">проєкту наказу </w:t>
      </w:r>
      <w:bookmarkStart w:id="0" w:name="_GoBack"/>
      <w:bookmarkEnd w:id="0"/>
      <w:r w:rsidR="00B518D5" w:rsidRPr="00150B32">
        <w:rPr>
          <w:rFonts w:ascii="Times New Roman" w:hAnsi="Times New Roman" w:cs="Times New Roman"/>
        </w:rPr>
        <w:t>Міністерства освіти і наука України</w:t>
      </w:r>
    </w:p>
    <w:p w14:paraId="07518999" w14:textId="77777777" w:rsidR="00B6090C" w:rsidRPr="00150B32" w:rsidRDefault="00B518D5" w:rsidP="00BD3B1B">
      <w:pPr>
        <w:spacing w:after="0"/>
        <w:jc w:val="center"/>
        <w:rPr>
          <w:rFonts w:ascii="Times New Roman" w:hAnsi="Times New Roman" w:cs="Times New Roman"/>
        </w:rPr>
      </w:pPr>
      <w:r w:rsidRPr="00150B32">
        <w:rPr>
          <w:rFonts w:ascii="Times New Roman" w:hAnsi="Times New Roman" w:cs="Times New Roman"/>
        </w:rPr>
        <w:t>«Про затвердження змін до наказу Міністерства освіти і науки України від 15 жовтня 2020 року № 1274»</w:t>
      </w:r>
    </w:p>
    <w:p w14:paraId="5E1866F5" w14:textId="77777777" w:rsidR="00B518D5" w:rsidRPr="00150B32" w:rsidRDefault="00B518D5" w:rsidP="00BD3B1B">
      <w:pPr>
        <w:spacing w:after="0"/>
        <w:jc w:val="center"/>
        <w:rPr>
          <w:rFonts w:ascii="Times New Roman" w:hAnsi="Times New Roman" w:cs="Times New Roman"/>
        </w:rPr>
      </w:pPr>
    </w:p>
    <w:tbl>
      <w:tblPr>
        <w:tblStyle w:val="a3"/>
        <w:tblW w:w="15735" w:type="dxa"/>
        <w:tblInd w:w="-5" w:type="dxa"/>
        <w:tblLayout w:type="fixed"/>
        <w:tblLook w:val="04A0" w:firstRow="1" w:lastRow="0" w:firstColumn="1" w:lastColumn="0" w:noHBand="0" w:noVBand="1"/>
      </w:tblPr>
      <w:tblGrid>
        <w:gridCol w:w="6379"/>
        <w:gridCol w:w="6156"/>
        <w:gridCol w:w="1782"/>
        <w:gridCol w:w="1418"/>
      </w:tblGrid>
      <w:tr w:rsidR="00025103" w:rsidRPr="00150B32" w14:paraId="3653B454" w14:textId="240CE477" w:rsidTr="008D70B5">
        <w:tc>
          <w:tcPr>
            <w:tcW w:w="6379" w:type="dxa"/>
          </w:tcPr>
          <w:p w14:paraId="69329D91" w14:textId="77777777" w:rsidR="00025103" w:rsidRPr="00150B32" w:rsidRDefault="00025103" w:rsidP="00BD3B1B">
            <w:pPr>
              <w:tabs>
                <w:tab w:val="left" w:pos="2670"/>
              </w:tabs>
              <w:jc w:val="both"/>
              <w:rPr>
                <w:rFonts w:ascii="Times New Roman" w:hAnsi="Times New Roman" w:cs="Times New Roman"/>
              </w:rPr>
            </w:pPr>
            <w:r w:rsidRPr="00150B32">
              <w:rPr>
                <w:rStyle w:val="rvts23"/>
                <w:rFonts w:ascii="Times New Roman" w:hAnsi="Times New Roman" w:cs="Times New Roman"/>
                <w:b/>
                <w:bCs/>
                <w:color w:val="333333"/>
                <w:shd w:val="clear" w:color="auto" w:fill="FFFFFF"/>
              </w:rPr>
              <w:t>УМОВИ</w:t>
            </w:r>
            <w:r w:rsidRPr="00150B32">
              <w:rPr>
                <w:rFonts w:ascii="Times New Roman" w:hAnsi="Times New Roman" w:cs="Times New Roman"/>
                <w:color w:val="333333"/>
              </w:rPr>
              <w:br/>
            </w:r>
            <w:r w:rsidRPr="00150B32">
              <w:rPr>
                <w:rStyle w:val="rvts23"/>
                <w:rFonts w:ascii="Times New Roman" w:hAnsi="Times New Roman" w:cs="Times New Roman"/>
                <w:b/>
                <w:bCs/>
                <w:color w:val="333333"/>
                <w:shd w:val="clear" w:color="auto" w:fill="FFFFFF"/>
              </w:rPr>
              <w:t>прийому на навчання для здобуття вищої освіти в 2021 році</w:t>
            </w:r>
          </w:p>
        </w:tc>
        <w:tc>
          <w:tcPr>
            <w:tcW w:w="6156" w:type="dxa"/>
          </w:tcPr>
          <w:p w14:paraId="55D3B857" w14:textId="77777777" w:rsidR="00025103" w:rsidRPr="00150B32" w:rsidRDefault="00025103" w:rsidP="00BD3B1B">
            <w:pPr>
              <w:jc w:val="both"/>
              <w:rPr>
                <w:rFonts w:ascii="Times New Roman" w:hAnsi="Times New Roman" w:cs="Times New Roman"/>
              </w:rPr>
            </w:pPr>
          </w:p>
        </w:tc>
        <w:tc>
          <w:tcPr>
            <w:tcW w:w="1782" w:type="dxa"/>
          </w:tcPr>
          <w:p w14:paraId="5B046D70" w14:textId="124BF8D9" w:rsidR="00025103" w:rsidRPr="00150B32" w:rsidRDefault="00025103" w:rsidP="00BD3B1B">
            <w:pPr>
              <w:jc w:val="both"/>
              <w:rPr>
                <w:rFonts w:ascii="Times New Roman" w:hAnsi="Times New Roman" w:cs="Times New Roman"/>
              </w:rPr>
            </w:pPr>
            <w:r w:rsidRPr="00150B32">
              <w:rPr>
                <w:rFonts w:ascii="Times New Roman" w:hAnsi="Times New Roman" w:cs="Times New Roman"/>
              </w:rPr>
              <w:t>Автори</w:t>
            </w:r>
          </w:p>
        </w:tc>
        <w:tc>
          <w:tcPr>
            <w:tcW w:w="1418" w:type="dxa"/>
          </w:tcPr>
          <w:p w14:paraId="1DA577E8" w14:textId="072C0628" w:rsidR="00025103" w:rsidRPr="00150B32" w:rsidRDefault="00025103" w:rsidP="00BD3B1B">
            <w:pPr>
              <w:jc w:val="both"/>
              <w:rPr>
                <w:rFonts w:ascii="Times New Roman" w:hAnsi="Times New Roman" w:cs="Times New Roman"/>
              </w:rPr>
            </w:pPr>
            <w:r w:rsidRPr="00150B32">
              <w:rPr>
                <w:rFonts w:ascii="Times New Roman" w:hAnsi="Times New Roman" w:cs="Times New Roman"/>
              </w:rPr>
              <w:t>Прийнято/ відхилено</w:t>
            </w:r>
          </w:p>
        </w:tc>
      </w:tr>
      <w:tr w:rsidR="00E64064" w:rsidRPr="00150B32" w14:paraId="3C0159BC" w14:textId="6FF5CE7A" w:rsidTr="008D70B5">
        <w:tc>
          <w:tcPr>
            <w:tcW w:w="6379" w:type="dxa"/>
          </w:tcPr>
          <w:p w14:paraId="3BC0361A" w14:textId="77777777" w:rsidR="00E64064" w:rsidRPr="00150B32" w:rsidRDefault="00E64064" w:rsidP="00BD3B1B">
            <w:pPr>
              <w:numPr>
                <w:ilvl w:val="0"/>
                <w:numId w:val="1"/>
              </w:numPr>
              <w:ind w:left="0" w:firstLine="709"/>
              <w:jc w:val="both"/>
              <w:textAlignment w:val="baseline"/>
              <w:rPr>
                <w:rFonts w:ascii="Times New Roman" w:eastAsia="Times New Roman" w:hAnsi="Times New Roman" w:cs="Times New Roman"/>
                <w:color w:val="000000"/>
                <w:sz w:val="24"/>
                <w:szCs w:val="24"/>
                <w:lang w:eastAsia="uk-UA"/>
              </w:rPr>
            </w:pPr>
            <w:r w:rsidRPr="00150B32">
              <w:rPr>
                <w:rFonts w:ascii="Times New Roman" w:eastAsia="Times New Roman" w:hAnsi="Times New Roman" w:cs="Times New Roman"/>
                <w:color w:val="000000"/>
                <w:sz w:val="24"/>
                <w:szCs w:val="24"/>
                <w:lang w:eastAsia="uk-UA"/>
              </w:rPr>
              <w:t>Встановити, що заклади вищої освіти приватної форми власності для реалізації прав, визначених абзацом четвертим пункту 3 Змін до Умов прийому можуть створювати в Єдиній державній електронній базі з питань освіти відкриті конкурсні пропозиції впродовж 14 календарних днів із дня набрання чинності цим наказом.</w:t>
            </w:r>
          </w:p>
          <w:p w14:paraId="6426CC98" w14:textId="77777777" w:rsidR="00E64064" w:rsidRPr="00150B32" w:rsidRDefault="00E64064" w:rsidP="00BD3B1B">
            <w:pPr>
              <w:tabs>
                <w:tab w:val="left" w:pos="2670"/>
              </w:tabs>
              <w:jc w:val="both"/>
              <w:rPr>
                <w:rStyle w:val="rvts23"/>
                <w:rFonts w:ascii="Times New Roman" w:hAnsi="Times New Roman" w:cs="Times New Roman"/>
                <w:color w:val="333333"/>
                <w:shd w:val="clear" w:color="auto" w:fill="FFFFFF"/>
              </w:rPr>
            </w:pPr>
          </w:p>
        </w:tc>
        <w:tc>
          <w:tcPr>
            <w:tcW w:w="6156" w:type="dxa"/>
          </w:tcPr>
          <w:p w14:paraId="57E85C9C" w14:textId="77777777" w:rsidR="00E64064" w:rsidRPr="00150B32" w:rsidRDefault="00E64064" w:rsidP="00BD3B1B">
            <w:pPr>
              <w:numPr>
                <w:ilvl w:val="0"/>
                <w:numId w:val="1"/>
              </w:numPr>
              <w:ind w:left="0" w:firstLine="709"/>
              <w:jc w:val="both"/>
              <w:textAlignment w:val="baseline"/>
              <w:rPr>
                <w:rFonts w:ascii="Times New Roman" w:eastAsia="Times New Roman" w:hAnsi="Times New Roman" w:cs="Times New Roman"/>
                <w:color w:val="000000"/>
                <w:sz w:val="24"/>
                <w:szCs w:val="24"/>
                <w:lang w:eastAsia="uk-UA"/>
              </w:rPr>
            </w:pPr>
            <w:r w:rsidRPr="00150B32">
              <w:rPr>
                <w:rFonts w:ascii="Times New Roman" w:eastAsia="Times New Roman" w:hAnsi="Times New Roman" w:cs="Times New Roman"/>
                <w:color w:val="000000"/>
                <w:sz w:val="24"/>
                <w:szCs w:val="24"/>
                <w:lang w:eastAsia="uk-UA"/>
              </w:rPr>
              <w:t xml:space="preserve">Встановити, що заклади вищої освіти приватної форми власності для реалізації прав, визначених абзацом четвертим пункту 3 Змін до Умов прийому можуть створювати в Єдиній державній електронній базі з питань освіти відкриті конкурсні пропозиції </w:t>
            </w:r>
            <w:r w:rsidRPr="00150B32">
              <w:rPr>
                <w:rFonts w:ascii="Times New Roman" w:eastAsia="Times New Roman" w:hAnsi="Times New Roman" w:cs="Times New Roman"/>
                <w:b/>
                <w:bCs/>
                <w:color w:val="000000"/>
                <w:sz w:val="24"/>
                <w:szCs w:val="24"/>
                <w:lang w:eastAsia="uk-UA"/>
              </w:rPr>
              <w:t>до 30 червня 2021 року</w:t>
            </w:r>
            <w:r w:rsidRPr="00150B32">
              <w:rPr>
                <w:rFonts w:ascii="Times New Roman" w:eastAsia="Times New Roman" w:hAnsi="Times New Roman" w:cs="Times New Roman"/>
                <w:color w:val="000000"/>
                <w:sz w:val="24"/>
                <w:szCs w:val="24"/>
                <w:lang w:eastAsia="uk-UA"/>
              </w:rPr>
              <w:t>.</w:t>
            </w:r>
          </w:p>
          <w:p w14:paraId="3F83BD48" w14:textId="0835AC5C" w:rsidR="00E64064" w:rsidRPr="00150B32" w:rsidRDefault="00E64064" w:rsidP="00BD3B1B">
            <w:pPr>
              <w:jc w:val="both"/>
              <w:rPr>
                <w:rFonts w:ascii="Times New Roman" w:hAnsi="Times New Roman" w:cs="Times New Roman"/>
              </w:rPr>
            </w:pPr>
            <w:r w:rsidRPr="00150B32">
              <w:rPr>
                <w:rFonts w:ascii="Times New Roman" w:eastAsia="Times New Roman" w:hAnsi="Times New Roman" w:cs="Times New Roman"/>
                <w:bCs/>
                <w:i/>
                <w:iCs/>
                <w:color w:val="000000"/>
                <w:sz w:val="24"/>
                <w:szCs w:val="24"/>
                <w:lang w:eastAsia="uk-UA"/>
              </w:rPr>
              <w:t>Заклади, які будуть проходити ліцензування після набрання чинності ліцензійними умовами (це не станеться раніше середині червня) не зможуть відкрити КП згідно із редакцією проекту. Тому пропонується дати максимально можливий термін для відкриття КП, але точно не раніше, ніж буде перше засідання ліцензійної комісії, що ліцензуватиме за новими ліцумовами</w:t>
            </w:r>
          </w:p>
        </w:tc>
        <w:tc>
          <w:tcPr>
            <w:tcW w:w="1782" w:type="dxa"/>
          </w:tcPr>
          <w:p w14:paraId="680345CD" w14:textId="0E21F72D" w:rsidR="00E64064" w:rsidRPr="00150B32" w:rsidRDefault="00E64064" w:rsidP="00BD3B1B">
            <w:pPr>
              <w:jc w:val="both"/>
              <w:rPr>
                <w:rFonts w:ascii="Times New Roman" w:hAnsi="Times New Roman" w:cs="Times New Roman"/>
              </w:rPr>
            </w:pPr>
            <w:r w:rsidRPr="00150B32">
              <w:rPr>
                <w:rFonts w:ascii="Times New Roman" w:eastAsia="Times New Roman" w:hAnsi="Times New Roman" w:cs="Times New Roman"/>
                <w:bCs/>
                <w:color w:val="000000"/>
                <w:sz w:val="24"/>
                <w:szCs w:val="24"/>
                <w:lang w:eastAsia="uk-UA"/>
              </w:rPr>
              <w:t>Приватна установа «Університет «Київська школа економіки»</w:t>
            </w:r>
          </w:p>
        </w:tc>
        <w:tc>
          <w:tcPr>
            <w:tcW w:w="1418" w:type="dxa"/>
          </w:tcPr>
          <w:p w14:paraId="43FF1E4C" w14:textId="48850C04" w:rsidR="001B01C2" w:rsidRPr="00150B32" w:rsidRDefault="008D70B5" w:rsidP="001B01C2">
            <w:pPr>
              <w:jc w:val="both"/>
              <w:rPr>
                <w:rFonts w:ascii="Times New Roman" w:hAnsi="Times New Roman" w:cs="Times New Roman"/>
              </w:rPr>
            </w:pPr>
            <w:r w:rsidRPr="00150B32">
              <w:rPr>
                <w:rFonts w:ascii="Times New Roman" w:hAnsi="Times New Roman" w:cs="Times New Roman"/>
              </w:rPr>
              <w:t>редакційно</w:t>
            </w:r>
          </w:p>
        </w:tc>
      </w:tr>
      <w:tr w:rsidR="00025103" w:rsidRPr="00150B32" w14:paraId="3E3C511D" w14:textId="28F00711" w:rsidTr="008D70B5">
        <w:tc>
          <w:tcPr>
            <w:tcW w:w="6379" w:type="dxa"/>
          </w:tcPr>
          <w:p w14:paraId="6F51339B" w14:textId="10B0E91A" w:rsidR="00025103" w:rsidRPr="00150B32" w:rsidRDefault="00025103" w:rsidP="00BD3B1B">
            <w:pPr>
              <w:pStyle w:val="rvps2"/>
              <w:shd w:val="clear" w:color="auto" w:fill="FFFFFF"/>
              <w:spacing w:before="0" w:beforeAutospacing="0" w:after="0" w:afterAutospacing="0"/>
              <w:jc w:val="both"/>
              <w:rPr>
                <w:color w:val="333333"/>
              </w:rPr>
            </w:pPr>
            <w:r w:rsidRPr="00150B32">
              <w:rPr>
                <w:b/>
                <w:bCs/>
                <w:color w:val="333333"/>
                <w:sz w:val="28"/>
                <w:szCs w:val="28"/>
                <w:shd w:val="clear" w:color="auto" w:fill="FFFFFF"/>
              </w:rPr>
              <w:t>III. Джерела фінансування здобуття вищої освіти</w:t>
            </w:r>
          </w:p>
        </w:tc>
        <w:tc>
          <w:tcPr>
            <w:tcW w:w="6156" w:type="dxa"/>
          </w:tcPr>
          <w:p w14:paraId="1935C110" w14:textId="77777777" w:rsidR="00025103" w:rsidRPr="00150B32" w:rsidRDefault="00025103" w:rsidP="00BD3B1B">
            <w:pPr>
              <w:pStyle w:val="rvps2"/>
              <w:shd w:val="clear" w:color="auto" w:fill="FFFFFF"/>
              <w:spacing w:before="0" w:beforeAutospacing="0" w:after="0" w:afterAutospacing="0"/>
              <w:jc w:val="both"/>
              <w:rPr>
                <w:b/>
                <w:color w:val="333333"/>
              </w:rPr>
            </w:pPr>
          </w:p>
        </w:tc>
        <w:tc>
          <w:tcPr>
            <w:tcW w:w="1782" w:type="dxa"/>
          </w:tcPr>
          <w:p w14:paraId="207DFDDF" w14:textId="77777777" w:rsidR="00025103" w:rsidRPr="00150B32" w:rsidRDefault="00025103" w:rsidP="00BD3B1B">
            <w:pPr>
              <w:pStyle w:val="rvps2"/>
              <w:shd w:val="clear" w:color="auto" w:fill="FFFFFF"/>
              <w:spacing w:before="0" w:beforeAutospacing="0" w:after="0" w:afterAutospacing="0"/>
              <w:jc w:val="both"/>
              <w:rPr>
                <w:b/>
                <w:color w:val="333333"/>
              </w:rPr>
            </w:pPr>
          </w:p>
        </w:tc>
        <w:tc>
          <w:tcPr>
            <w:tcW w:w="1418" w:type="dxa"/>
          </w:tcPr>
          <w:p w14:paraId="1B4BE075" w14:textId="77777777" w:rsidR="00025103" w:rsidRPr="00150B32" w:rsidRDefault="00025103" w:rsidP="00BD3B1B">
            <w:pPr>
              <w:pStyle w:val="rvps2"/>
              <w:shd w:val="clear" w:color="auto" w:fill="FFFFFF"/>
              <w:spacing w:before="0" w:beforeAutospacing="0" w:after="0" w:afterAutospacing="0"/>
              <w:jc w:val="both"/>
              <w:rPr>
                <w:b/>
                <w:color w:val="333333"/>
              </w:rPr>
            </w:pPr>
          </w:p>
        </w:tc>
      </w:tr>
      <w:tr w:rsidR="00025103" w:rsidRPr="00150B32" w14:paraId="354BD20E" w14:textId="48EEB4B5" w:rsidTr="008D70B5">
        <w:tc>
          <w:tcPr>
            <w:tcW w:w="6379" w:type="dxa"/>
          </w:tcPr>
          <w:p w14:paraId="4AA704DD" w14:textId="149BEB42" w:rsidR="00025103" w:rsidRPr="00150B32" w:rsidRDefault="00025103" w:rsidP="00BD3B1B">
            <w:pPr>
              <w:shd w:val="clear" w:color="auto" w:fill="FFFFFF"/>
              <w:ind w:firstLine="450"/>
              <w:jc w:val="both"/>
              <w:rPr>
                <w:rFonts w:ascii="Times New Roman" w:eastAsia="Times New Roman" w:hAnsi="Times New Roman" w:cs="Times New Roman"/>
                <w:color w:val="333333"/>
                <w:sz w:val="24"/>
                <w:szCs w:val="24"/>
              </w:rPr>
            </w:pPr>
            <w:r w:rsidRPr="00150B32">
              <w:rPr>
                <w:rFonts w:ascii="Times New Roman" w:eastAsia="Times New Roman" w:hAnsi="Times New Roman" w:cs="Times New Roman"/>
                <w:color w:val="333333"/>
                <w:sz w:val="24"/>
                <w:szCs w:val="24"/>
              </w:rPr>
              <w:t>1. Фінансування підготовки здобувачів вищої освіти здійснюється:</w:t>
            </w:r>
            <w:bookmarkStart w:id="1" w:name="n86"/>
            <w:bookmarkEnd w:id="1"/>
          </w:p>
        </w:tc>
        <w:tc>
          <w:tcPr>
            <w:tcW w:w="6156" w:type="dxa"/>
          </w:tcPr>
          <w:p w14:paraId="04727053" w14:textId="77777777" w:rsidR="00025103" w:rsidRPr="00150B32" w:rsidRDefault="00025103" w:rsidP="00BD3B1B">
            <w:pPr>
              <w:pStyle w:val="rvps2"/>
              <w:shd w:val="clear" w:color="auto" w:fill="FFFFFF"/>
              <w:spacing w:before="0" w:beforeAutospacing="0" w:after="0" w:afterAutospacing="0"/>
              <w:jc w:val="both"/>
              <w:rPr>
                <w:b/>
                <w:color w:val="333333"/>
              </w:rPr>
            </w:pPr>
          </w:p>
        </w:tc>
        <w:tc>
          <w:tcPr>
            <w:tcW w:w="1782" w:type="dxa"/>
          </w:tcPr>
          <w:p w14:paraId="1E090394" w14:textId="77777777" w:rsidR="00025103" w:rsidRPr="00150B32" w:rsidRDefault="00025103" w:rsidP="00BD3B1B">
            <w:pPr>
              <w:pStyle w:val="rvps2"/>
              <w:shd w:val="clear" w:color="auto" w:fill="FFFFFF"/>
              <w:spacing w:before="0" w:beforeAutospacing="0" w:after="0" w:afterAutospacing="0"/>
              <w:jc w:val="both"/>
              <w:rPr>
                <w:b/>
                <w:color w:val="333333"/>
              </w:rPr>
            </w:pPr>
          </w:p>
        </w:tc>
        <w:tc>
          <w:tcPr>
            <w:tcW w:w="1418" w:type="dxa"/>
          </w:tcPr>
          <w:p w14:paraId="0897532E" w14:textId="77777777" w:rsidR="00025103" w:rsidRPr="00150B32" w:rsidRDefault="00025103" w:rsidP="00BD3B1B">
            <w:pPr>
              <w:pStyle w:val="rvps2"/>
              <w:shd w:val="clear" w:color="auto" w:fill="FFFFFF"/>
              <w:spacing w:before="0" w:beforeAutospacing="0" w:after="0" w:afterAutospacing="0"/>
              <w:jc w:val="both"/>
              <w:rPr>
                <w:b/>
                <w:color w:val="333333"/>
              </w:rPr>
            </w:pPr>
          </w:p>
        </w:tc>
      </w:tr>
      <w:tr w:rsidR="00025103" w:rsidRPr="00150B32" w14:paraId="22462018" w14:textId="305ED3DE" w:rsidTr="008D70B5">
        <w:tc>
          <w:tcPr>
            <w:tcW w:w="6379" w:type="dxa"/>
          </w:tcPr>
          <w:p w14:paraId="6B7A43A2" w14:textId="3C9CF794" w:rsidR="00025103" w:rsidRPr="00150B32" w:rsidRDefault="00025103" w:rsidP="00BD3B1B">
            <w:pPr>
              <w:shd w:val="clear" w:color="auto" w:fill="FFFFFF"/>
              <w:ind w:firstLine="450"/>
              <w:jc w:val="both"/>
              <w:rPr>
                <w:rFonts w:ascii="Times New Roman" w:hAnsi="Times New Roman" w:cs="Times New Roman"/>
                <w:color w:val="333333"/>
              </w:rPr>
            </w:pPr>
            <w:r w:rsidRPr="00150B32">
              <w:rPr>
                <w:rFonts w:ascii="Times New Roman" w:eastAsia="Times New Roman" w:hAnsi="Times New Roman" w:cs="Times New Roman"/>
                <w:color w:val="333333"/>
                <w:sz w:val="24"/>
                <w:szCs w:val="24"/>
                <w:lang w:val="ru-RU"/>
              </w:rPr>
              <w:t>за рахунок видатків державного бюджету у державних закладах вищої освіти (державне замовлення) та за рахунок видатків місцевих бюджетів у державних та комунальних закладах вищої освіти (регіональне замовлення);</w:t>
            </w:r>
          </w:p>
        </w:tc>
        <w:tc>
          <w:tcPr>
            <w:tcW w:w="6156" w:type="dxa"/>
          </w:tcPr>
          <w:p w14:paraId="4C819536" w14:textId="07E6AE6A" w:rsidR="00025103" w:rsidRPr="00150B32" w:rsidRDefault="00025103" w:rsidP="00BD3B1B">
            <w:pPr>
              <w:pStyle w:val="rvps2"/>
              <w:shd w:val="clear" w:color="auto" w:fill="FFFFFF"/>
              <w:spacing w:before="0" w:beforeAutospacing="0" w:after="0" w:afterAutospacing="0"/>
              <w:jc w:val="both"/>
              <w:rPr>
                <w:b/>
                <w:color w:val="333333"/>
              </w:rPr>
            </w:pPr>
            <w:r w:rsidRPr="00150B32">
              <w:rPr>
                <w:color w:val="333333"/>
                <w:lang w:val="ru-RU"/>
              </w:rPr>
              <w:t xml:space="preserve">за рахунок видатків державного бюджету у державних закладах вищої освіти (державне замовлення) та за рахунок видатків місцевих бюджетів у державних та </w:t>
            </w:r>
            <w:r w:rsidRPr="00150B32">
              <w:rPr>
                <w:b/>
                <w:bCs/>
                <w:color w:val="333333"/>
                <w:lang w:val="ru-RU"/>
              </w:rPr>
              <w:t xml:space="preserve">приватних, </w:t>
            </w:r>
            <w:r w:rsidRPr="00150B32">
              <w:rPr>
                <w:color w:val="333333"/>
                <w:lang w:val="ru-RU"/>
              </w:rPr>
              <w:t>комунальних закладах вищої освіти (регіональне замовлення);</w:t>
            </w:r>
          </w:p>
        </w:tc>
        <w:tc>
          <w:tcPr>
            <w:tcW w:w="1782" w:type="dxa"/>
          </w:tcPr>
          <w:p w14:paraId="1E8BE786" w14:textId="77777777" w:rsidR="00025103" w:rsidRPr="00150B32" w:rsidRDefault="00025103" w:rsidP="00BD3B1B">
            <w:pPr>
              <w:pStyle w:val="rvps2"/>
              <w:shd w:val="clear" w:color="auto" w:fill="FFFFFF"/>
              <w:spacing w:before="0" w:beforeAutospacing="0" w:after="0" w:afterAutospacing="0"/>
              <w:jc w:val="both"/>
              <w:rPr>
                <w:color w:val="333333"/>
                <w:lang w:val="ru-RU"/>
              </w:rPr>
            </w:pPr>
          </w:p>
        </w:tc>
        <w:tc>
          <w:tcPr>
            <w:tcW w:w="1418" w:type="dxa"/>
          </w:tcPr>
          <w:p w14:paraId="40F2C26A" w14:textId="1F301CF0" w:rsidR="00025103" w:rsidRPr="00150B32" w:rsidRDefault="008D70B5" w:rsidP="00BD3B1B">
            <w:pPr>
              <w:pStyle w:val="rvps2"/>
              <w:shd w:val="clear" w:color="auto" w:fill="FFFFFF"/>
              <w:spacing w:before="0" w:beforeAutospacing="0" w:after="0" w:afterAutospacing="0"/>
              <w:jc w:val="both"/>
              <w:rPr>
                <w:color w:val="333333"/>
                <w:lang w:val="ru-RU"/>
              </w:rPr>
            </w:pPr>
            <w:r w:rsidRPr="00150B32">
              <w:rPr>
                <w:color w:val="333333"/>
                <w:lang w:val="ru-RU"/>
              </w:rPr>
              <w:t>Враховано редакційно</w:t>
            </w:r>
          </w:p>
        </w:tc>
      </w:tr>
      <w:tr w:rsidR="00E64064" w:rsidRPr="00150B32" w14:paraId="227767A6" w14:textId="77777777" w:rsidTr="008D70B5">
        <w:tc>
          <w:tcPr>
            <w:tcW w:w="6379" w:type="dxa"/>
          </w:tcPr>
          <w:p w14:paraId="2D0D7777" w14:textId="77777777" w:rsidR="00E64064" w:rsidRPr="00150B32" w:rsidRDefault="00E64064" w:rsidP="00BD3B1B">
            <w:pPr>
              <w:shd w:val="clear" w:color="auto" w:fill="FFFFFF"/>
              <w:ind w:firstLine="450"/>
              <w:jc w:val="both"/>
              <w:rPr>
                <w:rFonts w:ascii="Times New Roman" w:eastAsia="Times New Roman" w:hAnsi="Times New Roman" w:cs="Times New Roman"/>
                <w:color w:val="333333"/>
                <w:sz w:val="24"/>
                <w:szCs w:val="24"/>
                <w:lang w:val="ru-RU"/>
              </w:rPr>
            </w:pPr>
          </w:p>
        </w:tc>
        <w:tc>
          <w:tcPr>
            <w:tcW w:w="6156" w:type="dxa"/>
          </w:tcPr>
          <w:p w14:paraId="78ACE1D3" w14:textId="5AC38F14" w:rsidR="00E64064" w:rsidRPr="00150B32" w:rsidRDefault="00E64064" w:rsidP="00BD3B1B">
            <w:pPr>
              <w:pStyle w:val="rvps2"/>
              <w:shd w:val="clear" w:color="auto" w:fill="FFFFFF"/>
              <w:spacing w:before="0" w:beforeAutospacing="0" w:after="0" w:afterAutospacing="0"/>
              <w:jc w:val="both"/>
              <w:rPr>
                <w:color w:val="333333"/>
                <w:lang w:val="ru-RU"/>
              </w:rPr>
            </w:pPr>
            <w:r w:rsidRPr="00150B32">
              <w:rPr>
                <w:color w:val="000000"/>
              </w:rPr>
              <w:t xml:space="preserve">в абзаці другому пункту 1 після слів </w:t>
            </w:r>
            <w:r w:rsidRPr="00150B32">
              <w:rPr>
                <w:b/>
                <w:bCs/>
                <w:color w:val="000000"/>
              </w:rPr>
              <w:t>«</w:t>
            </w:r>
            <w:r w:rsidRPr="00150B32">
              <w:rPr>
                <w:b/>
                <w:bCs/>
                <w:color w:val="333333"/>
                <w:shd w:val="clear" w:color="auto" w:fill="FFFFFF"/>
              </w:rPr>
              <w:t>державного бюджету у державних</w:t>
            </w:r>
            <w:r w:rsidRPr="00150B32">
              <w:rPr>
                <w:b/>
                <w:bCs/>
                <w:color w:val="000000"/>
              </w:rPr>
              <w:t>» доповнити словами «та приватних»;</w:t>
            </w:r>
            <w:r w:rsidRPr="00150B32">
              <w:rPr>
                <w:b/>
                <w:bCs/>
                <w:color w:val="000000"/>
              </w:rPr>
              <w:br/>
              <w:t>в абзаці другому пункту 1 після слів «</w:t>
            </w:r>
            <w:r w:rsidRPr="00150B32">
              <w:rPr>
                <w:b/>
                <w:bCs/>
                <w:color w:val="333333"/>
                <w:shd w:val="clear" w:color="auto" w:fill="FFFFFF"/>
              </w:rPr>
              <w:t>бюджетів у державних</w:t>
            </w:r>
            <w:r w:rsidRPr="00150B32">
              <w:rPr>
                <w:b/>
                <w:bCs/>
                <w:color w:val="000000"/>
              </w:rPr>
              <w:t>» доповнити словами «, приватних»;</w:t>
            </w:r>
          </w:p>
        </w:tc>
        <w:tc>
          <w:tcPr>
            <w:tcW w:w="1782" w:type="dxa"/>
          </w:tcPr>
          <w:p w14:paraId="1B605470" w14:textId="21F87906" w:rsidR="00E64064" w:rsidRPr="00150B32" w:rsidRDefault="00E64064" w:rsidP="00BD3B1B">
            <w:pPr>
              <w:pStyle w:val="rvps2"/>
              <w:shd w:val="clear" w:color="auto" w:fill="FFFFFF"/>
              <w:spacing w:before="0" w:beforeAutospacing="0" w:after="0" w:afterAutospacing="0"/>
              <w:jc w:val="both"/>
              <w:rPr>
                <w:color w:val="333333"/>
                <w:lang w:val="ru-RU"/>
              </w:rPr>
            </w:pPr>
            <w:r w:rsidRPr="00150B32">
              <w:rPr>
                <w:color w:val="000000"/>
              </w:rPr>
              <w:t>Приватна установа «Університет «Київська школа економіки»</w:t>
            </w:r>
          </w:p>
        </w:tc>
        <w:tc>
          <w:tcPr>
            <w:tcW w:w="1418" w:type="dxa"/>
          </w:tcPr>
          <w:p w14:paraId="59941F08" w14:textId="1F64712D" w:rsidR="00E64064" w:rsidRPr="00150B32" w:rsidRDefault="00E64064" w:rsidP="00BD3B1B">
            <w:pPr>
              <w:pStyle w:val="rvps2"/>
              <w:shd w:val="clear" w:color="auto" w:fill="FFFFFF"/>
              <w:spacing w:before="0" w:beforeAutospacing="0" w:after="0" w:afterAutospacing="0"/>
              <w:jc w:val="both"/>
              <w:rPr>
                <w:color w:val="333333"/>
                <w:lang w:val="ru-RU"/>
              </w:rPr>
            </w:pPr>
          </w:p>
        </w:tc>
      </w:tr>
      <w:tr w:rsidR="00BD3B1B" w:rsidRPr="00150B32" w14:paraId="354D2AB7" w14:textId="77777777" w:rsidTr="008D70B5">
        <w:tc>
          <w:tcPr>
            <w:tcW w:w="6379" w:type="dxa"/>
          </w:tcPr>
          <w:p w14:paraId="6BC64549" w14:textId="77777777" w:rsidR="00BD3B1B" w:rsidRPr="00150B32" w:rsidRDefault="00BD3B1B" w:rsidP="00BD3B1B">
            <w:pPr>
              <w:shd w:val="clear" w:color="auto" w:fill="FFFFFF"/>
              <w:ind w:firstLine="450"/>
              <w:jc w:val="both"/>
              <w:rPr>
                <w:rFonts w:ascii="Times New Roman" w:eastAsia="Times New Roman" w:hAnsi="Times New Roman" w:cs="Times New Roman"/>
                <w:color w:val="333333"/>
                <w:sz w:val="24"/>
                <w:szCs w:val="24"/>
                <w:lang w:val="ru-RU"/>
              </w:rPr>
            </w:pPr>
          </w:p>
        </w:tc>
        <w:tc>
          <w:tcPr>
            <w:tcW w:w="6156" w:type="dxa"/>
          </w:tcPr>
          <w:p w14:paraId="305CF1B0" w14:textId="25D3D73F" w:rsidR="00BD3B1B" w:rsidRPr="00150B32" w:rsidRDefault="00BD3B1B" w:rsidP="00BD3B1B">
            <w:pPr>
              <w:pStyle w:val="rvps2"/>
              <w:shd w:val="clear" w:color="auto" w:fill="FFFFFF"/>
              <w:spacing w:before="0" w:beforeAutospacing="0" w:after="0" w:afterAutospacing="0"/>
              <w:jc w:val="both"/>
              <w:rPr>
                <w:color w:val="000000"/>
              </w:rPr>
            </w:pPr>
            <w:r w:rsidRPr="00150B32">
              <w:rPr>
                <w:color w:val="000000"/>
              </w:rPr>
              <w:t xml:space="preserve">в абзаці другому пункту 1 після слів </w:t>
            </w:r>
            <w:r w:rsidRPr="00150B32">
              <w:rPr>
                <w:b/>
                <w:bCs/>
                <w:color w:val="000000"/>
              </w:rPr>
              <w:t>«за рахунок видатків державного бюджету у державних» доповнити словами «і приватних закладах вищої освіти»</w:t>
            </w:r>
          </w:p>
        </w:tc>
        <w:tc>
          <w:tcPr>
            <w:tcW w:w="1782" w:type="dxa"/>
          </w:tcPr>
          <w:p w14:paraId="78B0C3A0" w14:textId="15C0B81E" w:rsidR="00BD3B1B" w:rsidRPr="00150B32" w:rsidRDefault="00BD3B1B" w:rsidP="00BD3B1B">
            <w:pPr>
              <w:pStyle w:val="rvps2"/>
              <w:shd w:val="clear" w:color="auto" w:fill="FFFFFF"/>
              <w:spacing w:before="0" w:beforeAutospacing="0" w:after="0" w:afterAutospacing="0"/>
              <w:jc w:val="both"/>
              <w:rPr>
                <w:color w:val="000000"/>
              </w:rPr>
            </w:pPr>
            <w:r w:rsidRPr="00150B32">
              <w:rPr>
                <w:color w:val="000000"/>
              </w:rPr>
              <w:t>УКУ</w:t>
            </w:r>
          </w:p>
        </w:tc>
        <w:tc>
          <w:tcPr>
            <w:tcW w:w="1418" w:type="dxa"/>
          </w:tcPr>
          <w:p w14:paraId="304DD766" w14:textId="24B1CD88" w:rsidR="00BD3B1B" w:rsidRPr="00150B32" w:rsidRDefault="008D70B5" w:rsidP="00BD3B1B">
            <w:pPr>
              <w:pStyle w:val="rvps2"/>
              <w:shd w:val="clear" w:color="auto" w:fill="FFFFFF"/>
              <w:spacing w:before="0" w:beforeAutospacing="0" w:after="0" w:afterAutospacing="0"/>
              <w:jc w:val="both"/>
              <w:rPr>
                <w:color w:val="333333"/>
                <w:lang w:val="ru-RU"/>
              </w:rPr>
            </w:pPr>
            <w:r w:rsidRPr="00150B32">
              <w:rPr>
                <w:color w:val="333333"/>
                <w:lang w:val="ru-RU"/>
              </w:rPr>
              <w:t>враховано</w:t>
            </w:r>
          </w:p>
        </w:tc>
      </w:tr>
      <w:tr w:rsidR="00E64064" w:rsidRPr="00150B32" w14:paraId="409C6696" w14:textId="77777777" w:rsidTr="008D70B5">
        <w:tc>
          <w:tcPr>
            <w:tcW w:w="6379" w:type="dxa"/>
          </w:tcPr>
          <w:p w14:paraId="4EA06BFC" w14:textId="77777777" w:rsidR="00E64064" w:rsidRPr="00150B32" w:rsidRDefault="00E64064" w:rsidP="00BD3B1B">
            <w:pPr>
              <w:shd w:val="clear" w:color="auto" w:fill="FFFFFF"/>
              <w:ind w:firstLine="450"/>
              <w:jc w:val="both"/>
              <w:rPr>
                <w:rFonts w:ascii="Times New Roman" w:eastAsia="Times New Roman" w:hAnsi="Times New Roman" w:cs="Times New Roman"/>
                <w:color w:val="333333"/>
                <w:sz w:val="24"/>
                <w:szCs w:val="24"/>
                <w:lang w:val="ru-RU"/>
              </w:rPr>
            </w:pPr>
          </w:p>
        </w:tc>
        <w:tc>
          <w:tcPr>
            <w:tcW w:w="6156" w:type="dxa"/>
          </w:tcPr>
          <w:p w14:paraId="7B5B8A2B" w14:textId="33EBB230" w:rsidR="00E64064" w:rsidRPr="00150B32" w:rsidRDefault="00BD3B1B" w:rsidP="00BD3B1B">
            <w:pPr>
              <w:pStyle w:val="rvps2"/>
              <w:shd w:val="clear" w:color="auto" w:fill="FFFFFF"/>
              <w:tabs>
                <w:tab w:val="left" w:pos="1134"/>
                <w:tab w:val="left" w:pos="1276"/>
              </w:tabs>
              <w:spacing w:before="0" w:beforeAutospacing="0" w:after="0" w:afterAutospacing="0"/>
              <w:jc w:val="both"/>
              <w:rPr>
                <w:i/>
                <w:color w:val="000000"/>
              </w:rPr>
            </w:pPr>
            <w:r w:rsidRPr="00150B32">
              <w:rPr>
                <w:i/>
                <w:color w:val="000000"/>
              </w:rPr>
              <w:t>Вилучити, оскільки є певний сумнів, що місцеві бюджети зможуть виділити кошти для приватних ЗВО в середині бюджетного року.</w:t>
            </w:r>
          </w:p>
        </w:tc>
        <w:tc>
          <w:tcPr>
            <w:tcW w:w="1782" w:type="dxa"/>
          </w:tcPr>
          <w:p w14:paraId="01D09BD8" w14:textId="772ACC11" w:rsidR="00E64064" w:rsidRPr="00150B32" w:rsidRDefault="00BD3B1B" w:rsidP="00BD3B1B">
            <w:pPr>
              <w:pStyle w:val="rvps2"/>
              <w:shd w:val="clear" w:color="auto" w:fill="FFFFFF"/>
              <w:spacing w:before="0" w:beforeAutospacing="0" w:after="0" w:afterAutospacing="0"/>
              <w:jc w:val="both"/>
              <w:rPr>
                <w:color w:val="333333"/>
                <w:lang w:val="ru-RU"/>
              </w:rPr>
            </w:pPr>
            <w:r w:rsidRPr="00150B32">
              <w:rPr>
                <w:color w:val="333333"/>
                <w:lang w:val="ru-RU"/>
              </w:rPr>
              <w:t>СНАУ</w:t>
            </w:r>
          </w:p>
        </w:tc>
        <w:tc>
          <w:tcPr>
            <w:tcW w:w="1418" w:type="dxa"/>
          </w:tcPr>
          <w:p w14:paraId="3AF769A3" w14:textId="6E2CD4D3" w:rsidR="00E64064" w:rsidRPr="00150B32" w:rsidRDefault="008D70B5" w:rsidP="00BD3B1B">
            <w:pPr>
              <w:pStyle w:val="rvps2"/>
              <w:shd w:val="clear" w:color="auto" w:fill="FFFFFF"/>
              <w:spacing w:before="0" w:beforeAutospacing="0" w:after="0" w:afterAutospacing="0"/>
              <w:jc w:val="both"/>
              <w:rPr>
                <w:color w:val="333333"/>
                <w:lang w:val="ru-RU"/>
              </w:rPr>
            </w:pPr>
            <w:r w:rsidRPr="00150B32">
              <w:rPr>
                <w:color w:val="333333"/>
                <w:lang w:val="ru-RU"/>
              </w:rPr>
              <w:t>враховано</w:t>
            </w:r>
          </w:p>
        </w:tc>
      </w:tr>
      <w:tr w:rsidR="00E64064" w:rsidRPr="00150B32" w14:paraId="211546A7" w14:textId="56C941D0" w:rsidTr="008D70B5">
        <w:tc>
          <w:tcPr>
            <w:tcW w:w="6379" w:type="dxa"/>
          </w:tcPr>
          <w:p w14:paraId="496797DF" w14:textId="77777777" w:rsidR="00E64064" w:rsidRPr="00150B32" w:rsidRDefault="00E64064" w:rsidP="00BD3B1B">
            <w:pPr>
              <w:pStyle w:val="rvps2"/>
              <w:shd w:val="clear" w:color="auto" w:fill="FFFFFF"/>
              <w:spacing w:before="0" w:beforeAutospacing="0" w:after="0" w:afterAutospacing="0"/>
              <w:jc w:val="both"/>
              <w:rPr>
                <w:color w:val="333333"/>
              </w:rPr>
            </w:pPr>
          </w:p>
        </w:tc>
        <w:tc>
          <w:tcPr>
            <w:tcW w:w="6156" w:type="dxa"/>
          </w:tcPr>
          <w:p w14:paraId="263A2E77" w14:textId="77777777" w:rsidR="00E64064" w:rsidRPr="00150B32" w:rsidRDefault="00E64064" w:rsidP="00BD3B1B">
            <w:pPr>
              <w:pStyle w:val="rvps2"/>
              <w:shd w:val="clear" w:color="auto" w:fill="FFFFFF"/>
              <w:spacing w:before="0" w:beforeAutospacing="0" w:after="0" w:afterAutospacing="0"/>
              <w:jc w:val="both"/>
              <w:rPr>
                <w:b/>
                <w:color w:val="333333"/>
              </w:rPr>
            </w:pPr>
          </w:p>
        </w:tc>
        <w:tc>
          <w:tcPr>
            <w:tcW w:w="1782" w:type="dxa"/>
          </w:tcPr>
          <w:p w14:paraId="63B6D280" w14:textId="77777777" w:rsidR="00E64064" w:rsidRPr="00150B32" w:rsidRDefault="00E64064" w:rsidP="00BD3B1B">
            <w:pPr>
              <w:pStyle w:val="rvps2"/>
              <w:shd w:val="clear" w:color="auto" w:fill="FFFFFF"/>
              <w:spacing w:before="0" w:beforeAutospacing="0" w:after="0" w:afterAutospacing="0"/>
              <w:jc w:val="both"/>
              <w:rPr>
                <w:b/>
                <w:color w:val="333333"/>
              </w:rPr>
            </w:pPr>
          </w:p>
        </w:tc>
        <w:tc>
          <w:tcPr>
            <w:tcW w:w="1418" w:type="dxa"/>
          </w:tcPr>
          <w:p w14:paraId="01EEA255" w14:textId="77777777" w:rsidR="00E64064" w:rsidRPr="00150B32" w:rsidRDefault="00E64064" w:rsidP="00BD3B1B">
            <w:pPr>
              <w:pStyle w:val="rvps2"/>
              <w:shd w:val="clear" w:color="auto" w:fill="FFFFFF"/>
              <w:spacing w:before="0" w:beforeAutospacing="0" w:after="0" w:afterAutospacing="0"/>
              <w:jc w:val="both"/>
              <w:rPr>
                <w:b/>
                <w:color w:val="333333"/>
              </w:rPr>
            </w:pPr>
          </w:p>
        </w:tc>
      </w:tr>
      <w:tr w:rsidR="00E64064" w:rsidRPr="00150B32" w14:paraId="1A6B42E9" w14:textId="3AD63B38" w:rsidTr="008D70B5">
        <w:tc>
          <w:tcPr>
            <w:tcW w:w="6379" w:type="dxa"/>
          </w:tcPr>
          <w:p w14:paraId="4376CA97" w14:textId="77777777" w:rsidR="00E64064" w:rsidRPr="00150B32" w:rsidRDefault="00E64064" w:rsidP="00BD3B1B">
            <w:pPr>
              <w:pStyle w:val="rvps7"/>
              <w:shd w:val="clear" w:color="auto" w:fill="FFFFFF"/>
              <w:spacing w:before="0" w:beforeAutospacing="0" w:after="0" w:afterAutospacing="0"/>
              <w:jc w:val="center"/>
              <w:rPr>
                <w:color w:val="333333"/>
                <w:sz w:val="22"/>
                <w:szCs w:val="22"/>
              </w:rPr>
            </w:pPr>
            <w:r w:rsidRPr="00150B32">
              <w:rPr>
                <w:rStyle w:val="rvts15"/>
                <w:b/>
                <w:bCs/>
                <w:color w:val="333333"/>
                <w:sz w:val="22"/>
                <w:szCs w:val="22"/>
              </w:rPr>
              <w:t>VI. Порядок прийому заяв та документів для участі у конкурсному відборі для здобуття вищої освіти</w:t>
            </w:r>
          </w:p>
        </w:tc>
        <w:tc>
          <w:tcPr>
            <w:tcW w:w="6156" w:type="dxa"/>
          </w:tcPr>
          <w:p w14:paraId="3F46CE75" w14:textId="77777777" w:rsidR="00E64064" w:rsidRPr="00150B32" w:rsidRDefault="00E64064" w:rsidP="00BD3B1B">
            <w:pPr>
              <w:rPr>
                <w:rFonts w:ascii="Times New Roman" w:hAnsi="Times New Roman" w:cs="Times New Roman"/>
              </w:rPr>
            </w:pPr>
          </w:p>
        </w:tc>
        <w:tc>
          <w:tcPr>
            <w:tcW w:w="1782" w:type="dxa"/>
          </w:tcPr>
          <w:p w14:paraId="2C6CD825" w14:textId="77777777" w:rsidR="00E64064" w:rsidRPr="00150B32" w:rsidRDefault="00E64064" w:rsidP="00BD3B1B">
            <w:pPr>
              <w:rPr>
                <w:rFonts w:ascii="Times New Roman" w:hAnsi="Times New Roman" w:cs="Times New Roman"/>
              </w:rPr>
            </w:pPr>
          </w:p>
        </w:tc>
        <w:tc>
          <w:tcPr>
            <w:tcW w:w="1418" w:type="dxa"/>
          </w:tcPr>
          <w:p w14:paraId="47AAB0DB" w14:textId="77777777" w:rsidR="00E64064" w:rsidRPr="00150B32" w:rsidRDefault="00E64064" w:rsidP="00BD3B1B">
            <w:pPr>
              <w:rPr>
                <w:rFonts w:ascii="Times New Roman" w:hAnsi="Times New Roman" w:cs="Times New Roman"/>
              </w:rPr>
            </w:pPr>
          </w:p>
        </w:tc>
      </w:tr>
      <w:tr w:rsidR="00852CB4" w:rsidRPr="00150B32" w14:paraId="7A6B9DFE" w14:textId="77777777" w:rsidTr="008D70B5">
        <w:tc>
          <w:tcPr>
            <w:tcW w:w="6379" w:type="dxa"/>
          </w:tcPr>
          <w:p w14:paraId="184D5DFA" w14:textId="77777777" w:rsidR="00852CB4" w:rsidRPr="00150B32" w:rsidRDefault="00852CB4" w:rsidP="00BD3B1B">
            <w:pPr>
              <w:jc w:val="both"/>
              <w:rPr>
                <w:rFonts w:ascii="Times New Roman" w:hAnsi="Times New Roman" w:cs="Times New Roman"/>
              </w:rPr>
            </w:pPr>
          </w:p>
        </w:tc>
        <w:tc>
          <w:tcPr>
            <w:tcW w:w="6156" w:type="dxa"/>
          </w:tcPr>
          <w:p w14:paraId="6B1B008F" w14:textId="57888BDD" w:rsidR="00852CB4" w:rsidRPr="00150B32" w:rsidRDefault="00852CB4" w:rsidP="00BD3B1B">
            <w:pPr>
              <w:pStyle w:val="rvps2"/>
              <w:shd w:val="clear" w:color="auto" w:fill="FFFFFF"/>
              <w:tabs>
                <w:tab w:val="left" w:pos="709"/>
                <w:tab w:val="left" w:pos="1276"/>
              </w:tabs>
              <w:spacing w:before="0" w:beforeAutospacing="0" w:after="0" w:afterAutospacing="0"/>
              <w:jc w:val="both"/>
              <w:rPr>
                <w:color w:val="000000"/>
              </w:rPr>
            </w:pPr>
            <w:r w:rsidRPr="00150B32">
              <w:rPr>
                <w:color w:val="000000"/>
              </w:rPr>
              <w:t xml:space="preserve">«надсилання їх сканованих копій, з накладанням на відповідні файли кваліфікованого електронного підпису вступника </w:t>
            </w:r>
            <w:r w:rsidRPr="00150B32">
              <w:rPr>
                <w:b/>
                <w:color w:val="000000"/>
              </w:rPr>
              <w:t>(для вступників, які не досягли 18-річного віку — кваліфікованого електронного підпису одного з батьків або особи, що їх замінює)</w:t>
            </w:r>
            <w:r w:rsidRPr="00150B32">
              <w:rPr>
                <w:color w:val="000000"/>
              </w:rPr>
              <w:t>, на електронну адресу Приймальної комісії закладу, зазначену в Реєстрі суб’єктів освітньої діяльності ЄДЕБО в терміни, визначені в розділі V цих Умов або відповідно до нього.».</w:t>
            </w:r>
          </w:p>
        </w:tc>
        <w:tc>
          <w:tcPr>
            <w:tcW w:w="1782" w:type="dxa"/>
          </w:tcPr>
          <w:p w14:paraId="1B0E7A05" w14:textId="77777777" w:rsidR="00852CB4" w:rsidRPr="00150B32" w:rsidRDefault="00852CB4" w:rsidP="00BD3B1B">
            <w:pPr>
              <w:pStyle w:val="rvps2"/>
              <w:shd w:val="clear" w:color="auto" w:fill="FFFFFF"/>
              <w:tabs>
                <w:tab w:val="left" w:pos="709"/>
                <w:tab w:val="left" w:pos="1276"/>
              </w:tabs>
              <w:spacing w:before="0" w:beforeAutospacing="0" w:after="0" w:afterAutospacing="0"/>
              <w:jc w:val="both"/>
              <w:rPr>
                <w:color w:val="000000"/>
              </w:rPr>
            </w:pPr>
            <w:r w:rsidRPr="00150B32">
              <w:rPr>
                <w:color w:val="000000"/>
              </w:rPr>
              <w:t>Євген Ніколаєв</w:t>
            </w:r>
          </w:p>
          <w:p w14:paraId="05F150E5" w14:textId="77777777" w:rsidR="00852CB4" w:rsidRPr="00150B32" w:rsidRDefault="00852CB4" w:rsidP="00BD3B1B">
            <w:pPr>
              <w:jc w:val="both"/>
              <w:rPr>
                <w:rFonts w:ascii="Times New Roman" w:hAnsi="Times New Roman" w:cs="Times New Roman"/>
                <w:b/>
              </w:rPr>
            </w:pPr>
          </w:p>
        </w:tc>
        <w:tc>
          <w:tcPr>
            <w:tcW w:w="1418" w:type="dxa"/>
          </w:tcPr>
          <w:p w14:paraId="15B92275" w14:textId="0AB82CD6" w:rsidR="00852CB4" w:rsidRPr="00150B32" w:rsidRDefault="008D70B5" w:rsidP="00BD3B1B">
            <w:pPr>
              <w:jc w:val="both"/>
              <w:rPr>
                <w:rFonts w:ascii="Times New Roman" w:hAnsi="Times New Roman" w:cs="Times New Roman"/>
              </w:rPr>
            </w:pPr>
            <w:r w:rsidRPr="00150B32">
              <w:rPr>
                <w:rFonts w:ascii="Times New Roman" w:hAnsi="Times New Roman" w:cs="Times New Roman"/>
              </w:rPr>
              <w:t>Відхилено</w:t>
            </w:r>
          </w:p>
        </w:tc>
      </w:tr>
      <w:tr w:rsidR="00E64064" w:rsidRPr="00150B32" w14:paraId="2AC97917" w14:textId="19F49775" w:rsidTr="008D70B5">
        <w:tc>
          <w:tcPr>
            <w:tcW w:w="6379" w:type="dxa"/>
          </w:tcPr>
          <w:p w14:paraId="158EF173" w14:textId="77777777" w:rsidR="00E64064" w:rsidRPr="00150B32" w:rsidRDefault="00E64064" w:rsidP="00BD3B1B">
            <w:pPr>
              <w:rPr>
                <w:rFonts w:ascii="Times New Roman" w:hAnsi="Times New Roman" w:cs="Times New Roman"/>
              </w:rPr>
            </w:pPr>
            <w:r w:rsidRPr="00150B32">
              <w:rPr>
                <w:rFonts w:ascii="Times New Roman" w:hAnsi="Times New Roman" w:cs="Times New Roman"/>
                <w:b/>
                <w:bCs/>
                <w:color w:val="333333"/>
                <w:shd w:val="clear" w:color="auto" w:fill="FFFFFF"/>
              </w:rPr>
              <w:t>XIII. Наказ про зарахування, додатковий конкурс, зарахування за рахунок цільового пільгового державного кредиту</w:t>
            </w:r>
          </w:p>
        </w:tc>
        <w:tc>
          <w:tcPr>
            <w:tcW w:w="6156" w:type="dxa"/>
          </w:tcPr>
          <w:p w14:paraId="27D17D87" w14:textId="77777777" w:rsidR="00E64064" w:rsidRPr="00150B32" w:rsidRDefault="00E64064" w:rsidP="00BD3B1B">
            <w:pPr>
              <w:rPr>
                <w:rFonts w:ascii="Times New Roman" w:hAnsi="Times New Roman" w:cs="Times New Roman"/>
              </w:rPr>
            </w:pPr>
          </w:p>
        </w:tc>
        <w:tc>
          <w:tcPr>
            <w:tcW w:w="1782" w:type="dxa"/>
          </w:tcPr>
          <w:p w14:paraId="0220D6EF" w14:textId="77777777" w:rsidR="00E64064" w:rsidRPr="00150B32" w:rsidRDefault="00E64064" w:rsidP="00BD3B1B">
            <w:pPr>
              <w:rPr>
                <w:rFonts w:ascii="Times New Roman" w:hAnsi="Times New Roman" w:cs="Times New Roman"/>
              </w:rPr>
            </w:pPr>
          </w:p>
        </w:tc>
        <w:tc>
          <w:tcPr>
            <w:tcW w:w="1418" w:type="dxa"/>
          </w:tcPr>
          <w:p w14:paraId="57632E35" w14:textId="77777777" w:rsidR="00E64064" w:rsidRPr="00150B32" w:rsidRDefault="00E64064" w:rsidP="00BD3B1B">
            <w:pPr>
              <w:rPr>
                <w:rFonts w:ascii="Times New Roman" w:hAnsi="Times New Roman" w:cs="Times New Roman"/>
              </w:rPr>
            </w:pPr>
          </w:p>
        </w:tc>
      </w:tr>
      <w:tr w:rsidR="00E64064" w:rsidRPr="00150B32" w14:paraId="4901E96E" w14:textId="285AE55D" w:rsidTr="008D70B5">
        <w:tc>
          <w:tcPr>
            <w:tcW w:w="6379" w:type="dxa"/>
          </w:tcPr>
          <w:p w14:paraId="55842A97" w14:textId="77777777" w:rsidR="00E64064" w:rsidRPr="00150B32" w:rsidRDefault="00E64064" w:rsidP="00BD3B1B">
            <w:pPr>
              <w:pStyle w:val="rvps2"/>
              <w:shd w:val="clear" w:color="auto" w:fill="FFFFFF"/>
              <w:spacing w:before="0" w:beforeAutospacing="0" w:after="0" w:afterAutospacing="0"/>
              <w:jc w:val="both"/>
              <w:rPr>
                <w:color w:val="333333"/>
                <w:sz w:val="22"/>
                <w:szCs w:val="22"/>
              </w:rPr>
            </w:pPr>
            <w:r w:rsidRPr="00150B32">
              <w:rPr>
                <w:color w:val="333333"/>
                <w:sz w:val="22"/>
                <w:szCs w:val="22"/>
              </w:rPr>
              <w:t>…</w:t>
            </w:r>
          </w:p>
        </w:tc>
        <w:tc>
          <w:tcPr>
            <w:tcW w:w="6156" w:type="dxa"/>
          </w:tcPr>
          <w:p w14:paraId="4A62BD38" w14:textId="77777777" w:rsidR="00E64064" w:rsidRPr="00150B32" w:rsidRDefault="00E64064" w:rsidP="00BD3B1B">
            <w:pPr>
              <w:rPr>
                <w:rFonts w:ascii="Times New Roman" w:hAnsi="Times New Roman" w:cs="Times New Roman"/>
              </w:rPr>
            </w:pPr>
          </w:p>
        </w:tc>
        <w:tc>
          <w:tcPr>
            <w:tcW w:w="1782" w:type="dxa"/>
          </w:tcPr>
          <w:p w14:paraId="4D5791AC" w14:textId="77777777" w:rsidR="00E64064" w:rsidRPr="00150B32" w:rsidRDefault="00E64064" w:rsidP="00BD3B1B">
            <w:pPr>
              <w:rPr>
                <w:rFonts w:ascii="Times New Roman" w:hAnsi="Times New Roman" w:cs="Times New Roman"/>
              </w:rPr>
            </w:pPr>
          </w:p>
        </w:tc>
        <w:tc>
          <w:tcPr>
            <w:tcW w:w="1418" w:type="dxa"/>
          </w:tcPr>
          <w:p w14:paraId="421DDB01" w14:textId="77777777" w:rsidR="00E64064" w:rsidRPr="00150B32" w:rsidRDefault="00E64064" w:rsidP="00BD3B1B">
            <w:pPr>
              <w:rPr>
                <w:rFonts w:ascii="Times New Roman" w:hAnsi="Times New Roman" w:cs="Times New Roman"/>
              </w:rPr>
            </w:pPr>
          </w:p>
        </w:tc>
      </w:tr>
      <w:tr w:rsidR="00222128" w:rsidRPr="00150B32" w14:paraId="6281DD99" w14:textId="0E679460" w:rsidTr="008D70B5">
        <w:tc>
          <w:tcPr>
            <w:tcW w:w="6379" w:type="dxa"/>
          </w:tcPr>
          <w:p w14:paraId="696503DD" w14:textId="6B7030BA" w:rsidR="00222128" w:rsidRPr="00150B32" w:rsidRDefault="00222128" w:rsidP="00222128">
            <w:pPr>
              <w:pStyle w:val="rvps2"/>
              <w:shd w:val="clear" w:color="auto" w:fill="FFFFFF"/>
              <w:spacing w:before="0" w:beforeAutospacing="0" w:after="0" w:afterAutospacing="0"/>
              <w:jc w:val="both"/>
              <w:rPr>
                <w:color w:val="333333"/>
                <w:sz w:val="22"/>
                <w:szCs w:val="22"/>
              </w:rPr>
            </w:pPr>
            <w:r w:rsidRPr="00150B32">
              <w:rPr>
                <w:color w:val="333333"/>
                <w:sz w:val="22"/>
                <w:szCs w:val="22"/>
              </w:rPr>
              <w:t>Заяви вступників, під час виконання вимог для зарахування на місця державного та регіонального замовлення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та для здобуття вищої освіти ступеня магістра за спеціальностями 081 «Право» та 293 «Міжнародне право», виключаються з конкурсів на інші місця за кошти фізичних або юридичних осіб, крім випадків подання вступником окремої заяви під час виконання вимог для зарахування на місця державного або регіонального замовлення, передбачених у </w:t>
            </w:r>
            <w:hyperlink r:id="rId5" w:anchor="n430" w:history="1">
              <w:r w:rsidRPr="00150B32">
                <w:rPr>
                  <w:rStyle w:val="a4"/>
                  <w:color w:val="006600"/>
                  <w:sz w:val="22"/>
                  <w:szCs w:val="22"/>
                </w:rPr>
                <w:t>пункті 1</w:t>
              </w:r>
            </w:hyperlink>
            <w:r w:rsidRPr="00150B32">
              <w:rPr>
                <w:color w:val="333333"/>
                <w:sz w:val="22"/>
                <w:szCs w:val="22"/>
              </w:rPr>
              <w:t> розділу X цих Умов.</w:t>
            </w:r>
          </w:p>
        </w:tc>
        <w:tc>
          <w:tcPr>
            <w:tcW w:w="6156" w:type="dxa"/>
          </w:tcPr>
          <w:p w14:paraId="669E322E" w14:textId="77777777" w:rsidR="00222128" w:rsidRPr="00150B32" w:rsidRDefault="00222128" w:rsidP="00222128">
            <w:pPr>
              <w:pStyle w:val="rvps2"/>
              <w:shd w:val="clear" w:color="auto" w:fill="FFFFFF"/>
              <w:spacing w:before="0" w:beforeAutospacing="0" w:after="0" w:afterAutospacing="0"/>
              <w:jc w:val="both"/>
              <w:rPr>
                <w:color w:val="333333"/>
                <w:shd w:val="clear" w:color="auto" w:fill="FFFFFF"/>
              </w:rPr>
            </w:pPr>
            <w:r w:rsidRPr="00150B32">
              <w:rPr>
                <w:color w:val="333333"/>
                <w:shd w:val="clear" w:color="auto" w:fill="FFFFFF"/>
              </w:rPr>
              <w:t>Заяви вступників, зарахованих на навчання за державним або регіональним замовленням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та для здобуття вищої освіти ступеня магістра за спеціальностями 081 «Право» та 293 «Міжнародне право», виключаються з конкурсів на інші місця за кошти фізичних або юридичних осіб, крім випадків подання вступником окремої заяви під час виконання вимог для зарахування на місця державного або регіонального замовлення, передбачених у </w:t>
            </w:r>
            <w:hyperlink r:id="rId6" w:anchor="n430" w:history="1">
              <w:r w:rsidRPr="00150B32">
                <w:rPr>
                  <w:rStyle w:val="a4"/>
                  <w:color w:val="006600"/>
                  <w:shd w:val="clear" w:color="auto" w:fill="FFFFFF"/>
                </w:rPr>
                <w:t>пункті 1</w:t>
              </w:r>
            </w:hyperlink>
            <w:r w:rsidRPr="00150B32">
              <w:rPr>
                <w:color w:val="333333"/>
                <w:shd w:val="clear" w:color="auto" w:fill="FFFFFF"/>
              </w:rPr>
              <w:t> розділу X цих Умов</w:t>
            </w:r>
          </w:p>
          <w:p w14:paraId="5DF800D3" w14:textId="77777777" w:rsidR="00222128" w:rsidRPr="00150B32" w:rsidRDefault="00222128" w:rsidP="00222128">
            <w:pPr>
              <w:pStyle w:val="rvps2"/>
              <w:shd w:val="clear" w:color="auto" w:fill="FFFFFF"/>
              <w:spacing w:before="0" w:beforeAutospacing="0" w:after="0" w:afterAutospacing="0"/>
              <w:jc w:val="both"/>
              <w:rPr>
                <w:color w:val="333333"/>
                <w:shd w:val="clear" w:color="auto" w:fill="FFFFFF"/>
              </w:rPr>
            </w:pPr>
          </w:p>
          <w:p w14:paraId="63522C7F" w14:textId="0E4490FF" w:rsidR="00222128" w:rsidRPr="00150B32" w:rsidRDefault="00222128" w:rsidP="00222128">
            <w:pPr>
              <w:pStyle w:val="rvps2"/>
              <w:shd w:val="clear" w:color="auto" w:fill="FFFFFF"/>
              <w:spacing w:before="0" w:beforeAutospacing="0" w:after="0" w:afterAutospacing="0"/>
              <w:jc w:val="both"/>
              <w:rPr>
                <w:color w:val="333333"/>
                <w:sz w:val="22"/>
                <w:szCs w:val="22"/>
              </w:rPr>
            </w:pPr>
            <w:r w:rsidRPr="00150B32">
              <w:rPr>
                <w:i/>
                <w:iCs/>
                <w:color w:val="333333"/>
                <w:sz w:val="22"/>
                <w:szCs w:val="22"/>
              </w:rPr>
              <w:lastRenderedPageBreak/>
              <w:t>Запропонована редакція проекту наказу залишає простір для зловживання. Заклади можуть вільно трактувати проміжок часу «під час виконання вимог» та занадто швидко ставити відповідні позначки в ЄДЕБО. В результаті створюється ризик, що інші заяви будуть виключатись з конкурсів безпідставно. Краще залишити редакцію чинних Умов</w:t>
            </w:r>
          </w:p>
        </w:tc>
        <w:tc>
          <w:tcPr>
            <w:tcW w:w="1782" w:type="dxa"/>
          </w:tcPr>
          <w:p w14:paraId="42FFB734" w14:textId="30A6B58B" w:rsidR="00222128" w:rsidRPr="00150B32" w:rsidRDefault="00222128" w:rsidP="00222128">
            <w:pPr>
              <w:pStyle w:val="rvps2"/>
              <w:shd w:val="clear" w:color="auto" w:fill="FFFFFF"/>
              <w:spacing w:before="0" w:beforeAutospacing="0" w:after="0" w:afterAutospacing="0"/>
              <w:jc w:val="both"/>
              <w:rPr>
                <w:color w:val="333333"/>
                <w:sz w:val="22"/>
                <w:szCs w:val="22"/>
              </w:rPr>
            </w:pPr>
            <w:r w:rsidRPr="00150B32">
              <w:rPr>
                <w:color w:val="333333"/>
                <w:sz w:val="22"/>
                <w:szCs w:val="22"/>
              </w:rPr>
              <w:lastRenderedPageBreak/>
              <w:t>Приватна установа «Університет «Київська школа економіки»</w:t>
            </w:r>
          </w:p>
        </w:tc>
        <w:tc>
          <w:tcPr>
            <w:tcW w:w="1418" w:type="dxa"/>
          </w:tcPr>
          <w:p w14:paraId="36B3E6A4" w14:textId="7674D168" w:rsidR="00222128" w:rsidRPr="00150B32" w:rsidRDefault="00222128" w:rsidP="00222128">
            <w:pPr>
              <w:pStyle w:val="rvps2"/>
              <w:shd w:val="clear" w:color="auto" w:fill="FFFFFF"/>
              <w:spacing w:before="0" w:beforeAutospacing="0" w:after="0" w:afterAutospacing="0"/>
              <w:jc w:val="both"/>
              <w:rPr>
                <w:color w:val="333333"/>
                <w:sz w:val="22"/>
                <w:szCs w:val="22"/>
              </w:rPr>
            </w:pPr>
            <w:r w:rsidRPr="00150B32">
              <w:rPr>
                <w:color w:val="333333"/>
                <w:sz w:val="22"/>
                <w:szCs w:val="22"/>
              </w:rPr>
              <w:t>враховано</w:t>
            </w:r>
          </w:p>
        </w:tc>
      </w:tr>
      <w:tr w:rsidR="00222128" w:rsidRPr="00150B32" w14:paraId="146497F8" w14:textId="77777777" w:rsidTr="008D70B5">
        <w:tc>
          <w:tcPr>
            <w:tcW w:w="6379" w:type="dxa"/>
          </w:tcPr>
          <w:p w14:paraId="6A65861E" w14:textId="77777777" w:rsidR="00222128" w:rsidRPr="00150B32" w:rsidRDefault="00222128" w:rsidP="00222128">
            <w:pPr>
              <w:pStyle w:val="rvps2"/>
              <w:shd w:val="clear" w:color="auto" w:fill="FFFFFF"/>
              <w:spacing w:before="0" w:beforeAutospacing="0" w:after="0" w:afterAutospacing="0"/>
              <w:jc w:val="both"/>
              <w:rPr>
                <w:color w:val="333333"/>
                <w:sz w:val="22"/>
                <w:szCs w:val="22"/>
              </w:rPr>
            </w:pPr>
          </w:p>
        </w:tc>
        <w:tc>
          <w:tcPr>
            <w:tcW w:w="6156" w:type="dxa"/>
          </w:tcPr>
          <w:p w14:paraId="39DD37AC" w14:textId="77777777" w:rsidR="00222128" w:rsidRPr="00150B32" w:rsidRDefault="00222128" w:rsidP="00222128">
            <w:pPr>
              <w:pStyle w:val="rvps2"/>
              <w:shd w:val="clear" w:color="auto" w:fill="FFFFFF"/>
              <w:tabs>
                <w:tab w:val="left" w:pos="709"/>
                <w:tab w:val="left" w:pos="1276"/>
              </w:tabs>
              <w:spacing w:before="0" w:beforeAutospacing="0" w:after="0" w:afterAutospacing="0"/>
              <w:jc w:val="both"/>
              <w:rPr>
                <w:color w:val="000000"/>
              </w:rPr>
            </w:pPr>
            <w:r w:rsidRPr="00150B32">
              <w:rPr>
                <w:color w:val="000000"/>
                <w:lang w:val="ru-RU"/>
              </w:rPr>
              <w:t>«</w:t>
            </w:r>
            <w:r w:rsidRPr="00150B32">
              <w:rPr>
                <w:color w:val="000000"/>
              </w:rPr>
              <w:t xml:space="preserve">Заяви вступників, під час виконання вимог для зарахування на місця державного та регіонального замовлення для здобуття ступеня молодшого бакалавра, бакалавра (магістра медичного, фармацевтичного або ветеринарного спрямувань) на основі повної загальної середньої освіти та для здобуття вищої освіти ступеня магістра за спеціальностями 081 «Право» та 293 «Міжнародне право», виключаються з конкурсів на інші місця за кошти фізичних або юридичних осіб, крім випадків подання вступником </w:t>
            </w:r>
            <w:r w:rsidRPr="00150B32">
              <w:rPr>
                <w:b/>
                <w:bCs/>
                <w:color w:val="000000"/>
              </w:rPr>
              <w:t>окремих заяв за кожною конкурсною пропозицією, за якою вступник бажає продовжувати участь у конкурсі на місця за кошти фізичних або юридичних осіб</w:t>
            </w:r>
            <w:r w:rsidRPr="00150B32">
              <w:rPr>
                <w:color w:val="000000"/>
              </w:rPr>
              <w:t>, під час виконання вимог для зарахування на місця державного або регіонального замовлення, передбачених у пункті 1 розділу X цих Умов</w:t>
            </w:r>
            <w:r w:rsidRPr="00150B32">
              <w:rPr>
                <w:color w:val="000000"/>
                <w:lang w:val="ru-RU"/>
              </w:rPr>
              <w:t>»</w:t>
            </w:r>
          </w:p>
          <w:p w14:paraId="53D7138D" w14:textId="77777777" w:rsidR="00222128" w:rsidRPr="00150B32" w:rsidRDefault="00222128" w:rsidP="00222128">
            <w:pPr>
              <w:pStyle w:val="rvps2"/>
              <w:shd w:val="clear" w:color="auto" w:fill="FFFFFF"/>
              <w:spacing w:before="0" w:beforeAutospacing="0" w:after="0" w:afterAutospacing="0"/>
              <w:jc w:val="both"/>
              <w:rPr>
                <w:color w:val="333333"/>
                <w:shd w:val="clear" w:color="auto" w:fill="FFFFFF"/>
              </w:rPr>
            </w:pPr>
          </w:p>
        </w:tc>
        <w:tc>
          <w:tcPr>
            <w:tcW w:w="1782" w:type="dxa"/>
          </w:tcPr>
          <w:p w14:paraId="42567A4E" w14:textId="77777777" w:rsidR="00222128" w:rsidRPr="00150B32" w:rsidRDefault="00222128" w:rsidP="00222128">
            <w:pPr>
              <w:pStyle w:val="rvps2"/>
              <w:shd w:val="clear" w:color="auto" w:fill="FFFFFF"/>
              <w:tabs>
                <w:tab w:val="left" w:pos="709"/>
                <w:tab w:val="left" w:pos="1276"/>
              </w:tabs>
              <w:spacing w:before="0" w:beforeAutospacing="0" w:after="0" w:afterAutospacing="0"/>
              <w:jc w:val="both"/>
              <w:rPr>
                <w:color w:val="000000"/>
              </w:rPr>
            </w:pPr>
            <w:r w:rsidRPr="00150B32">
              <w:rPr>
                <w:color w:val="000000"/>
              </w:rPr>
              <w:t>КПІ ім. Ігоря Сікорського</w:t>
            </w:r>
          </w:p>
          <w:p w14:paraId="7D15DC37" w14:textId="77777777" w:rsidR="00222128" w:rsidRPr="00150B32" w:rsidRDefault="00222128" w:rsidP="00222128">
            <w:pPr>
              <w:pStyle w:val="rvps2"/>
              <w:shd w:val="clear" w:color="auto" w:fill="FFFFFF"/>
              <w:spacing w:before="0" w:beforeAutospacing="0" w:after="0" w:afterAutospacing="0"/>
              <w:jc w:val="both"/>
              <w:rPr>
                <w:color w:val="333333"/>
                <w:sz w:val="22"/>
                <w:szCs w:val="22"/>
              </w:rPr>
            </w:pPr>
          </w:p>
        </w:tc>
        <w:tc>
          <w:tcPr>
            <w:tcW w:w="1418" w:type="dxa"/>
          </w:tcPr>
          <w:p w14:paraId="4AAE1B92" w14:textId="63C88B54" w:rsidR="00222128" w:rsidRPr="00150B32" w:rsidRDefault="00222128" w:rsidP="00222128">
            <w:pPr>
              <w:pStyle w:val="rvps2"/>
              <w:shd w:val="clear" w:color="auto" w:fill="FFFFFF"/>
              <w:spacing w:before="0" w:beforeAutospacing="0" w:after="0" w:afterAutospacing="0"/>
              <w:jc w:val="both"/>
              <w:rPr>
                <w:color w:val="333333"/>
                <w:sz w:val="22"/>
                <w:szCs w:val="22"/>
              </w:rPr>
            </w:pPr>
            <w:r w:rsidRPr="00150B32">
              <w:rPr>
                <w:color w:val="333333"/>
                <w:sz w:val="22"/>
                <w:szCs w:val="22"/>
              </w:rPr>
              <w:t>віхилено</w:t>
            </w:r>
          </w:p>
        </w:tc>
      </w:tr>
      <w:tr w:rsidR="00222128" w:rsidRPr="00150B32" w14:paraId="578E2270" w14:textId="77777777" w:rsidTr="008D70B5">
        <w:tc>
          <w:tcPr>
            <w:tcW w:w="6379" w:type="dxa"/>
          </w:tcPr>
          <w:p w14:paraId="63DE426E" w14:textId="77777777" w:rsidR="00222128" w:rsidRPr="00150B32" w:rsidRDefault="00222128" w:rsidP="00222128">
            <w:pPr>
              <w:pStyle w:val="rvps2"/>
              <w:shd w:val="clear" w:color="auto" w:fill="FFFFFF"/>
              <w:spacing w:before="0" w:beforeAutospacing="0" w:after="0" w:afterAutospacing="0"/>
              <w:jc w:val="both"/>
              <w:rPr>
                <w:color w:val="333333"/>
                <w:sz w:val="22"/>
                <w:szCs w:val="22"/>
              </w:rPr>
            </w:pPr>
          </w:p>
        </w:tc>
        <w:tc>
          <w:tcPr>
            <w:tcW w:w="6156" w:type="dxa"/>
          </w:tcPr>
          <w:p w14:paraId="0CC5986A" w14:textId="77777777" w:rsidR="00222128" w:rsidRPr="00150B32" w:rsidRDefault="00222128" w:rsidP="00222128">
            <w:pPr>
              <w:pStyle w:val="rvps2"/>
              <w:shd w:val="clear" w:color="auto" w:fill="FFFFFF"/>
              <w:tabs>
                <w:tab w:val="left" w:pos="709"/>
                <w:tab w:val="left" w:pos="1276"/>
              </w:tabs>
              <w:spacing w:before="0" w:beforeAutospacing="0" w:after="0" w:afterAutospacing="0"/>
              <w:jc w:val="both"/>
              <w:rPr>
                <w:i/>
                <w:iCs/>
                <w:color w:val="000000"/>
              </w:rPr>
            </w:pPr>
            <w:r w:rsidRPr="00150B32">
              <w:rPr>
                <w:i/>
                <w:iCs/>
                <w:color w:val="000000"/>
              </w:rPr>
              <w:t xml:space="preserve">В оригінальній редакції Умов Прийому до закладів вищої освіти в 2021 році, виключення таких заяв передбачалось опісля зарахування за державним, або регіональним замовленням, себто після 9-го серпня (мова йде про вступників, які вступають на основі ЗНО). </w:t>
            </w:r>
          </w:p>
          <w:p w14:paraId="1374DCAC" w14:textId="77777777" w:rsidR="00222128" w:rsidRPr="00150B32" w:rsidRDefault="00222128" w:rsidP="00222128">
            <w:pPr>
              <w:pStyle w:val="rvps2"/>
              <w:shd w:val="clear" w:color="auto" w:fill="FFFFFF"/>
              <w:tabs>
                <w:tab w:val="left" w:pos="709"/>
                <w:tab w:val="left" w:pos="1276"/>
              </w:tabs>
              <w:spacing w:before="0" w:beforeAutospacing="0" w:after="0" w:afterAutospacing="0"/>
              <w:jc w:val="both"/>
              <w:rPr>
                <w:i/>
                <w:iCs/>
                <w:color w:val="000000"/>
              </w:rPr>
            </w:pPr>
            <w:r w:rsidRPr="00150B32">
              <w:rPr>
                <w:i/>
                <w:iCs/>
                <w:color w:val="000000"/>
              </w:rPr>
              <w:t xml:space="preserve">В теперішній редакції це виключення буде можливе вже після (не пізніше) 28 липня, в розпал вступної кампанії. Вважаємо, що таке нововведення потребує тестування цього року, аби оминути непорозумінь між Приймальними комісіями та вступниками під час нервового для них часу - вступної кампанії. На нашу думку, в такий час, вступники можуть не до кінця розуміти принципу цього виключення і не писати </w:t>
            </w:r>
            <w:r w:rsidRPr="00150B32">
              <w:rPr>
                <w:i/>
                <w:iCs/>
                <w:color w:val="000000"/>
              </w:rPr>
              <w:lastRenderedPageBreak/>
              <w:t>відповідні заяви-прохання, щоб їх електронні заяви не були виключені з конкурсних пропозицій за кошти фізичних та юридичних осіб. Окрім того, ми не застраховані від помилок Приймальних комісій при отриманні цих заяв від вступників, або взагалі - від небажання їх приймати, під загрозою “не взяти” оригінали документів взагалі.</w:t>
            </w:r>
          </w:p>
          <w:p w14:paraId="054274E0" w14:textId="77777777" w:rsidR="00222128" w:rsidRPr="00150B32" w:rsidRDefault="00222128" w:rsidP="00222128">
            <w:pPr>
              <w:pStyle w:val="rvps2"/>
              <w:shd w:val="clear" w:color="auto" w:fill="FFFFFF"/>
              <w:tabs>
                <w:tab w:val="left" w:pos="709"/>
                <w:tab w:val="left" w:pos="1276"/>
              </w:tabs>
              <w:spacing w:before="0" w:beforeAutospacing="0" w:after="0" w:afterAutospacing="0"/>
              <w:jc w:val="both"/>
              <w:rPr>
                <w:i/>
                <w:iCs/>
                <w:color w:val="000000"/>
              </w:rPr>
            </w:pPr>
            <w:r w:rsidRPr="00150B32">
              <w:rPr>
                <w:i/>
                <w:iCs/>
                <w:color w:val="000000"/>
              </w:rPr>
              <w:t>Оригінальна редакція цього пункту була введена через надмірну кількість заяв “на контракт” у минулому календарному році. Тепер, окрім цього пункту, є обмеження на подання заяв на конкурсні пропозиції за кошти фізичних та юридичних осіб - 30. Вважаємо, що цього достатньо, щоб прибрати плутанину в роботах Приймальних комісій.</w:t>
            </w:r>
          </w:p>
          <w:p w14:paraId="60A75B90" w14:textId="618A664D" w:rsidR="00222128" w:rsidRPr="00150B32" w:rsidRDefault="00222128" w:rsidP="00222128">
            <w:pPr>
              <w:pStyle w:val="rvps2"/>
              <w:shd w:val="clear" w:color="auto" w:fill="FFFFFF"/>
              <w:tabs>
                <w:tab w:val="left" w:pos="709"/>
                <w:tab w:val="left" w:pos="1276"/>
              </w:tabs>
              <w:spacing w:before="0" w:beforeAutospacing="0" w:after="0" w:afterAutospacing="0"/>
              <w:jc w:val="both"/>
              <w:rPr>
                <w:i/>
                <w:iCs/>
                <w:color w:val="000000"/>
                <w:lang w:val="ru-RU"/>
              </w:rPr>
            </w:pPr>
            <w:r w:rsidRPr="00150B32">
              <w:rPr>
                <w:b/>
                <w:bCs/>
                <w:i/>
                <w:iCs/>
                <w:color w:val="000000"/>
              </w:rPr>
              <w:t>Найкраще рішення тут, на нашу думку, протестувати цю систему з виключенням заяв після зарахування студентів, що буде простішим в часових рамках різним Приймальним комісіям і мінімізує ті ризики, про які написали вище. Тобто – прибрати цей пункт з наказу</w:t>
            </w:r>
          </w:p>
        </w:tc>
        <w:tc>
          <w:tcPr>
            <w:tcW w:w="1782" w:type="dxa"/>
          </w:tcPr>
          <w:p w14:paraId="0F7088D8" w14:textId="1356F0F8" w:rsidR="00222128" w:rsidRPr="00150B32" w:rsidRDefault="00222128" w:rsidP="00222128">
            <w:pPr>
              <w:pStyle w:val="rvps2"/>
              <w:shd w:val="clear" w:color="auto" w:fill="FFFFFF"/>
              <w:tabs>
                <w:tab w:val="left" w:pos="709"/>
                <w:tab w:val="left" w:pos="1276"/>
              </w:tabs>
              <w:spacing w:before="0" w:beforeAutospacing="0" w:after="0" w:afterAutospacing="0"/>
              <w:jc w:val="both"/>
              <w:rPr>
                <w:color w:val="000000"/>
              </w:rPr>
            </w:pPr>
            <w:r w:rsidRPr="00150B32">
              <w:rPr>
                <w:color w:val="000000"/>
              </w:rPr>
              <w:lastRenderedPageBreak/>
              <w:t>УКУ</w:t>
            </w:r>
          </w:p>
        </w:tc>
        <w:tc>
          <w:tcPr>
            <w:tcW w:w="1418" w:type="dxa"/>
          </w:tcPr>
          <w:p w14:paraId="6B3E7EAA" w14:textId="0C9DB8AF" w:rsidR="00222128" w:rsidRPr="00150B32" w:rsidRDefault="00222128" w:rsidP="00222128">
            <w:pPr>
              <w:pStyle w:val="rvps2"/>
              <w:shd w:val="clear" w:color="auto" w:fill="FFFFFF"/>
              <w:spacing w:before="0" w:beforeAutospacing="0" w:after="0" w:afterAutospacing="0"/>
              <w:jc w:val="both"/>
              <w:rPr>
                <w:color w:val="333333"/>
                <w:sz w:val="22"/>
                <w:szCs w:val="22"/>
              </w:rPr>
            </w:pPr>
            <w:r w:rsidRPr="00150B32">
              <w:rPr>
                <w:color w:val="333333"/>
                <w:sz w:val="22"/>
                <w:szCs w:val="22"/>
              </w:rPr>
              <w:t>враховано</w:t>
            </w:r>
          </w:p>
        </w:tc>
      </w:tr>
      <w:tr w:rsidR="00222128" w:rsidRPr="00150B32" w14:paraId="54B25078" w14:textId="2EA3EB29" w:rsidTr="008D70B5">
        <w:tc>
          <w:tcPr>
            <w:tcW w:w="6379" w:type="dxa"/>
          </w:tcPr>
          <w:p w14:paraId="2B1F3224" w14:textId="77777777" w:rsidR="00222128" w:rsidRPr="00150B32" w:rsidRDefault="00222128" w:rsidP="00222128">
            <w:pPr>
              <w:rPr>
                <w:rFonts w:ascii="Times New Roman" w:hAnsi="Times New Roman" w:cs="Times New Roman"/>
              </w:rPr>
            </w:pPr>
            <w:r w:rsidRPr="00150B32">
              <w:rPr>
                <w:rFonts w:ascii="Times New Roman" w:hAnsi="Times New Roman" w:cs="Times New Roman"/>
                <w:b/>
                <w:bCs/>
                <w:color w:val="333333"/>
                <w:shd w:val="clear" w:color="auto" w:fill="FFFFFF"/>
              </w:rPr>
              <w:t>XIV. Особливості прийому на навчання до закладів вищої освіти іноземців та осіб без громадянства</w:t>
            </w:r>
          </w:p>
        </w:tc>
        <w:tc>
          <w:tcPr>
            <w:tcW w:w="6156" w:type="dxa"/>
          </w:tcPr>
          <w:p w14:paraId="66D356B5" w14:textId="77777777" w:rsidR="00222128" w:rsidRPr="00150B32" w:rsidRDefault="00222128" w:rsidP="00222128">
            <w:pPr>
              <w:rPr>
                <w:rFonts w:ascii="Times New Roman" w:hAnsi="Times New Roman" w:cs="Times New Roman"/>
              </w:rPr>
            </w:pPr>
          </w:p>
        </w:tc>
        <w:tc>
          <w:tcPr>
            <w:tcW w:w="1782" w:type="dxa"/>
          </w:tcPr>
          <w:p w14:paraId="6FC55BE5" w14:textId="77777777" w:rsidR="00222128" w:rsidRPr="00150B32" w:rsidRDefault="00222128" w:rsidP="00222128">
            <w:pPr>
              <w:rPr>
                <w:rFonts w:ascii="Times New Roman" w:hAnsi="Times New Roman" w:cs="Times New Roman"/>
              </w:rPr>
            </w:pPr>
          </w:p>
        </w:tc>
        <w:tc>
          <w:tcPr>
            <w:tcW w:w="1418" w:type="dxa"/>
          </w:tcPr>
          <w:p w14:paraId="6181459B" w14:textId="77777777" w:rsidR="00222128" w:rsidRPr="00150B32" w:rsidRDefault="00222128" w:rsidP="00222128">
            <w:pPr>
              <w:rPr>
                <w:rFonts w:ascii="Times New Roman" w:hAnsi="Times New Roman" w:cs="Times New Roman"/>
              </w:rPr>
            </w:pPr>
          </w:p>
        </w:tc>
      </w:tr>
      <w:tr w:rsidR="00222128" w:rsidRPr="00150B32" w14:paraId="725714E2" w14:textId="3758309D" w:rsidTr="008D70B5">
        <w:tc>
          <w:tcPr>
            <w:tcW w:w="6379" w:type="dxa"/>
          </w:tcPr>
          <w:p w14:paraId="57C5E8F4" w14:textId="77777777" w:rsidR="00222128" w:rsidRPr="00150B32" w:rsidRDefault="00222128" w:rsidP="00222128">
            <w:pPr>
              <w:pStyle w:val="rvps2"/>
              <w:shd w:val="clear" w:color="auto" w:fill="FFFFFF"/>
              <w:spacing w:before="0" w:beforeAutospacing="0" w:after="0" w:afterAutospacing="0"/>
              <w:jc w:val="both"/>
              <w:rPr>
                <w:color w:val="333333"/>
                <w:sz w:val="22"/>
                <w:szCs w:val="22"/>
              </w:rPr>
            </w:pPr>
            <w:r w:rsidRPr="00150B32">
              <w:rPr>
                <w:color w:val="333333"/>
                <w:sz w:val="22"/>
                <w:szCs w:val="22"/>
              </w:rPr>
              <w:t>3. Зарахування вступників з числа іноземців на навчання за кошти фізичних та/або юридичних осіб може здійснюватися закладами вищої освіти:</w:t>
            </w:r>
          </w:p>
        </w:tc>
        <w:tc>
          <w:tcPr>
            <w:tcW w:w="6156" w:type="dxa"/>
          </w:tcPr>
          <w:p w14:paraId="5E86BEEB" w14:textId="77777777" w:rsidR="00222128" w:rsidRPr="00150B32" w:rsidRDefault="00222128" w:rsidP="00222128">
            <w:pPr>
              <w:rPr>
                <w:rFonts w:ascii="Times New Roman" w:hAnsi="Times New Roman" w:cs="Times New Roman"/>
              </w:rPr>
            </w:pPr>
          </w:p>
        </w:tc>
        <w:tc>
          <w:tcPr>
            <w:tcW w:w="1782" w:type="dxa"/>
          </w:tcPr>
          <w:p w14:paraId="5CD1D04C" w14:textId="77777777" w:rsidR="00222128" w:rsidRPr="00150B32" w:rsidRDefault="00222128" w:rsidP="00222128">
            <w:pPr>
              <w:rPr>
                <w:rFonts w:ascii="Times New Roman" w:hAnsi="Times New Roman" w:cs="Times New Roman"/>
              </w:rPr>
            </w:pPr>
          </w:p>
        </w:tc>
        <w:tc>
          <w:tcPr>
            <w:tcW w:w="1418" w:type="dxa"/>
          </w:tcPr>
          <w:p w14:paraId="4D4DC0B0" w14:textId="77777777" w:rsidR="00222128" w:rsidRPr="00150B32" w:rsidRDefault="00222128" w:rsidP="00222128">
            <w:pPr>
              <w:rPr>
                <w:rFonts w:ascii="Times New Roman" w:hAnsi="Times New Roman" w:cs="Times New Roman"/>
              </w:rPr>
            </w:pPr>
          </w:p>
        </w:tc>
      </w:tr>
      <w:tr w:rsidR="00222128" w:rsidRPr="00150B32" w14:paraId="408789F4" w14:textId="77777777" w:rsidTr="008D70B5">
        <w:tc>
          <w:tcPr>
            <w:tcW w:w="6379" w:type="dxa"/>
          </w:tcPr>
          <w:p w14:paraId="1FE7D6B3" w14:textId="77777777" w:rsidR="00222128" w:rsidRPr="00150B32" w:rsidRDefault="00222128" w:rsidP="00222128">
            <w:pPr>
              <w:pStyle w:val="rvps2"/>
              <w:shd w:val="clear" w:color="auto" w:fill="FFFFFF"/>
              <w:spacing w:before="0" w:beforeAutospacing="0" w:after="0" w:afterAutospacing="0"/>
              <w:jc w:val="both"/>
              <w:rPr>
                <w:color w:val="333333"/>
                <w:sz w:val="22"/>
                <w:szCs w:val="22"/>
              </w:rPr>
            </w:pPr>
          </w:p>
        </w:tc>
        <w:tc>
          <w:tcPr>
            <w:tcW w:w="6156" w:type="dxa"/>
          </w:tcPr>
          <w:p w14:paraId="7E9E130D" w14:textId="77777777" w:rsidR="00222128" w:rsidRPr="00150B32" w:rsidRDefault="00222128" w:rsidP="00222128">
            <w:pPr>
              <w:pStyle w:val="rvps2"/>
              <w:shd w:val="clear" w:color="auto" w:fill="FFFFFF"/>
              <w:tabs>
                <w:tab w:val="left" w:pos="709"/>
                <w:tab w:val="left" w:pos="1276"/>
              </w:tabs>
              <w:spacing w:before="0" w:beforeAutospacing="0" w:after="0" w:afterAutospacing="0"/>
              <w:jc w:val="both"/>
              <w:rPr>
                <w:color w:val="000000"/>
              </w:rPr>
            </w:pPr>
            <w:r w:rsidRPr="00150B32">
              <w:rPr>
                <w:color w:val="000000"/>
              </w:rPr>
              <w:t xml:space="preserve">«1) двічі на рік, до і на початку академічних семестрів (але не пізніше ніж 15 квітня і 01 </w:t>
            </w:r>
            <w:r w:rsidRPr="00150B32">
              <w:rPr>
                <w:b/>
                <w:color w:val="000000"/>
              </w:rPr>
              <w:t>грудня</w:t>
            </w:r>
            <w:r w:rsidRPr="00150B32">
              <w:rPr>
                <w:color w:val="000000"/>
              </w:rPr>
              <w:t xml:space="preserve"> відповідно), для здобуття ступенів молодшого бакалавра, бакалавра, магістра;».</w:t>
            </w:r>
          </w:p>
          <w:p w14:paraId="1C245045" w14:textId="77777777" w:rsidR="00222128" w:rsidRPr="00150B32" w:rsidRDefault="00222128" w:rsidP="00222128">
            <w:pPr>
              <w:pStyle w:val="rvps2"/>
              <w:shd w:val="clear" w:color="auto" w:fill="FFFFFF"/>
              <w:spacing w:before="0" w:beforeAutospacing="0" w:after="0" w:afterAutospacing="0"/>
              <w:jc w:val="both"/>
              <w:rPr>
                <w:color w:val="333333"/>
                <w:sz w:val="22"/>
                <w:szCs w:val="22"/>
              </w:rPr>
            </w:pPr>
          </w:p>
        </w:tc>
        <w:tc>
          <w:tcPr>
            <w:tcW w:w="1782" w:type="dxa"/>
          </w:tcPr>
          <w:p w14:paraId="3828263B" w14:textId="153B1FA6" w:rsidR="00222128" w:rsidRPr="00150B32" w:rsidRDefault="00222128" w:rsidP="00222128">
            <w:pPr>
              <w:pStyle w:val="rvps2"/>
              <w:shd w:val="clear" w:color="auto" w:fill="FFFFFF"/>
              <w:spacing w:before="0" w:beforeAutospacing="0" w:after="0" w:afterAutospacing="0"/>
              <w:jc w:val="both"/>
              <w:rPr>
                <w:color w:val="333333"/>
                <w:sz w:val="22"/>
                <w:szCs w:val="22"/>
              </w:rPr>
            </w:pPr>
            <w:r w:rsidRPr="00150B32">
              <w:rPr>
                <w:color w:val="333333"/>
                <w:sz w:val="22"/>
                <w:szCs w:val="22"/>
              </w:rPr>
              <w:t>СНАУ</w:t>
            </w:r>
          </w:p>
        </w:tc>
        <w:tc>
          <w:tcPr>
            <w:tcW w:w="1418" w:type="dxa"/>
          </w:tcPr>
          <w:p w14:paraId="774F83FD" w14:textId="5C6A3D3A" w:rsidR="00222128" w:rsidRPr="00150B32" w:rsidRDefault="00222128" w:rsidP="00222128">
            <w:pPr>
              <w:pStyle w:val="rvps2"/>
              <w:shd w:val="clear" w:color="auto" w:fill="FFFFFF"/>
              <w:spacing w:before="0" w:beforeAutospacing="0" w:after="0" w:afterAutospacing="0"/>
              <w:jc w:val="both"/>
              <w:rPr>
                <w:color w:val="333333"/>
                <w:sz w:val="22"/>
                <w:szCs w:val="22"/>
              </w:rPr>
            </w:pPr>
            <w:r w:rsidRPr="00150B32">
              <w:rPr>
                <w:color w:val="333333"/>
                <w:sz w:val="22"/>
                <w:szCs w:val="22"/>
              </w:rPr>
              <w:t>відхилено</w:t>
            </w:r>
          </w:p>
        </w:tc>
      </w:tr>
      <w:tr w:rsidR="00222128" w:rsidRPr="00150B32" w14:paraId="2A7D2A0B" w14:textId="041DA42E" w:rsidTr="008D70B5">
        <w:tc>
          <w:tcPr>
            <w:tcW w:w="6379" w:type="dxa"/>
          </w:tcPr>
          <w:p w14:paraId="36515163" w14:textId="77777777" w:rsidR="00222128" w:rsidRPr="00150B32" w:rsidRDefault="00222128" w:rsidP="00222128">
            <w:pPr>
              <w:rPr>
                <w:rFonts w:ascii="Times New Roman" w:hAnsi="Times New Roman" w:cs="Times New Roman"/>
              </w:rPr>
            </w:pPr>
            <w:r w:rsidRPr="00150B32">
              <w:rPr>
                <w:rFonts w:ascii="Times New Roman" w:hAnsi="Times New Roman" w:cs="Times New Roman"/>
                <w:b/>
                <w:bCs/>
                <w:color w:val="333333"/>
                <w:shd w:val="clear" w:color="auto" w:fill="FFFFFF"/>
              </w:rPr>
              <w:t>XV. Вимоги до Правил прийому</w:t>
            </w:r>
          </w:p>
        </w:tc>
        <w:tc>
          <w:tcPr>
            <w:tcW w:w="6156" w:type="dxa"/>
          </w:tcPr>
          <w:p w14:paraId="0342888D" w14:textId="77777777" w:rsidR="00222128" w:rsidRPr="00150B32" w:rsidRDefault="00222128" w:rsidP="00222128">
            <w:pPr>
              <w:rPr>
                <w:rFonts w:ascii="Times New Roman" w:hAnsi="Times New Roman" w:cs="Times New Roman"/>
              </w:rPr>
            </w:pPr>
          </w:p>
        </w:tc>
        <w:tc>
          <w:tcPr>
            <w:tcW w:w="1782" w:type="dxa"/>
          </w:tcPr>
          <w:p w14:paraId="46509BE5" w14:textId="77777777" w:rsidR="00222128" w:rsidRPr="00150B32" w:rsidRDefault="00222128" w:rsidP="00222128">
            <w:pPr>
              <w:rPr>
                <w:rFonts w:ascii="Times New Roman" w:hAnsi="Times New Roman" w:cs="Times New Roman"/>
              </w:rPr>
            </w:pPr>
          </w:p>
        </w:tc>
        <w:tc>
          <w:tcPr>
            <w:tcW w:w="1418" w:type="dxa"/>
          </w:tcPr>
          <w:p w14:paraId="00303DE0" w14:textId="77777777" w:rsidR="00222128" w:rsidRPr="00150B32" w:rsidRDefault="00222128" w:rsidP="00222128">
            <w:pPr>
              <w:rPr>
                <w:rFonts w:ascii="Times New Roman" w:hAnsi="Times New Roman" w:cs="Times New Roman"/>
              </w:rPr>
            </w:pPr>
          </w:p>
        </w:tc>
      </w:tr>
      <w:tr w:rsidR="001C500B" w:rsidRPr="00150B32" w14:paraId="0E3D7D0F" w14:textId="77777777" w:rsidTr="008D70B5">
        <w:tc>
          <w:tcPr>
            <w:tcW w:w="6379" w:type="dxa"/>
          </w:tcPr>
          <w:p w14:paraId="4959E463" w14:textId="332DF8EA" w:rsidR="001C500B" w:rsidRPr="00150B32" w:rsidRDefault="001C500B" w:rsidP="001C500B">
            <w:pPr>
              <w:jc w:val="both"/>
              <w:rPr>
                <w:rFonts w:ascii="Times New Roman" w:hAnsi="Times New Roman" w:cs="Times New Roman"/>
              </w:rPr>
            </w:pPr>
            <w:r w:rsidRPr="00150B32">
              <w:rPr>
                <w:rFonts w:ascii="Times New Roman" w:hAnsi="Times New Roman" w:cs="Times New Roman"/>
                <w:color w:val="000000"/>
              </w:rPr>
              <w:t xml:space="preserve">«8. Максимальний обсяг державного замовлення закладу вищої освіти на основі повної загальної середньої освіти за спеціальностями (спеціалізаціями спеціальностей 015 «Професійна освіта (за спеціалізаціями)», 035 «Філологія», 271 «Річковий та морський транспорт» та 275 «Транспортні технології (за видами)», предметними спеціальностями </w:t>
            </w:r>
            <w:r w:rsidRPr="00150B32">
              <w:rPr>
                <w:rFonts w:ascii="Times New Roman" w:hAnsi="Times New Roman" w:cs="Times New Roman"/>
                <w:color w:val="000000"/>
              </w:rPr>
              <w:lastRenderedPageBreak/>
              <w:t xml:space="preserve">спеціальності 014 «Середня освіта» (за предметними спеціальностями)) </w:t>
            </w:r>
            <w:r w:rsidRPr="00150B32">
              <w:rPr>
                <w:rFonts w:ascii="Times New Roman" w:hAnsi="Times New Roman" w:cs="Times New Roman"/>
                <w:b/>
                <w:bCs/>
                <w:color w:val="000000"/>
              </w:rPr>
              <w:t>та за спеціальностями 081 «Право», 293 «Міжнародне право» на основі здобутого ступеня бакалавра</w:t>
            </w:r>
            <w:r w:rsidRPr="00150B32">
              <w:rPr>
                <w:rFonts w:ascii="Times New Roman" w:hAnsi="Times New Roman" w:cs="Times New Roman"/>
                <w:color w:val="000000"/>
              </w:rPr>
              <w:t xml:space="preserve"> визначається закладом вищої освіти і не може перевищувати суми скорегованих максимальних обсягів державного замовлення усіх конкурсних пропозицій у межах спеціальності (спеціалізації, предметної спеціальності) в 2020 році. Якщо державне замовлення в 2020 році становило не більше ніж 4 місця або не надавалося взагалі, або сума скорегованих максимальних обсягів становить менше ніж 5 місць, то максимальний обсяг державного замовлення встановлюється 5 місць. </w:t>
            </w:r>
            <w:r w:rsidRPr="00150B32">
              <w:rPr>
                <w:rFonts w:ascii="Times New Roman" w:hAnsi="Times New Roman" w:cs="Times New Roman"/>
                <w:b/>
                <w:bCs/>
                <w:color w:val="000000"/>
              </w:rPr>
              <w:t>Якщо кількість зарахованих здобувачів вищої освіти за попередній рік за кошти фізичних та/або юридичних осіб (за винятком тих, хто не приступив до занять протягом 10 календарних днів від дати їх початку), які мали конкурсний бал, що перевищував прохідний бал широкого конкурсу, становила не менше 6 осіб в закладі вищої освіти, який в попередньому році не здійснював набір за державним замовленням, то максимальний обсяг може бути встановлений за поданням закладу вищої освіти в обсязі не більше цієї кількост</w:t>
            </w:r>
            <w:r w:rsidRPr="00150B32">
              <w:rPr>
                <w:rFonts w:ascii="Times New Roman" w:hAnsi="Times New Roman" w:cs="Times New Roman"/>
                <w:color w:val="000000"/>
              </w:rPr>
              <w:t>і.</w:t>
            </w:r>
          </w:p>
        </w:tc>
        <w:tc>
          <w:tcPr>
            <w:tcW w:w="6156" w:type="dxa"/>
          </w:tcPr>
          <w:p w14:paraId="51A8062B" w14:textId="77777777" w:rsidR="001C500B" w:rsidRPr="00150B32" w:rsidRDefault="001C500B" w:rsidP="001C500B">
            <w:pPr>
              <w:jc w:val="both"/>
              <w:rPr>
                <w:rFonts w:ascii="Times New Roman" w:hAnsi="Times New Roman" w:cs="Times New Roman"/>
                <w:color w:val="000000"/>
                <w:sz w:val="24"/>
                <w:szCs w:val="24"/>
              </w:rPr>
            </w:pPr>
            <w:r w:rsidRPr="00150B32">
              <w:rPr>
                <w:rFonts w:ascii="Times New Roman" w:hAnsi="Times New Roman" w:cs="Times New Roman"/>
                <w:color w:val="000000"/>
                <w:sz w:val="24"/>
                <w:szCs w:val="24"/>
              </w:rPr>
              <w:lastRenderedPageBreak/>
              <w:t xml:space="preserve">«8. Максимальний обсяг державного замовлення закладу вищої освіти на основі повної загальної середньої освіти за спеціальностями (спеціалізаціями спеціальностей 015 «Професійна освіта (за спеціалізаціями)», 035 «Філологія», 271 «Річковий та морський транспорт» та 275 «Транспортні технології (за видами)», предметними </w:t>
            </w:r>
            <w:r w:rsidRPr="00150B32">
              <w:rPr>
                <w:rFonts w:ascii="Times New Roman" w:hAnsi="Times New Roman" w:cs="Times New Roman"/>
                <w:color w:val="000000"/>
                <w:sz w:val="24"/>
                <w:szCs w:val="24"/>
              </w:rPr>
              <w:lastRenderedPageBreak/>
              <w:t xml:space="preserve">спеціальностями спеціальності 014 «Середня освіта» (за предметними спеціальностями)) та за спеціальностями 081 «Право», 293 «Міжнародне право» на основі здобутого ступеня бакалавра визначається закладом вищої освіти і не може перевищувати суми скорегованих максимальних обсягів державного замовлення усіх конкурсних пропозицій у межах спеціальності (спеціалізації, предметної спеціальності) в 2020 році. </w:t>
            </w:r>
            <w:r w:rsidRPr="00150B32">
              <w:rPr>
                <w:rFonts w:ascii="Times New Roman" w:hAnsi="Times New Roman" w:cs="Times New Roman"/>
                <w:b/>
                <w:bCs/>
                <w:color w:val="000000"/>
                <w:sz w:val="24"/>
                <w:szCs w:val="24"/>
              </w:rPr>
              <w:t>Якщо державне замовлення в 2020 році становило не більше ніж 4 місця або сума скорегованих максимальних обсягів становить менше ніж 5 місць, то максимальний обсяг державного замовлення встановлюється 5 місць. Якщо державне замовлення в 2020 році не надавалося взагалі, то максимальний обсяг державного замовлення встановлюється не більше 20 місць.</w:t>
            </w:r>
            <w:r w:rsidRPr="00150B32">
              <w:rPr>
                <w:rFonts w:ascii="Times New Roman" w:hAnsi="Times New Roman" w:cs="Times New Roman"/>
                <w:color w:val="000000"/>
                <w:sz w:val="24"/>
                <w:szCs w:val="24"/>
              </w:rPr>
              <w:t xml:space="preserve"> Якщо кількість зарахованих здобувачів вищої освіти за попередній рік за кошти фізичних та/або юридичних осіб (за винятком тих, хто не приступив до занять протягом 10 календарних днів від дати їх початку), які мали конкурсний бал, що перевищував прохідний бал широкого конкурсу, становила не менше 6 осіб в закладі вищої освіти, який в попередньому році не здійснював набір за державним замовленням, то максимальний обсяг може бути встановлений за поданням закладу вищої освіти в обсязі не більше цієї кількості.»</w:t>
            </w:r>
          </w:p>
          <w:p w14:paraId="7338830B" w14:textId="77777777" w:rsidR="001C500B" w:rsidRPr="00150B32" w:rsidRDefault="001C500B" w:rsidP="001C500B">
            <w:pPr>
              <w:jc w:val="both"/>
              <w:rPr>
                <w:rFonts w:ascii="Times New Roman" w:hAnsi="Times New Roman" w:cs="Times New Roman"/>
                <w:sz w:val="24"/>
                <w:szCs w:val="24"/>
              </w:rPr>
            </w:pPr>
          </w:p>
          <w:p w14:paraId="189B94F7" w14:textId="5A082EE3" w:rsidR="001C500B" w:rsidRPr="00150B32" w:rsidRDefault="001C500B" w:rsidP="001C500B">
            <w:pPr>
              <w:jc w:val="both"/>
              <w:rPr>
                <w:rFonts w:ascii="Times New Roman" w:hAnsi="Times New Roman" w:cs="Times New Roman"/>
                <w:i/>
                <w:iCs/>
                <w:sz w:val="24"/>
                <w:szCs w:val="24"/>
              </w:rPr>
            </w:pPr>
            <w:r w:rsidRPr="00150B32">
              <w:rPr>
                <w:rFonts w:ascii="Times New Roman" w:hAnsi="Times New Roman" w:cs="Times New Roman"/>
                <w:i/>
                <w:iCs/>
                <w:color w:val="000000"/>
              </w:rPr>
              <w:t>Якщо приватний ЗВО приваблює абітурієнтів з високими балами, то немає сенсу надто обмежувати можливості цього ЗВО набрати вступників. У приватних ЗВО представлені переважно ті спеціальності, де бюджетне місце отримують ті, хто має щонайменше 160 балів. Тобто, якщо приватних ЗВО не приваблює абітурієнтів з високими балами, він і не отримає місця в будь-якому випадку. А якщо приваблює, але не зможе отримати через надто суворе обмеження в умовах, то це буде несправедливо.</w:t>
            </w:r>
          </w:p>
        </w:tc>
        <w:tc>
          <w:tcPr>
            <w:tcW w:w="1782" w:type="dxa"/>
          </w:tcPr>
          <w:p w14:paraId="23AE89E5" w14:textId="112135FC" w:rsidR="001C500B" w:rsidRPr="00150B32" w:rsidRDefault="001C500B" w:rsidP="001C500B">
            <w:pPr>
              <w:jc w:val="both"/>
              <w:rPr>
                <w:rFonts w:ascii="Times New Roman" w:hAnsi="Times New Roman" w:cs="Times New Roman"/>
              </w:rPr>
            </w:pPr>
            <w:r w:rsidRPr="00150B32">
              <w:rPr>
                <w:rFonts w:ascii="Times New Roman" w:hAnsi="Times New Roman" w:cs="Times New Roman"/>
              </w:rPr>
              <w:lastRenderedPageBreak/>
              <w:t>Приватна установа «Університет «Київська школа економіки»</w:t>
            </w:r>
          </w:p>
        </w:tc>
        <w:tc>
          <w:tcPr>
            <w:tcW w:w="1418" w:type="dxa"/>
          </w:tcPr>
          <w:p w14:paraId="79ECD893" w14:textId="1393EEBE" w:rsidR="001C500B" w:rsidRPr="00150B32" w:rsidRDefault="001C500B" w:rsidP="001C500B">
            <w:pPr>
              <w:jc w:val="both"/>
              <w:rPr>
                <w:rFonts w:ascii="Times New Roman" w:hAnsi="Times New Roman" w:cs="Times New Roman"/>
              </w:rPr>
            </w:pPr>
            <w:r w:rsidRPr="00150B32">
              <w:rPr>
                <w:rFonts w:ascii="Times New Roman" w:hAnsi="Times New Roman" w:cs="Times New Roman"/>
              </w:rPr>
              <w:t>відхилено</w:t>
            </w:r>
          </w:p>
        </w:tc>
      </w:tr>
      <w:tr w:rsidR="001C500B" w:rsidRPr="00150B32" w14:paraId="7C11C58B" w14:textId="2F8D96C7" w:rsidTr="008D70B5">
        <w:tc>
          <w:tcPr>
            <w:tcW w:w="6379" w:type="dxa"/>
          </w:tcPr>
          <w:p w14:paraId="37DE6364" w14:textId="77777777" w:rsidR="001C500B" w:rsidRPr="00150B32" w:rsidRDefault="001C500B" w:rsidP="001C500B">
            <w:pPr>
              <w:rPr>
                <w:rFonts w:ascii="Times New Roman" w:hAnsi="Times New Roman" w:cs="Times New Roman"/>
              </w:rPr>
            </w:pPr>
            <w:r w:rsidRPr="00150B32">
              <w:rPr>
                <w:rFonts w:ascii="Times New Roman" w:hAnsi="Times New Roman" w:cs="Times New Roman"/>
              </w:rPr>
              <w:lastRenderedPageBreak/>
              <w:t>…</w:t>
            </w:r>
          </w:p>
        </w:tc>
        <w:tc>
          <w:tcPr>
            <w:tcW w:w="6156" w:type="dxa"/>
          </w:tcPr>
          <w:p w14:paraId="56CC4CBE" w14:textId="77777777" w:rsidR="001C500B" w:rsidRPr="00150B32" w:rsidRDefault="001C500B" w:rsidP="001C500B">
            <w:pPr>
              <w:pStyle w:val="rvps2"/>
              <w:shd w:val="clear" w:color="auto" w:fill="FFFFFF"/>
              <w:tabs>
                <w:tab w:val="left" w:pos="1134"/>
                <w:tab w:val="left" w:pos="1276"/>
              </w:tabs>
              <w:spacing w:before="0" w:beforeAutospacing="0" w:after="0" w:afterAutospacing="0"/>
              <w:jc w:val="both"/>
              <w:rPr>
                <w:color w:val="000000"/>
              </w:rPr>
            </w:pPr>
            <w:r w:rsidRPr="00150B32">
              <w:rPr>
                <w:color w:val="000000"/>
              </w:rPr>
              <w:t xml:space="preserve">«8. Максимальний обсяг державного замовлення закладу вищої освіти на основі повної загальної середньої освіти за спеціальностями (спеціалізаціями спеціальностей 015 «Професійна освіта (за спеціалізаціями)», 035 «Філологія», 271 «Річковий та морський транспорт» та 275 «Транспортні технології (за видами)», предметними спеціальностями спеціальності 014 «Середня освіта» (за предметними спеціальностями)) та за спеціальностями 081 «Право», 293 «Міжнародне право» на основі здобутого ступеня бакалавра визначається закладом вищої освіти і не може перевищувати суми скорегованих максимальних обсягів державного замовлення усіх конкурсних пропозицій у межах спеціальності (спеціалізації, предметної спеціальності) в 2020 році. Якщо державне замовлення в 2020 році становило не більше ніж 4 місця або не надавалося взагалі, або сума скорегованих максимальних обсягів становить менше ніж 5 місць, то максимальний обсяг державного замовлення встановлюється 5 місць </w:t>
            </w:r>
            <w:r w:rsidRPr="00150B32">
              <w:rPr>
                <w:b/>
                <w:color w:val="000000"/>
              </w:rPr>
              <w:t>для кожної спеціальності.</w:t>
            </w:r>
            <w:r w:rsidRPr="00150B32">
              <w:rPr>
                <w:color w:val="000000"/>
              </w:rPr>
              <w:t xml:space="preserve"> </w:t>
            </w:r>
            <w:r w:rsidRPr="00150B32">
              <w:rPr>
                <w:b/>
                <w:color w:val="000000"/>
              </w:rPr>
              <w:t>Дане обмеження не стосується закладів вищої освіти, які раніше не мали доступу до участі у конкурсному відборі щодо розміщення державного замовлення на підготовку здобувачів вищої освіти.</w:t>
            </w:r>
            <w:r w:rsidRPr="00150B32">
              <w:rPr>
                <w:color w:val="000000"/>
              </w:rPr>
              <w:t xml:space="preserve"> Якщо кількість зарахованих здобувачів вищої освіти за попередній рік за кошти фізичних та/або юридичних осіб (за винятком тих, хто не приступив до занять протягом 10 календарних днів від дати їх початку), які мали конкурсний бал, що перевищував прохідний бал широкого конкурсу, становила не менше 6 осіб в закладі вищої освіти, який в попередньому році не здійснював набір за державним замовленням, то максимальний обсяг може бути встановлений за поданням закладу вищої освіти в обсязі не більше цієї кількості.»;</w:t>
            </w:r>
          </w:p>
          <w:p w14:paraId="6997B543" w14:textId="77777777" w:rsidR="001C500B" w:rsidRPr="00150B32" w:rsidRDefault="001C500B" w:rsidP="001C500B">
            <w:pPr>
              <w:jc w:val="both"/>
              <w:rPr>
                <w:rFonts w:ascii="Times New Roman" w:hAnsi="Times New Roman" w:cs="Times New Roman"/>
              </w:rPr>
            </w:pPr>
          </w:p>
        </w:tc>
        <w:tc>
          <w:tcPr>
            <w:tcW w:w="1782" w:type="dxa"/>
          </w:tcPr>
          <w:p w14:paraId="59019AA6" w14:textId="77777777" w:rsidR="001C500B" w:rsidRPr="00150B32" w:rsidRDefault="001C500B" w:rsidP="001C500B">
            <w:pPr>
              <w:shd w:val="clear" w:color="auto" w:fill="FFFFFF"/>
              <w:textAlignment w:val="baseline"/>
              <w:rPr>
                <w:rFonts w:ascii="Times New Roman" w:hAnsi="Times New Roman" w:cs="Times New Roman"/>
                <w:color w:val="000000"/>
                <w:sz w:val="24"/>
                <w:szCs w:val="24"/>
              </w:rPr>
            </w:pPr>
            <w:r w:rsidRPr="00150B32">
              <w:rPr>
                <w:rFonts w:ascii="Times New Roman" w:hAnsi="Times New Roman" w:cs="Times New Roman"/>
                <w:color w:val="000000"/>
                <w:sz w:val="24"/>
                <w:szCs w:val="24"/>
              </w:rPr>
              <w:t>Всеукраїнське об'єднання організацій роботодавців у галузі вищої освіти (ВООРГВО)</w:t>
            </w:r>
          </w:p>
          <w:p w14:paraId="2D96BFA0" w14:textId="77777777" w:rsidR="001C500B" w:rsidRPr="00150B32" w:rsidRDefault="001C500B" w:rsidP="001C500B">
            <w:pPr>
              <w:shd w:val="clear" w:color="auto" w:fill="FFFFFF"/>
              <w:textAlignment w:val="baseline"/>
              <w:rPr>
                <w:rFonts w:ascii="Times New Roman" w:hAnsi="Times New Roman" w:cs="Times New Roman"/>
                <w:color w:val="000000"/>
                <w:sz w:val="24"/>
                <w:szCs w:val="24"/>
                <w:lang w:val="ru-RU"/>
              </w:rPr>
            </w:pPr>
            <w:r w:rsidRPr="00150B32">
              <w:rPr>
                <w:rFonts w:ascii="Times New Roman" w:hAnsi="Times New Roman" w:cs="Times New Roman"/>
                <w:color w:val="000000"/>
                <w:sz w:val="24"/>
                <w:szCs w:val="24"/>
              </w:rPr>
              <w:t>Ідентифікаційний код 41961916</w:t>
            </w:r>
          </w:p>
          <w:p w14:paraId="7E013072" w14:textId="0B42377E" w:rsidR="001C500B" w:rsidRPr="00150B32" w:rsidRDefault="001C500B" w:rsidP="001C500B">
            <w:pPr>
              <w:rPr>
                <w:rFonts w:ascii="Times New Roman" w:hAnsi="Times New Roman" w:cs="Times New Roman"/>
              </w:rPr>
            </w:pPr>
            <w:r w:rsidRPr="00150B32">
              <w:rPr>
                <w:rFonts w:ascii="Times New Roman" w:hAnsi="Times New Roman" w:cs="Times New Roman"/>
                <w:color w:val="000000"/>
              </w:rPr>
              <w:t>адреса ел. пошти</w:t>
            </w:r>
            <w:r w:rsidRPr="00150B32">
              <w:rPr>
                <w:rFonts w:ascii="Times New Roman" w:hAnsi="Times New Roman" w:cs="Times New Roman"/>
              </w:rPr>
              <w:t xml:space="preserve">: </w:t>
            </w:r>
            <w:hyperlink r:id="rId7" w:history="1">
              <w:r w:rsidRPr="00150B32">
                <w:rPr>
                  <w:rStyle w:val="a4"/>
                  <w:rFonts w:ascii="Times New Roman" w:hAnsi="Times New Roman" w:cs="Times New Roman"/>
                </w:rPr>
                <w:t>voorgvo@gmail.com</w:t>
              </w:r>
            </w:hyperlink>
          </w:p>
        </w:tc>
        <w:tc>
          <w:tcPr>
            <w:tcW w:w="1418" w:type="dxa"/>
          </w:tcPr>
          <w:p w14:paraId="65DE2423" w14:textId="12D0082A" w:rsidR="001C500B" w:rsidRPr="00150B32" w:rsidRDefault="001C500B" w:rsidP="001C500B">
            <w:pPr>
              <w:rPr>
                <w:rFonts w:ascii="Times New Roman" w:hAnsi="Times New Roman" w:cs="Times New Roman"/>
              </w:rPr>
            </w:pPr>
            <w:r w:rsidRPr="00150B32">
              <w:rPr>
                <w:rFonts w:ascii="Times New Roman" w:hAnsi="Times New Roman" w:cs="Times New Roman"/>
              </w:rPr>
              <w:t>відхилено</w:t>
            </w:r>
          </w:p>
        </w:tc>
      </w:tr>
      <w:tr w:rsidR="001C500B" w:rsidRPr="00150B32" w14:paraId="3DAAE684" w14:textId="77777777" w:rsidTr="008D70B5">
        <w:tc>
          <w:tcPr>
            <w:tcW w:w="6379" w:type="dxa"/>
          </w:tcPr>
          <w:p w14:paraId="26C332FB" w14:textId="12237DFF" w:rsidR="001C500B" w:rsidRPr="00150B32" w:rsidRDefault="001C500B" w:rsidP="001C500B">
            <w:pPr>
              <w:jc w:val="both"/>
              <w:rPr>
                <w:rFonts w:ascii="Times New Roman" w:hAnsi="Times New Roman" w:cs="Times New Roman"/>
                <w:b/>
                <w:bCs/>
              </w:rPr>
            </w:pPr>
            <w:r w:rsidRPr="00150B32">
              <w:rPr>
                <w:rFonts w:ascii="Times New Roman" w:hAnsi="Times New Roman" w:cs="Times New Roman"/>
                <w:b/>
                <w:bCs/>
              </w:rPr>
              <w:lastRenderedPageBreak/>
              <w:t xml:space="preserve">Розділ </w:t>
            </w:r>
            <w:r w:rsidRPr="00150B32">
              <w:rPr>
                <w:rFonts w:ascii="Times New Roman" w:hAnsi="Times New Roman" w:cs="Times New Roman"/>
                <w:b/>
                <w:bCs/>
                <w:lang w:val="en-US"/>
              </w:rPr>
              <w:t>VIII</w:t>
            </w:r>
          </w:p>
          <w:p w14:paraId="067838CE" w14:textId="6FF50B66" w:rsidR="001C500B" w:rsidRPr="00150B32" w:rsidRDefault="001C500B" w:rsidP="001C500B">
            <w:pPr>
              <w:jc w:val="both"/>
              <w:rPr>
                <w:rFonts w:ascii="Times New Roman" w:hAnsi="Times New Roman" w:cs="Times New Roman"/>
              </w:rPr>
            </w:pPr>
            <w:r w:rsidRPr="00150B32">
              <w:rPr>
                <w:rFonts w:ascii="Times New Roman" w:hAnsi="Times New Roman" w:cs="Times New Roman"/>
              </w:rPr>
              <w:t>15. Під час вступу на навчання для здобуття ступеня магістра зі спеціальностей 081 «Право», 293 «Міжнародне право» беруть участь у конкурсному відборі за результатами вступних іспитів у закладі вищої освіти (замість єдиного вступного іспиту з іноземної мови та єдиного фахового вступного випробування з права та загальних навчальних правничих компетентностей) та під час вступу на навчання для здобуття ступеня магістра за усіма спеціальностями (замість єдиного вступного іспиту з іноземної мови):</w:t>
            </w:r>
          </w:p>
          <w:p w14:paraId="33E6AB51" w14:textId="1AEEF77E" w:rsidR="001C500B" w:rsidRPr="00150B32" w:rsidRDefault="001C500B" w:rsidP="001C500B">
            <w:pPr>
              <w:jc w:val="both"/>
              <w:rPr>
                <w:rFonts w:ascii="Times New Roman" w:hAnsi="Times New Roman" w:cs="Times New Roman"/>
              </w:rPr>
            </w:pPr>
            <w:r w:rsidRPr="00150B32">
              <w:rPr>
                <w:rFonts w:ascii="Times New Roman" w:hAnsi="Times New Roman" w:cs="Times New Roman"/>
              </w:rPr>
              <w:t>...</w:t>
            </w:r>
          </w:p>
        </w:tc>
        <w:tc>
          <w:tcPr>
            <w:tcW w:w="6156" w:type="dxa"/>
          </w:tcPr>
          <w:p w14:paraId="33472149" w14:textId="77777777" w:rsidR="001C500B" w:rsidRPr="00150B32" w:rsidRDefault="001C500B" w:rsidP="001C500B">
            <w:pPr>
              <w:rPr>
                <w:rFonts w:ascii="Times New Roman" w:hAnsi="Times New Roman" w:cs="Times New Roman"/>
              </w:rPr>
            </w:pPr>
          </w:p>
        </w:tc>
        <w:tc>
          <w:tcPr>
            <w:tcW w:w="1782" w:type="dxa"/>
          </w:tcPr>
          <w:p w14:paraId="4AD4C5B6" w14:textId="77777777" w:rsidR="001C500B" w:rsidRPr="00150B32" w:rsidRDefault="001C500B" w:rsidP="001C500B">
            <w:pPr>
              <w:rPr>
                <w:rFonts w:ascii="Times New Roman" w:hAnsi="Times New Roman" w:cs="Times New Roman"/>
              </w:rPr>
            </w:pPr>
          </w:p>
        </w:tc>
        <w:tc>
          <w:tcPr>
            <w:tcW w:w="1418" w:type="dxa"/>
          </w:tcPr>
          <w:p w14:paraId="5FB1A8F0" w14:textId="77777777" w:rsidR="001C500B" w:rsidRPr="00150B32" w:rsidRDefault="001C500B" w:rsidP="001C500B">
            <w:pPr>
              <w:rPr>
                <w:rFonts w:ascii="Times New Roman" w:hAnsi="Times New Roman" w:cs="Times New Roman"/>
              </w:rPr>
            </w:pPr>
          </w:p>
        </w:tc>
      </w:tr>
      <w:tr w:rsidR="001C500B" w:rsidRPr="00150B32" w14:paraId="55EBF62F" w14:textId="77777777" w:rsidTr="008D70B5">
        <w:tc>
          <w:tcPr>
            <w:tcW w:w="6379" w:type="dxa"/>
          </w:tcPr>
          <w:p w14:paraId="256875EE" w14:textId="6AE50B72" w:rsidR="001C500B" w:rsidRPr="00150B32" w:rsidRDefault="001C500B" w:rsidP="001C500B">
            <w:pPr>
              <w:jc w:val="both"/>
              <w:rPr>
                <w:rFonts w:ascii="Times New Roman" w:hAnsi="Times New Roman" w:cs="Times New Roman"/>
              </w:rPr>
            </w:pPr>
          </w:p>
          <w:p w14:paraId="1DA1D476" w14:textId="75A94269" w:rsidR="001C500B" w:rsidRPr="00150B32" w:rsidRDefault="001C500B" w:rsidP="001C500B">
            <w:pPr>
              <w:jc w:val="both"/>
              <w:rPr>
                <w:rFonts w:ascii="Times New Roman" w:hAnsi="Times New Roman" w:cs="Times New Roman"/>
              </w:rPr>
            </w:pPr>
            <w:r w:rsidRPr="00150B32">
              <w:rPr>
                <w:rFonts w:ascii="Times New Roman" w:hAnsi="Times New Roman" w:cs="Times New Roman"/>
              </w:rPr>
              <w:t>військовослужбовці-контрактники, поліцейські, рятувальники, особи рядового і начальницького складу Державної кримінально-виконавчої служби, курсанти вищих військових навчальних закладів, закладів вищої освіти з специфічними умовами навчання, військових навчальних підрозділів закладів вищої освіти при вступі на навчання на освітні програми в галузі знань 25 «Воєнні науки, національна безпека, безпека державного кордону».</w:t>
            </w:r>
          </w:p>
          <w:p w14:paraId="5322D30A" w14:textId="58505A37" w:rsidR="001C500B" w:rsidRPr="00150B32" w:rsidRDefault="001C500B" w:rsidP="001C500B">
            <w:pPr>
              <w:jc w:val="both"/>
              <w:rPr>
                <w:rFonts w:ascii="Times New Roman" w:hAnsi="Times New Roman" w:cs="Times New Roman"/>
              </w:rPr>
            </w:pPr>
          </w:p>
        </w:tc>
        <w:tc>
          <w:tcPr>
            <w:tcW w:w="6156" w:type="dxa"/>
          </w:tcPr>
          <w:p w14:paraId="28066C51" w14:textId="77777777" w:rsidR="001C500B" w:rsidRPr="00150B32" w:rsidRDefault="001C500B" w:rsidP="001C500B">
            <w:pPr>
              <w:jc w:val="both"/>
              <w:rPr>
                <w:rFonts w:ascii="Times New Roman" w:hAnsi="Times New Roman" w:cs="Times New Roman"/>
              </w:rPr>
            </w:pPr>
          </w:p>
          <w:p w14:paraId="197639A4" w14:textId="3B47005E" w:rsidR="001C500B" w:rsidRPr="00150B32" w:rsidRDefault="001C500B" w:rsidP="001C500B">
            <w:pPr>
              <w:jc w:val="both"/>
              <w:rPr>
                <w:rFonts w:ascii="Times New Roman" w:hAnsi="Times New Roman" w:cs="Times New Roman"/>
                <w:b/>
                <w:bCs/>
              </w:rPr>
            </w:pPr>
            <w:r w:rsidRPr="00150B32">
              <w:rPr>
                <w:rFonts w:ascii="Times New Roman" w:hAnsi="Times New Roman" w:cs="Times New Roman"/>
              </w:rPr>
              <w:t xml:space="preserve">військовослужбовці-контрактники, поліцейські, рятувальники, особи рядового і начальницького складу Державної кримінально-виконавчої служби </w:t>
            </w:r>
            <w:r w:rsidRPr="00150B32">
              <w:rPr>
                <w:rFonts w:ascii="Times New Roman" w:hAnsi="Times New Roman" w:cs="Times New Roman"/>
                <w:b/>
                <w:bCs/>
              </w:rPr>
              <w:t>та служби цивільного захисту</w:t>
            </w:r>
            <w:r w:rsidRPr="00150B32">
              <w:rPr>
                <w:rFonts w:ascii="Times New Roman" w:hAnsi="Times New Roman" w:cs="Times New Roman"/>
              </w:rPr>
              <w:t xml:space="preserve">, курсанти вищих військових навчальних закладів, закладів вищої освіти з специфічними умовами навчання, військових навчальних підрозділів закладів вищої освіти при вступі на навчання на освітні програми в галузі знань 25 «Воєнні науки, національна безпека, безпека державного кордону» </w:t>
            </w:r>
            <w:r w:rsidRPr="00150B32">
              <w:rPr>
                <w:rFonts w:ascii="Times New Roman" w:hAnsi="Times New Roman" w:cs="Times New Roman"/>
                <w:b/>
                <w:bCs/>
              </w:rPr>
              <w:t>та спеціальності 261 «Пожежна безпека» і 263 «Цивільна безпека» галузі знань 26 «Цивільна безпека».</w:t>
            </w:r>
          </w:p>
          <w:p w14:paraId="7A071839" w14:textId="77777777" w:rsidR="001C500B" w:rsidRPr="00150B32" w:rsidRDefault="001C500B" w:rsidP="001C500B">
            <w:pPr>
              <w:rPr>
                <w:rFonts w:ascii="Times New Roman" w:hAnsi="Times New Roman" w:cs="Times New Roman"/>
              </w:rPr>
            </w:pPr>
          </w:p>
        </w:tc>
        <w:tc>
          <w:tcPr>
            <w:tcW w:w="1782" w:type="dxa"/>
          </w:tcPr>
          <w:p w14:paraId="7D392AA1" w14:textId="1A660714" w:rsidR="001C500B" w:rsidRPr="00150B32" w:rsidRDefault="001C500B" w:rsidP="001C500B">
            <w:pPr>
              <w:rPr>
                <w:rFonts w:ascii="Times New Roman" w:hAnsi="Times New Roman" w:cs="Times New Roman"/>
              </w:rPr>
            </w:pPr>
            <w:r w:rsidRPr="00150B32">
              <w:rPr>
                <w:rFonts w:ascii="Times New Roman" w:hAnsi="Times New Roman" w:cs="Times New Roman"/>
              </w:rPr>
              <w:t>ДСНС</w:t>
            </w:r>
          </w:p>
        </w:tc>
        <w:tc>
          <w:tcPr>
            <w:tcW w:w="1418" w:type="dxa"/>
          </w:tcPr>
          <w:p w14:paraId="1525604C" w14:textId="17884B1A" w:rsidR="001C500B" w:rsidRPr="00150B32" w:rsidRDefault="001C500B" w:rsidP="001C500B">
            <w:pPr>
              <w:rPr>
                <w:rFonts w:ascii="Times New Roman" w:hAnsi="Times New Roman" w:cs="Times New Roman"/>
              </w:rPr>
            </w:pPr>
            <w:r w:rsidRPr="00150B32">
              <w:rPr>
                <w:rFonts w:ascii="Times New Roman" w:hAnsi="Times New Roman" w:cs="Times New Roman"/>
              </w:rPr>
              <w:t>відхилено</w:t>
            </w:r>
          </w:p>
        </w:tc>
      </w:tr>
      <w:tr w:rsidR="001C500B" w:rsidRPr="00150B32" w14:paraId="7D85388F" w14:textId="77777777" w:rsidTr="008D70B5">
        <w:tc>
          <w:tcPr>
            <w:tcW w:w="6379" w:type="dxa"/>
          </w:tcPr>
          <w:p w14:paraId="4C65BE74" w14:textId="5D1C6BCD" w:rsidR="001C500B" w:rsidRPr="00150B32" w:rsidRDefault="001C500B" w:rsidP="001C500B">
            <w:pPr>
              <w:jc w:val="both"/>
              <w:rPr>
                <w:rFonts w:ascii="Times New Roman" w:hAnsi="Times New Roman" w:cs="Times New Roman"/>
                <w:sz w:val="24"/>
                <w:szCs w:val="28"/>
              </w:rPr>
            </w:pPr>
            <w:r w:rsidRPr="00150B32">
              <w:rPr>
                <w:rFonts w:ascii="Times New Roman" w:hAnsi="Times New Roman" w:cs="Times New Roman"/>
                <w:color w:val="000000"/>
              </w:rPr>
              <w:t xml:space="preserve">Пункт 8 розділу </w:t>
            </w:r>
            <w:r w:rsidRPr="00150B32">
              <w:rPr>
                <w:rFonts w:ascii="Times New Roman" w:hAnsi="Times New Roman" w:cs="Times New Roman"/>
                <w:color w:val="000000"/>
                <w:lang w:val="en-US"/>
              </w:rPr>
              <w:t>VII</w:t>
            </w:r>
            <w:r w:rsidRPr="00150B32">
              <w:rPr>
                <w:rFonts w:ascii="Times New Roman" w:hAnsi="Times New Roman" w:cs="Times New Roman"/>
                <w:color w:val="000000"/>
              </w:rPr>
              <w:t>І:</w:t>
            </w:r>
          </w:p>
        </w:tc>
        <w:tc>
          <w:tcPr>
            <w:tcW w:w="6156" w:type="dxa"/>
          </w:tcPr>
          <w:p w14:paraId="764851F0" w14:textId="77777777" w:rsidR="001C500B" w:rsidRPr="00150B32" w:rsidRDefault="001C500B" w:rsidP="001C500B">
            <w:pPr>
              <w:jc w:val="both"/>
              <w:rPr>
                <w:rFonts w:ascii="Times New Roman" w:hAnsi="Times New Roman" w:cs="Times New Roman"/>
                <w:sz w:val="24"/>
                <w:szCs w:val="28"/>
              </w:rPr>
            </w:pPr>
          </w:p>
        </w:tc>
        <w:tc>
          <w:tcPr>
            <w:tcW w:w="1782" w:type="dxa"/>
          </w:tcPr>
          <w:p w14:paraId="4F7C504F" w14:textId="77777777" w:rsidR="001C500B" w:rsidRPr="00150B32" w:rsidRDefault="001C500B" w:rsidP="001C500B">
            <w:pPr>
              <w:rPr>
                <w:rFonts w:ascii="Times New Roman" w:hAnsi="Times New Roman" w:cs="Times New Roman"/>
              </w:rPr>
            </w:pPr>
          </w:p>
        </w:tc>
        <w:tc>
          <w:tcPr>
            <w:tcW w:w="1418" w:type="dxa"/>
          </w:tcPr>
          <w:p w14:paraId="6F21C4BB" w14:textId="77777777" w:rsidR="001C500B" w:rsidRPr="00150B32" w:rsidRDefault="001C500B" w:rsidP="001C500B">
            <w:pPr>
              <w:rPr>
                <w:rFonts w:ascii="Times New Roman" w:hAnsi="Times New Roman" w:cs="Times New Roman"/>
              </w:rPr>
            </w:pPr>
          </w:p>
        </w:tc>
      </w:tr>
      <w:tr w:rsidR="001C500B" w:rsidRPr="00150B32" w14:paraId="635604FB" w14:textId="77777777" w:rsidTr="008D70B5">
        <w:tc>
          <w:tcPr>
            <w:tcW w:w="6379" w:type="dxa"/>
          </w:tcPr>
          <w:p w14:paraId="26608565" w14:textId="77777777" w:rsidR="001C500B" w:rsidRPr="00150B32" w:rsidRDefault="001C500B" w:rsidP="001C500B">
            <w:pPr>
              <w:pStyle w:val="rvps2"/>
              <w:shd w:val="clear" w:color="auto" w:fill="FFFFFF"/>
              <w:tabs>
                <w:tab w:val="left" w:pos="1134"/>
                <w:tab w:val="left" w:pos="1276"/>
              </w:tabs>
              <w:spacing w:before="0" w:beforeAutospacing="0" w:after="0" w:afterAutospacing="0"/>
              <w:jc w:val="both"/>
              <w:rPr>
                <w:color w:val="000000"/>
              </w:rPr>
            </w:pPr>
            <w:r w:rsidRPr="00150B32">
              <w:rPr>
                <w:color w:val="000000"/>
              </w:rPr>
              <w:t>«Беруть участь у конкурсному відборі в межах квоти-1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14:paraId="6C671691" w14:textId="5FEA3913" w:rsidR="001C500B" w:rsidRPr="00150B32" w:rsidRDefault="001C500B" w:rsidP="001C500B">
            <w:pPr>
              <w:jc w:val="both"/>
              <w:rPr>
                <w:rFonts w:ascii="Times New Roman" w:hAnsi="Times New Roman" w:cs="Times New Roman"/>
                <w:sz w:val="24"/>
                <w:szCs w:val="28"/>
              </w:rPr>
            </w:pPr>
            <w:r w:rsidRPr="00150B32">
              <w:rPr>
                <w:rFonts w:ascii="Times New Roman" w:hAnsi="Times New Roman" w:cs="Times New Roman"/>
                <w:color w:val="000000"/>
              </w:rPr>
              <w:t>діти-сироти, діти, позбавлені батьківського піклування, особи з їх числа.».</w:t>
            </w:r>
          </w:p>
        </w:tc>
        <w:tc>
          <w:tcPr>
            <w:tcW w:w="6156" w:type="dxa"/>
          </w:tcPr>
          <w:p w14:paraId="379C6F63" w14:textId="77777777" w:rsidR="001C500B" w:rsidRPr="00150B32" w:rsidRDefault="001C500B" w:rsidP="001C500B">
            <w:pPr>
              <w:pStyle w:val="rvps2"/>
              <w:shd w:val="clear" w:color="auto" w:fill="FFFFFF"/>
              <w:tabs>
                <w:tab w:val="left" w:pos="1134"/>
                <w:tab w:val="left" w:pos="1276"/>
              </w:tabs>
              <w:spacing w:before="0" w:beforeAutospacing="0" w:after="0" w:afterAutospacing="0"/>
              <w:jc w:val="both"/>
              <w:rPr>
                <w:color w:val="000000"/>
              </w:rPr>
            </w:pPr>
            <w:r w:rsidRPr="00150B32">
              <w:rPr>
                <w:color w:val="000000"/>
              </w:rPr>
              <w:t>«</w:t>
            </w:r>
            <w:r w:rsidRPr="00150B32">
              <w:rPr>
                <w:b/>
                <w:bCs/>
                <w:color w:val="000000"/>
              </w:rPr>
              <w:t>Проходять вступні випробування у формі вступних іспитів (замість зовнішнього незалежного оцінювання) та в разі отримання кількості балів за кожний з іспитів не менше ніж встановлений закладом вищої освіти мінімальний рівень допускаються до участі в конкурсному відборі під час вступу для здобуття вищої освіти на основі повної загальної середньої освіти або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w:t>
            </w:r>
            <w:r w:rsidRPr="00150B32">
              <w:rPr>
                <w:color w:val="000000"/>
              </w:rPr>
              <w:t>:</w:t>
            </w:r>
          </w:p>
          <w:p w14:paraId="0769E882" w14:textId="77777777" w:rsidR="001C500B" w:rsidRPr="00150B32" w:rsidRDefault="001C500B" w:rsidP="001C500B">
            <w:pPr>
              <w:pStyle w:val="rvps2"/>
              <w:shd w:val="clear" w:color="auto" w:fill="FFFFFF"/>
              <w:tabs>
                <w:tab w:val="left" w:pos="1134"/>
                <w:tab w:val="left" w:pos="1276"/>
              </w:tabs>
              <w:spacing w:before="0" w:beforeAutospacing="0" w:after="0" w:afterAutospacing="0"/>
              <w:jc w:val="both"/>
              <w:rPr>
                <w:color w:val="000000"/>
              </w:rPr>
            </w:pPr>
            <w:r w:rsidRPr="00150B32">
              <w:rPr>
                <w:color w:val="000000"/>
              </w:rPr>
              <w:lastRenderedPageBreak/>
              <w:t>діти-сироти, діти, позбавлені батьківського піклування, особи з їх числа</w:t>
            </w:r>
          </w:p>
          <w:p w14:paraId="49D9AB3E" w14:textId="050977E8" w:rsidR="001C500B" w:rsidRPr="00150B32" w:rsidRDefault="001C500B" w:rsidP="001C500B">
            <w:pPr>
              <w:jc w:val="both"/>
              <w:rPr>
                <w:rFonts w:ascii="Times New Roman" w:hAnsi="Times New Roman" w:cs="Times New Roman"/>
                <w:sz w:val="24"/>
                <w:szCs w:val="28"/>
              </w:rPr>
            </w:pPr>
            <w:r w:rsidRPr="00150B32">
              <w:rPr>
                <w:rFonts w:ascii="Times New Roman" w:hAnsi="Times New Roman" w:cs="Times New Roman"/>
                <w:color w:val="000000"/>
              </w:rPr>
              <w:t>Особи цих категорій беруть участь у конкурсному відборі в межах квоти-1 на місця державного або регіонального замовлення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tc>
        <w:tc>
          <w:tcPr>
            <w:tcW w:w="1782" w:type="dxa"/>
          </w:tcPr>
          <w:p w14:paraId="3E8B3906" w14:textId="5749A6FE" w:rsidR="001C500B" w:rsidRPr="00150B32" w:rsidRDefault="001C500B" w:rsidP="001C500B">
            <w:pPr>
              <w:rPr>
                <w:rFonts w:ascii="Times New Roman" w:hAnsi="Times New Roman" w:cs="Times New Roman"/>
              </w:rPr>
            </w:pPr>
            <w:r w:rsidRPr="00150B32">
              <w:rPr>
                <w:rFonts w:ascii="Times New Roman" w:hAnsi="Times New Roman" w:cs="Times New Roman"/>
                <w:color w:val="000000"/>
              </w:rPr>
              <w:lastRenderedPageBreak/>
              <w:t>КПІ ім. Ігоря Сікорського</w:t>
            </w:r>
          </w:p>
        </w:tc>
        <w:tc>
          <w:tcPr>
            <w:tcW w:w="1418" w:type="dxa"/>
          </w:tcPr>
          <w:p w14:paraId="7E176A4D" w14:textId="67C35A3C" w:rsidR="001C500B" w:rsidRPr="00150B32" w:rsidRDefault="001C500B" w:rsidP="001C500B">
            <w:pPr>
              <w:rPr>
                <w:rFonts w:ascii="Times New Roman" w:hAnsi="Times New Roman" w:cs="Times New Roman"/>
              </w:rPr>
            </w:pPr>
            <w:r w:rsidRPr="00150B32">
              <w:rPr>
                <w:rFonts w:ascii="Times New Roman" w:hAnsi="Times New Roman" w:cs="Times New Roman"/>
              </w:rPr>
              <w:t>відхилено</w:t>
            </w:r>
          </w:p>
        </w:tc>
      </w:tr>
      <w:tr w:rsidR="001C500B" w:rsidRPr="00150B32" w14:paraId="7A957720" w14:textId="77777777" w:rsidTr="008D70B5">
        <w:tc>
          <w:tcPr>
            <w:tcW w:w="6379" w:type="dxa"/>
          </w:tcPr>
          <w:p w14:paraId="034766C4" w14:textId="77777777" w:rsidR="001C500B" w:rsidRPr="00150B32" w:rsidRDefault="001C500B" w:rsidP="001C500B">
            <w:pPr>
              <w:jc w:val="both"/>
              <w:rPr>
                <w:rFonts w:ascii="Times New Roman" w:hAnsi="Times New Roman" w:cs="Times New Roman"/>
                <w:sz w:val="24"/>
                <w:szCs w:val="28"/>
              </w:rPr>
            </w:pPr>
          </w:p>
        </w:tc>
        <w:tc>
          <w:tcPr>
            <w:tcW w:w="6156" w:type="dxa"/>
          </w:tcPr>
          <w:p w14:paraId="653E2C71" w14:textId="77777777" w:rsidR="001C500B" w:rsidRPr="00150B32" w:rsidRDefault="001C500B" w:rsidP="001C500B">
            <w:pPr>
              <w:jc w:val="both"/>
              <w:rPr>
                <w:rFonts w:ascii="Times New Roman" w:hAnsi="Times New Roman" w:cs="Times New Roman"/>
                <w:sz w:val="24"/>
                <w:szCs w:val="28"/>
              </w:rPr>
            </w:pPr>
          </w:p>
        </w:tc>
        <w:tc>
          <w:tcPr>
            <w:tcW w:w="1782" w:type="dxa"/>
          </w:tcPr>
          <w:p w14:paraId="1D3BD095" w14:textId="77777777" w:rsidR="001C500B" w:rsidRPr="00150B32" w:rsidRDefault="001C500B" w:rsidP="001C500B">
            <w:pPr>
              <w:rPr>
                <w:rFonts w:ascii="Times New Roman" w:hAnsi="Times New Roman" w:cs="Times New Roman"/>
              </w:rPr>
            </w:pPr>
          </w:p>
        </w:tc>
        <w:tc>
          <w:tcPr>
            <w:tcW w:w="1418" w:type="dxa"/>
          </w:tcPr>
          <w:p w14:paraId="1ABDB355" w14:textId="77777777" w:rsidR="001C500B" w:rsidRPr="00150B32" w:rsidRDefault="001C500B" w:rsidP="001C500B">
            <w:pPr>
              <w:rPr>
                <w:rFonts w:ascii="Times New Roman" w:hAnsi="Times New Roman" w:cs="Times New Roman"/>
              </w:rPr>
            </w:pPr>
          </w:p>
        </w:tc>
      </w:tr>
    </w:tbl>
    <w:p w14:paraId="7310635E" w14:textId="77777777" w:rsidR="00B518D5" w:rsidRPr="00150B32" w:rsidRDefault="00B518D5" w:rsidP="00BD3B1B">
      <w:pPr>
        <w:spacing w:after="0"/>
        <w:rPr>
          <w:rFonts w:ascii="Times New Roman" w:hAnsi="Times New Roman" w:cs="Times New Roman"/>
        </w:rPr>
      </w:pPr>
    </w:p>
    <w:sectPr w:rsidR="00B518D5" w:rsidRPr="00150B32" w:rsidSect="004C74C4">
      <w:pgSz w:w="16838" w:h="11906" w:orient="landscape"/>
      <w:pgMar w:top="851" w:right="850" w:bottom="1418"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85B79"/>
    <w:multiLevelType w:val="hybridMultilevel"/>
    <w:tmpl w:val="BD12127A"/>
    <w:lvl w:ilvl="0" w:tplc="AB6AA628">
      <w:start w:val="1"/>
      <w:numFmt w:val="decimal"/>
      <w:lvlText w:val="%1."/>
      <w:lvlJc w:val="left"/>
      <w:pPr>
        <w:ind w:left="2912" w:hanging="360"/>
      </w:pPr>
      <w:rPr>
        <w:rFonts w:hint="default"/>
      </w:rPr>
    </w:lvl>
    <w:lvl w:ilvl="1" w:tplc="04220019" w:tentative="1">
      <w:start w:val="1"/>
      <w:numFmt w:val="lowerLetter"/>
      <w:lvlText w:val="%2."/>
      <w:lvlJc w:val="left"/>
      <w:pPr>
        <w:ind w:left="3632" w:hanging="360"/>
      </w:pPr>
    </w:lvl>
    <w:lvl w:ilvl="2" w:tplc="0422001B" w:tentative="1">
      <w:start w:val="1"/>
      <w:numFmt w:val="lowerRoman"/>
      <w:lvlText w:val="%3."/>
      <w:lvlJc w:val="right"/>
      <w:pPr>
        <w:ind w:left="4352" w:hanging="180"/>
      </w:pPr>
    </w:lvl>
    <w:lvl w:ilvl="3" w:tplc="0422000F" w:tentative="1">
      <w:start w:val="1"/>
      <w:numFmt w:val="decimal"/>
      <w:lvlText w:val="%4."/>
      <w:lvlJc w:val="left"/>
      <w:pPr>
        <w:ind w:left="5072" w:hanging="360"/>
      </w:pPr>
    </w:lvl>
    <w:lvl w:ilvl="4" w:tplc="04220019" w:tentative="1">
      <w:start w:val="1"/>
      <w:numFmt w:val="lowerLetter"/>
      <w:lvlText w:val="%5."/>
      <w:lvlJc w:val="left"/>
      <w:pPr>
        <w:ind w:left="5792" w:hanging="360"/>
      </w:pPr>
    </w:lvl>
    <w:lvl w:ilvl="5" w:tplc="0422001B" w:tentative="1">
      <w:start w:val="1"/>
      <w:numFmt w:val="lowerRoman"/>
      <w:lvlText w:val="%6."/>
      <w:lvlJc w:val="right"/>
      <w:pPr>
        <w:ind w:left="6512" w:hanging="180"/>
      </w:pPr>
    </w:lvl>
    <w:lvl w:ilvl="6" w:tplc="0422000F" w:tentative="1">
      <w:start w:val="1"/>
      <w:numFmt w:val="decimal"/>
      <w:lvlText w:val="%7."/>
      <w:lvlJc w:val="left"/>
      <w:pPr>
        <w:ind w:left="7232" w:hanging="360"/>
      </w:pPr>
    </w:lvl>
    <w:lvl w:ilvl="7" w:tplc="04220019" w:tentative="1">
      <w:start w:val="1"/>
      <w:numFmt w:val="lowerLetter"/>
      <w:lvlText w:val="%8."/>
      <w:lvlJc w:val="left"/>
      <w:pPr>
        <w:ind w:left="7952" w:hanging="360"/>
      </w:pPr>
    </w:lvl>
    <w:lvl w:ilvl="8" w:tplc="0422001B" w:tentative="1">
      <w:start w:val="1"/>
      <w:numFmt w:val="lowerRoman"/>
      <w:lvlText w:val="%9."/>
      <w:lvlJc w:val="right"/>
      <w:pPr>
        <w:ind w:left="86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D5"/>
    <w:rsid w:val="00025103"/>
    <w:rsid w:val="000B4219"/>
    <w:rsid w:val="000E7CED"/>
    <w:rsid w:val="00113167"/>
    <w:rsid w:val="00123A53"/>
    <w:rsid w:val="00123CD5"/>
    <w:rsid w:val="00144A44"/>
    <w:rsid w:val="00150B32"/>
    <w:rsid w:val="001A782B"/>
    <w:rsid w:val="001B01C2"/>
    <w:rsid w:val="001C500B"/>
    <w:rsid w:val="001D4642"/>
    <w:rsid w:val="00222128"/>
    <w:rsid w:val="002A6792"/>
    <w:rsid w:val="00306FC6"/>
    <w:rsid w:val="003B0253"/>
    <w:rsid w:val="003D035A"/>
    <w:rsid w:val="004300CC"/>
    <w:rsid w:val="00434952"/>
    <w:rsid w:val="004C74C4"/>
    <w:rsid w:val="005038AD"/>
    <w:rsid w:val="00553FB7"/>
    <w:rsid w:val="005641B1"/>
    <w:rsid w:val="005E6306"/>
    <w:rsid w:val="006717BC"/>
    <w:rsid w:val="006E6450"/>
    <w:rsid w:val="007A2F5D"/>
    <w:rsid w:val="007B3729"/>
    <w:rsid w:val="00852CB4"/>
    <w:rsid w:val="008559B9"/>
    <w:rsid w:val="00877272"/>
    <w:rsid w:val="008D04B1"/>
    <w:rsid w:val="008D70B5"/>
    <w:rsid w:val="0093782E"/>
    <w:rsid w:val="009E5405"/>
    <w:rsid w:val="00A9232C"/>
    <w:rsid w:val="00AD547D"/>
    <w:rsid w:val="00AF0F27"/>
    <w:rsid w:val="00AF449A"/>
    <w:rsid w:val="00B113B6"/>
    <w:rsid w:val="00B115FA"/>
    <w:rsid w:val="00B518D5"/>
    <w:rsid w:val="00B63D40"/>
    <w:rsid w:val="00B64CFD"/>
    <w:rsid w:val="00BD3B1B"/>
    <w:rsid w:val="00BD429A"/>
    <w:rsid w:val="00C24687"/>
    <w:rsid w:val="00C815CC"/>
    <w:rsid w:val="00CB2F46"/>
    <w:rsid w:val="00CB78FE"/>
    <w:rsid w:val="00D5478C"/>
    <w:rsid w:val="00D73D5B"/>
    <w:rsid w:val="00DF2DF7"/>
    <w:rsid w:val="00E24148"/>
    <w:rsid w:val="00E34F64"/>
    <w:rsid w:val="00E56A62"/>
    <w:rsid w:val="00E64064"/>
    <w:rsid w:val="00E65FEC"/>
    <w:rsid w:val="00E94654"/>
    <w:rsid w:val="00F31562"/>
    <w:rsid w:val="00FC40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EA57"/>
  <w15:chartTrackingRefBased/>
  <w15:docId w15:val="{555F6914-A8D8-47AF-8459-433C7BB2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123CD5"/>
  </w:style>
  <w:style w:type="paragraph" w:customStyle="1" w:styleId="rvps2">
    <w:name w:val="rvps2"/>
    <w:basedOn w:val="a"/>
    <w:rsid w:val="0093782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93782E"/>
    <w:rPr>
      <w:color w:val="0000FF"/>
      <w:u w:val="single"/>
    </w:rPr>
  </w:style>
  <w:style w:type="paragraph" w:customStyle="1" w:styleId="rvps7">
    <w:name w:val="rvps7"/>
    <w:basedOn w:val="a"/>
    <w:rsid w:val="00306FC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306FC6"/>
  </w:style>
  <w:style w:type="paragraph" w:customStyle="1" w:styleId="rvps12">
    <w:name w:val="rvps12"/>
    <w:basedOn w:val="a"/>
    <w:rsid w:val="00B115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B115F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4C74C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4C74C4"/>
    <w:rPr>
      <w:rFonts w:ascii="Segoe UI" w:hAnsi="Segoe UI" w:cs="Segoe UI"/>
      <w:sz w:val="18"/>
      <w:szCs w:val="18"/>
      <w:lang w:val="uk-UA"/>
    </w:rPr>
  </w:style>
  <w:style w:type="character" w:customStyle="1" w:styleId="xfmc1">
    <w:name w:val="xfmc1"/>
    <w:basedOn w:val="a0"/>
    <w:rsid w:val="00E94654"/>
  </w:style>
  <w:style w:type="character" w:styleId="a7">
    <w:name w:val="annotation reference"/>
    <w:basedOn w:val="a0"/>
    <w:uiPriority w:val="99"/>
    <w:semiHidden/>
    <w:unhideWhenUsed/>
    <w:rsid w:val="001B01C2"/>
    <w:rPr>
      <w:sz w:val="16"/>
      <w:szCs w:val="16"/>
    </w:rPr>
  </w:style>
  <w:style w:type="paragraph" w:styleId="a8">
    <w:name w:val="annotation text"/>
    <w:basedOn w:val="a"/>
    <w:link w:val="a9"/>
    <w:uiPriority w:val="99"/>
    <w:semiHidden/>
    <w:unhideWhenUsed/>
    <w:rsid w:val="001B01C2"/>
    <w:pPr>
      <w:spacing w:line="240" w:lineRule="auto"/>
    </w:pPr>
    <w:rPr>
      <w:sz w:val="20"/>
      <w:szCs w:val="20"/>
    </w:rPr>
  </w:style>
  <w:style w:type="character" w:customStyle="1" w:styleId="a9">
    <w:name w:val="Текст примітки Знак"/>
    <w:basedOn w:val="a0"/>
    <w:link w:val="a8"/>
    <w:uiPriority w:val="99"/>
    <w:semiHidden/>
    <w:rsid w:val="001B01C2"/>
    <w:rPr>
      <w:sz w:val="20"/>
      <w:szCs w:val="20"/>
      <w:lang w:val="uk-UA"/>
    </w:rPr>
  </w:style>
  <w:style w:type="paragraph" w:styleId="aa">
    <w:name w:val="annotation subject"/>
    <w:basedOn w:val="a8"/>
    <w:next w:val="a8"/>
    <w:link w:val="ab"/>
    <w:uiPriority w:val="99"/>
    <w:semiHidden/>
    <w:unhideWhenUsed/>
    <w:rsid w:val="001B01C2"/>
    <w:rPr>
      <w:b/>
      <w:bCs/>
    </w:rPr>
  </w:style>
  <w:style w:type="character" w:customStyle="1" w:styleId="ab">
    <w:name w:val="Тема примітки Знак"/>
    <w:basedOn w:val="a9"/>
    <w:link w:val="aa"/>
    <w:uiPriority w:val="99"/>
    <w:semiHidden/>
    <w:rsid w:val="001B01C2"/>
    <w:rPr>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2078">
      <w:bodyDiv w:val="1"/>
      <w:marLeft w:val="0"/>
      <w:marRight w:val="0"/>
      <w:marTop w:val="0"/>
      <w:marBottom w:val="0"/>
      <w:divBdr>
        <w:top w:val="none" w:sz="0" w:space="0" w:color="auto"/>
        <w:left w:val="none" w:sz="0" w:space="0" w:color="auto"/>
        <w:bottom w:val="none" w:sz="0" w:space="0" w:color="auto"/>
        <w:right w:val="none" w:sz="0" w:space="0" w:color="auto"/>
      </w:divBdr>
    </w:div>
    <w:div w:id="74524064">
      <w:bodyDiv w:val="1"/>
      <w:marLeft w:val="0"/>
      <w:marRight w:val="0"/>
      <w:marTop w:val="0"/>
      <w:marBottom w:val="0"/>
      <w:divBdr>
        <w:top w:val="none" w:sz="0" w:space="0" w:color="auto"/>
        <w:left w:val="none" w:sz="0" w:space="0" w:color="auto"/>
        <w:bottom w:val="none" w:sz="0" w:space="0" w:color="auto"/>
        <w:right w:val="none" w:sz="0" w:space="0" w:color="auto"/>
      </w:divBdr>
    </w:div>
    <w:div w:id="102892173">
      <w:bodyDiv w:val="1"/>
      <w:marLeft w:val="0"/>
      <w:marRight w:val="0"/>
      <w:marTop w:val="0"/>
      <w:marBottom w:val="0"/>
      <w:divBdr>
        <w:top w:val="none" w:sz="0" w:space="0" w:color="auto"/>
        <w:left w:val="none" w:sz="0" w:space="0" w:color="auto"/>
        <w:bottom w:val="none" w:sz="0" w:space="0" w:color="auto"/>
        <w:right w:val="none" w:sz="0" w:space="0" w:color="auto"/>
      </w:divBdr>
    </w:div>
    <w:div w:id="103960874">
      <w:bodyDiv w:val="1"/>
      <w:marLeft w:val="0"/>
      <w:marRight w:val="0"/>
      <w:marTop w:val="0"/>
      <w:marBottom w:val="0"/>
      <w:divBdr>
        <w:top w:val="none" w:sz="0" w:space="0" w:color="auto"/>
        <w:left w:val="none" w:sz="0" w:space="0" w:color="auto"/>
        <w:bottom w:val="none" w:sz="0" w:space="0" w:color="auto"/>
        <w:right w:val="none" w:sz="0" w:space="0" w:color="auto"/>
      </w:divBdr>
    </w:div>
    <w:div w:id="216284429">
      <w:bodyDiv w:val="1"/>
      <w:marLeft w:val="0"/>
      <w:marRight w:val="0"/>
      <w:marTop w:val="0"/>
      <w:marBottom w:val="0"/>
      <w:divBdr>
        <w:top w:val="none" w:sz="0" w:space="0" w:color="auto"/>
        <w:left w:val="none" w:sz="0" w:space="0" w:color="auto"/>
        <w:bottom w:val="none" w:sz="0" w:space="0" w:color="auto"/>
        <w:right w:val="none" w:sz="0" w:space="0" w:color="auto"/>
      </w:divBdr>
    </w:div>
    <w:div w:id="746225056">
      <w:bodyDiv w:val="1"/>
      <w:marLeft w:val="0"/>
      <w:marRight w:val="0"/>
      <w:marTop w:val="0"/>
      <w:marBottom w:val="0"/>
      <w:divBdr>
        <w:top w:val="none" w:sz="0" w:space="0" w:color="auto"/>
        <w:left w:val="none" w:sz="0" w:space="0" w:color="auto"/>
        <w:bottom w:val="none" w:sz="0" w:space="0" w:color="auto"/>
        <w:right w:val="none" w:sz="0" w:space="0" w:color="auto"/>
      </w:divBdr>
    </w:div>
    <w:div w:id="812061630">
      <w:bodyDiv w:val="1"/>
      <w:marLeft w:val="0"/>
      <w:marRight w:val="0"/>
      <w:marTop w:val="0"/>
      <w:marBottom w:val="0"/>
      <w:divBdr>
        <w:top w:val="none" w:sz="0" w:space="0" w:color="auto"/>
        <w:left w:val="none" w:sz="0" w:space="0" w:color="auto"/>
        <w:bottom w:val="none" w:sz="0" w:space="0" w:color="auto"/>
        <w:right w:val="none" w:sz="0" w:space="0" w:color="auto"/>
      </w:divBdr>
    </w:div>
    <w:div w:id="893393848">
      <w:bodyDiv w:val="1"/>
      <w:marLeft w:val="0"/>
      <w:marRight w:val="0"/>
      <w:marTop w:val="0"/>
      <w:marBottom w:val="0"/>
      <w:divBdr>
        <w:top w:val="none" w:sz="0" w:space="0" w:color="auto"/>
        <w:left w:val="none" w:sz="0" w:space="0" w:color="auto"/>
        <w:bottom w:val="none" w:sz="0" w:space="0" w:color="auto"/>
        <w:right w:val="none" w:sz="0" w:space="0" w:color="auto"/>
      </w:divBdr>
    </w:div>
    <w:div w:id="1058088161">
      <w:bodyDiv w:val="1"/>
      <w:marLeft w:val="0"/>
      <w:marRight w:val="0"/>
      <w:marTop w:val="0"/>
      <w:marBottom w:val="0"/>
      <w:divBdr>
        <w:top w:val="none" w:sz="0" w:space="0" w:color="auto"/>
        <w:left w:val="none" w:sz="0" w:space="0" w:color="auto"/>
        <w:bottom w:val="none" w:sz="0" w:space="0" w:color="auto"/>
        <w:right w:val="none" w:sz="0" w:space="0" w:color="auto"/>
      </w:divBdr>
    </w:div>
    <w:div w:id="1089347034">
      <w:bodyDiv w:val="1"/>
      <w:marLeft w:val="0"/>
      <w:marRight w:val="0"/>
      <w:marTop w:val="0"/>
      <w:marBottom w:val="0"/>
      <w:divBdr>
        <w:top w:val="none" w:sz="0" w:space="0" w:color="auto"/>
        <w:left w:val="none" w:sz="0" w:space="0" w:color="auto"/>
        <w:bottom w:val="none" w:sz="0" w:space="0" w:color="auto"/>
        <w:right w:val="none" w:sz="0" w:space="0" w:color="auto"/>
      </w:divBdr>
    </w:div>
    <w:div w:id="1172834052">
      <w:bodyDiv w:val="1"/>
      <w:marLeft w:val="0"/>
      <w:marRight w:val="0"/>
      <w:marTop w:val="0"/>
      <w:marBottom w:val="0"/>
      <w:divBdr>
        <w:top w:val="none" w:sz="0" w:space="0" w:color="auto"/>
        <w:left w:val="none" w:sz="0" w:space="0" w:color="auto"/>
        <w:bottom w:val="none" w:sz="0" w:space="0" w:color="auto"/>
        <w:right w:val="none" w:sz="0" w:space="0" w:color="auto"/>
      </w:divBdr>
    </w:div>
    <w:div w:id="1199708378">
      <w:bodyDiv w:val="1"/>
      <w:marLeft w:val="0"/>
      <w:marRight w:val="0"/>
      <w:marTop w:val="0"/>
      <w:marBottom w:val="0"/>
      <w:divBdr>
        <w:top w:val="none" w:sz="0" w:space="0" w:color="auto"/>
        <w:left w:val="none" w:sz="0" w:space="0" w:color="auto"/>
        <w:bottom w:val="none" w:sz="0" w:space="0" w:color="auto"/>
        <w:right w:val="none" w:sz="0" w:space="0" w:color="auto"/>
      </w:divBdr>
    </w:div>
    <w:div w:id="1216426164">
      <w:bodyDiv w:val="1"/>
      <w:marLeft w:val="0"/>
      <w:marRight w:val="0"/>
      <w:marTop w:val="0"/>
      <w:marBottom w:val="0"/>
      <w:divBdr>
        <w:top w:val="none" w:sz="0" w:space="0" w:color="auto"/>
        <w:left w:val="none" w:sz="0" w:space="0" w:color="auto"/>
        <w:bottom w:val="none" w:sz="0" w:space="0" w:color="auto"/>
        <w:right w:val="none" w:sz="0" w:space="0" w:color="auto"/>
      </w:divBdr>
    </w:div>
    <w:div w:id="1407264447">
      <w:bodyDiv w:val="1"/>
      <w:marLeft w:val="0"/>
      <w:marRight w:val="0"/>
      <w:marTop w:val="0"/>
      <w:marBottom w:val="0"/>
      <w:divBdr>
        <w:top w:val="none" w:sz="0" w:space="0" w:color="auto"/>
        <w:left w:val="none" w:sz="0" w:space="0" w:color="auto"/>
        <w:bottom w:val="none" w:sz="0" w:space="0" w:color="auto"/>
        <w:right w:val="none" w:sz="0" w:space="0" w:color="auto"/>
      </w:divBdr>
    </w:div>
    <w:div w:id="1554121983">
      <w:bodyDiv w:val="1"/>
      <w:marLeft w:val="0"/>
      <w:marRight w:val="0"/>
      <w:marTop w:val="0"/>
      <w:marBottom w:val="0"/>
      <w:divBdr>
        <w:top w:val="none" w:sz="0" w:space="0" w:color="auto"/>
        <w:left w:val="none" w:sz="0" w:space="0" w:color="auto"/>
        <w:bottom w:val="none" w:sz="0" w:space="0" w:color="auto"/>
        <w:right w:val="none" w:sz="0" w:space="0" w:color="auto"/>
      </w:divBdr>
    </w:div>
    <w:div w:id="1618172184">
      <w:bodyDiv w:val="1"/>
      <w:marLeft w:val="0"/>
      <w:marRight w:val="0"/>
      <w:marTop w:val="0"/>
      <w:marBottom w:val="0"/>
      <w:divBdr>
        <w:top w:val="none" w:sz="0" w:space="0" w:color="auto"/>
        <w:left w:val="none" w:sz="0" w:space="0" w:color="auto"/>
        <w:bottom w:val="none" w:sz="0" w:space="0" w:color="auto"/>
        <w:right w:val="none" w:sz="0" w:space="0" w:color="auto"/>
      </w:divBdr>
      <w:divsChild>
        <w:div w:id="1423838498">
          <w:marLeft w:val="0"/>
          <w:marRight w:val="0"/>
          <w:marTop w:val="0"/>
          <w:marBottom w:val="150"/>
          <w:divBdr>
            <w:top w:val="none" w:sz="0" w:space="0" w:color="auto"/>
            <w:left w:val="none" w:sz="0" w:space="0" w:color="auto"/>
            <w:bottom w:val="none" w:sz="0" w:space="0" w:color="auto"/>
            <w:right w:val="none" w:sz="0" w:space="0" w:color="auto"/>
          </w:divBdr>
        </w:div>
      </w:divsChild>
    </w:div>
    <w:div w:id="1653023506">
      <w:bodyDiv w:val="1"/>
      <w:marLeft w:val="0"/>
      <w:marRight w:val="0"/>
      <w:marTop w:val="0"/>
      <w:marBottom w:val="0"/>
      <w:divBdr>
        <w:top w:val="none" w:sz="0" w:space="0" w:color="auto"/>
        <w:left w:val="none" w:sz="0" w:space="0" w:color="auto"/>
        <w:bottom w:val="none" w:sz="0" w:space="0" w:color="auto"/>
        <w:right w:val="none" w:sz="0" w:space="0" w:color="auto"/>
      </w:divBdr>
    </w:div>
    <w:div w:id="1754013806">
      <w:bodyDiv w:val="1"/>
      <w:marLeft w:val="0"/>
      <w:marRight w:val="0"/>
      <w:marTop w:val="0"/>
      <w:marBottom w:val="0"/>
      <w:divBdr>
        <w:top w:val="none" w:sz="0" w:space="0" w:color="auto"/>
        <w:left w:val="none" w:sz="0" w:space="0" w:color="auto"/>
        <w:bottom w:val="none" w:sz="0" w:space="0" w:color="auto"/>
        <w:right w:val="none" w:sz="0" w:space="0" w:color="auto"/>
      </w:divBdr>
    </w:div>
    <w:div w:id="1765347048">
      <w:bodyDiv w:val="1"/>
      <w:marLeft w:val="0"/>
      <w:marRight w:val="0"/>
      <w:marTop w:val="0"/>
      <w:marBottom w:val="0"/>
      <w:divBdr>
        <w:top w:val="none" w:sz="0" w:space="0" w:color="auto"/>
        <w:left w:val="none" w:sz="0" w:space="0" w:color="auto"/>
        <w:bottom w:val="none" w:sz="0" w:space="0" w:color="auto"/>
        <w:right w:val="none" w:sz="0" w:space="0" w:color="auto"/>
      </w:divBdr>
    </w:div>
    <w:div w:id="192028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orgv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1225-20" TargetMode="External"/><Relationship Id="rId5" Type="http://schemas.openxmlformats.org/officeDocument/2006/relationships/hyperlink" Target="https://zakon.rada.gov.ua/laws/show/z1225-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10303</Words>
  <Characters>5873</Characters>
  <Application>Microsoft Office Word</Application>
  <DocSecurity>0</DocSecurity>
  <Lines>48</Lines>
  <Paragraphs>32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Kernychna A.</dc:creator>
  <cp:keywords/>
  <dc:description/>
  <cp:lastModifiedBy>Kernychna A.</cp:lastModifiedBy>
  <cp:revision>2</cp:revision>
  <cp:lastPrinted>2021-03-25T14:30:00Z</cp:lastPrinted>
  <dcterms:created xsi:type="dcterms:W3CDTF">2021-07-01T13:53:00Z</dcterms:created>
  <dcterms:modified xsi:type="dcterms:W3CDTF">2021-07-01T13:53:00Z</dcterms:modified>
</cp:coreProperties>
</file>