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84" w:rsidRPr="005C5184" w:rsidRDefault="005C5184" w:rsidP="005C5184">
      <w:pPr>
        <w:spacing w:after="0"/>
        <w:jc w:val="center"/>
        <w:rPr>
          <w:rFonts w:ascii="Times New Roman" w:hAnsi="Times New Roman"/>
          <w:lang w:val="uk-UA"/>
        </w:rPr>
      </w:pPr>
      <w:r w:rsidRPr="005C5184">
        <w:rPr>
          <w:rFonts w:ascii="Times New Roman" w:hAnsi="Times New Roman"/>
          <w:lang w:val="uk-UA"/>
        </w:rPr>
        <w:t xml:space="preserve">Порівняльна таблиця </w:t>
      </w:r>
      <w:proofErr w:type="spellStart"/>
      <w:r w:rsidRPr="005C5184">
        <w:rPr>
          <w:rFonts w:ascii="Times New Roman" w:hAnsi="Times New Roman"/>
          <w:lang w:val="uk-UA"/>
        </w:rPr>
        <w:t>проєкту</w:t>
      </w:r>
      <w:proofErr w:type="spellEnd"/>
      <w:r w:rsidRPr="005C5184">
        <w:rPr>
          <w:rFonts w:ascii="Times New Roman" w:hAnsi="Times New Roman"/>
          <w:lang w:val="uk-UA"/>
        </w:rPr>
        <w:t xml:space="preserve"> наказу Міністерства освіти і наука України</w:t>
      </w:r>
    </w:p>
    <w:p w:rsidR="005C5184" w:rsidRPr="005C5184" w:rsidRDefault="005C5184" w:rsidP="005C5184">
      <w:pPr>
        <w:spacing w:after="0"/>
        <w:jc w:val="center"/>
        <w:rPr>
          <w:rFonts w:ascii="Times New Roman" w:hAnsi="Times New Roman"/>
          <w:lang w:val="uk-UA"/>
        </w:rPr>
      </w:pPr>
      <w:r w:rsidRPr="005C5184">
        <w:rPr>
          <w:rFonts w:ascii="Times New Roman" w:hAnsi="Times New Roman"/>
          <w:lang w:val="uk-UA"/>
        </w:rPr>
        <w:t>«Про затвердження змін до наказу Міністерства освіти і науки України від 15 жовтня 2020 року № 1274»</w:t>
      </w:r>
    </w:p>
    <w:p w:rsidR="005C5184" w:rsidRPr="005C5184" w:rsidRDefault="005C5184" w:rsidP="005C5184">
      <w:pPr>
        <w:spacing w:after="0"/>
        <w:rPr>
          <w:lang w:val="uk-UA"/>
        </w:rPr>
      </w:pPr>
    </w:p>
    <w:tbl>
      <w:tblPr>
        <w:tblStyle w:val="a4"/>
        <w:tblW w:w="14536" w:type="dxa"/>
        <w:tblInd w:w="-431" w:type="dxa"/>
        <w:tblLook w:val="04A0" w:firstRow="1" w:lastRow="0" w:firstColumn="1" w:lastColumn="0" w:noHBand="0" w:noVBand="1"/>
      </w:tblPr>
      <w:tblGrid>
        <w:gridCol w:w="6805"/>
        <w:gridCol w:w="6237"/>
        <w:gridCol w:w="1494"/>
      </w:tblGrid>
      <w:tr w:rsidR="00BF544D" w:rsidRPr="005C5184" w:rsidTr="00BF544D">
        <w:tc>
          <w:tcPr>
            <w:tcW w:w="6805" w:type="dxa"/>
          </w:tcPr>
          <w:p w:rsidR="00BF544D" w:rsidRPr="005C5184" w:rsidRDefault="00BF544D" w:rsidP="005C5184">
            <w:pPr>
              <w:shd w:val="clear" w:color="auto" w:fill="FFFFFF"/>
              <w:tabs>
                <w:tab w:val="left" w:pos="1134"/>
              </w:tabs>
              <w:jc w:val="center"/>
              <w:rPr>
                <w:rFonts w:ascii="Times New Roman" w:eastAsia="Times New Roman" w:hAnsi="Times New Roman"/>
                <w:bCs/>
                <w:color w:val="000000"/>
                <w:sz w:val="24"/>
                <w:szCs w:val="24"/>
                <w:lang w:val="uk-UA" w:eastAsia="uk-UA"/>
              </w:rPr>
            </w:pPr>
            <w:r w:rsidRPr="005C5184">
              <w:rPr>
                <w:rFonts w:ascii="Times New Roman" w:eastAsia="Times New Roman" w:hAnsi="Times New Roman"/>
                <w:bCs/>
                <w:color w:val="000000"/>
                <w:sz w:val="24"/>
                <w:szCs w:val="24"/>
                <w:lang w:val="uk-UA" w:eastAsia="uk-UA"/>
              </w:rPr>
              <w:t xml:space="preserve">Чинна редакція </w:t>
            </w:r>
            <w:proofErr w:type="spellStart"/>
            <w:r w:rsidRPr="005C5184">
              <w:rPr>
                <w:rFonts w:ascii="Times New Roman" w:eastAsia="Times New Roman" w:hAnsi="Times New Roman"/>
                <w:bCs/>
                <w:color w:val="000000"/>
                <w:sz w:val="24"/>
                <w:szCs w:val="24"/>
                <w:lang w:val="uk-UA" w:eastAsia="uk-UA"/>
              </w:rPr>
              <w:t>проєкту</w:t>
            </w:r>
            <w:proofErr w:type="spellEnd"/>
            <w:r w:rsidRPr="005C5184">
              <w:rPr>
                <w:rFonts w:ascii="Times New Roman" w:eastAsia="Times New Roman" w:hAnsi="Times New Roman"/>
                <w:bCs/>
                <w:color w:val="000000"/>
                <w:sz w:val="24"/>
                <w:szCs w:val="24"/>
                <w:lang w:val="uk-UA" w:eastAsia="uk-UA"/>
              </w:rPr>
              <w:t xml:space="preserve"> наказу</w:t>
            </w:r>
          </w:p>
        </w:tc>
        <w:tc>
          <w:tcPr>
            <w:tcW w:w="6237" w:type="dxa"/>
          </w:tcPr>
          <w:p w:rsidR="00BF544D" w:rsidRPr="005C5184" w:rsidRDefault="00BF544D" w:rsidP="005C5184">
            <w:pPr>
              <w:shd w:val="clear" w:color="auto" w:fill="FFFFFF"/>
              <w:tabs>
                <w:tab w:val="left" w:pos="1134"/>
              </w:tabs>
              <w:jc w:val="center"/>
              <w:rPr>
                <w:rFonts w:ascii="Times New Roman" w:eastAsia="Times New Roman" w:hAnsi="Times New Roman"/>
                <w:bCs/>
                <w:color w:val="000000"/>
                <w:sz w:val="24"/>
                <w:szCs w:val="24"/>
                <w:lang w:val="uk-UA" w:eastAsia="uk-UA"/>
              </w:rPr>
            </w:pPr>
            <w:r w:rsidRPr="005C5184">
              <w:rPr>
                <w:rFonts w:ascii="Times New Roman" w:eastAsia="Times New Roman" w:hAnsi="Times New Roman"/>
                <w:bCs/>
                <w:color w:val="000000"/>
                <w:sz w:val="24"/>
                <w:szCs w:val="24"/>
                <w:lang w:val="uk-UA" w:eastAsia="uk-UA"/>
              </w:rPr>
              <w:t xml:space="preserve">Пропонована редакція </w:t>
            </w:r>
            <w:proofErr w:type="spellStart"/>
            <w:r w:rsidRPr="005C5184">
              <w:rPr>
                <w:rFonts w:ascii="Times New Roman" w:eastAsia="Times New Roman" w:hAnsi="Times New Roman"/>
                <w:bCs/>
                <w:color w:val="000000"/>
                <w:sz w:val="24"/>
                <w:szCs w:val="24"/>
                <w:lang w:val="uk-UA" w:eastAsia="uk-UA"/>
              </w:rPr>
              <w:t>проєкту</w:t>
            </w:r>
            <w:proofErr w:type="spellEnd"/>
            <w:r w:rsidRPr="005C5184">
              <w:rPr>
                <w:rFonts w:ascii="Times New Roman" w:eastAsia="Times New Roman" w:hAnsi="Times New Roman"/>
                <w:bCs/>
                <w:color w:val="000000"/>
                <w:sz w:val="24"/>
                <w:szCs w:val="24"/>
                <w:lang w:val="uk-UA" w:eastAsia="uk-UA"/>
              </w:rPr>
              <w:t xml:space="preserve"> наказу</w:t>
            </w:r>
          </w:p>
        </w:tc>
        <w:tc>
          <w:tcPr>
            <w:tcW w:w="1494" w:type="dxa"/>
          </w:tcPr>
          <w:p w:rsidR="00BF544D" w:rsidRPr="005C5184" w:rsidRDefault="00BF544D" w:rsidP="005C5184">
            <w:pPr>
              <w:shd w:val="clear" w:color="auto" w:fill="FFFFFF"/>
              <w:tabs>
                <w:tab w:val="left" w:pos="1134"/>
              </w:tabs>
              <w:jc w:val="center"/>
              <w:rPr>
                <w:rFonts w:ascii="Times New Roman" w:eastAsia="Times New Roman" w:hAnsi="Times New Roman"/>
                <w:bCs/>
                <w:color w:val="000000"/>
                <w:sz w:val="24"/>
                <w:szCs w:val="24"/>
                <w:lang w:val="uk-UA" w:eastAsia="uk-UA"/>
              </w:rPr>
            </w:pPr>
            <w:r w:rsidRPr="005C5184">
              <w:rPr>
                <w:rFonts w:ascii="Times New Roman" w:eastAsia="Times New Roman" w:hAnsi="Times New Roman"/>
                <w:bCs/>
                <w:color w:val="000000"/>
                <w:sz w:val="24"/>
                <w:szCs w:val="24"/>
                <w:lang w:val="uk-UA" w:eastAsia="uk-UA"/>
              </w:rPr>
              <w:t>Автор</w:t>
            </w:r>
          </w:p>
        </w:tc>
      </w:tr>
      <w:tr w:rsidR="00BF544D" w:rsidRPr="005C5184" w:rsidTr="00BF544D">
        <w:tc>
          <w:tcPr>
            <w:tcW w:w="6805" w:type="dxa"/>
          </w:tcPr>
          <w:p w:rsidR="00BF544D" w:rsidRPr="005C5184" w:rsidRDefault="00BF544D" w:rsidP="005C5184">
            <w:pPr>
              <w:shd w:val="clear" w:color="auto" w:fill="FFFFFF"/>
              <w:tabs>
                <w:tab w:val="left" w:pos="1134"/>
              </w:tabs>
              <w:jc w:val="center"/>
              <w:rPr>
                <w:rFonts w:ascii="Times New Roman" w:eastAsia="Times New Roman" w:hAnsi="Times New Roman"/>
                <w:b/>
                <w:bCs/>
                <w:color w:val="000000"/>
                <w:sz w:val="24"/>
                <w:szCs w:val="24"/>
                <w:lang w:val="uk-UA" w:eastAsia="uk-UA"/>
              </w:rPr>
            </w:pPr>
            <w:r w:rsidRPr="005C5184">
              <w:rPr>
                <w:rFonts w:ascii="Times New Roman" w:eastAsia="Times New Roman" w:hAnsi="Times New Roman"/>
                <w:b/>
                <w:bCs/>
                <w:color w:val="000000"/>
                <w:sz w:val="24"/>
                <w:szCs w:val="24"/>
                <w:lang w:val="uk-UA" w:eastAsia="uk-UA"/>
              </w:rPr>
              <w:t>ЗМІНИ</w:t>
            </w:r>
          </w:p>
        </w:tc>
        <w:tc>
          <w:tcPr>
            <w:tcW w:w="6237" w:type="dxa"/>
          </w:tcPr>
          <w:p w:rsidR="00BF544D" w:rsidRPr="005C5184" w:rsidRDefault="00BF544D" w:rsidP="005C5184">
            <w:pPr>
              <w:shd w:val="clear" w:color="auto" w:fill="FFFFFF"/>
              <w:tabs>
                <w:tab w:val="left" w:pos="1134"/>
              </w:tabs>
              <w:jc w:val="center"/>
              <w:rPr>
                <w:rFonts w:ascii="Times New Roman" w:eastAsia="Times New Roman" w:hAnsi="Times New Roman"/>
                <w:b/>
                <w:bCs/>
                <w:color w:val="000000"/>
                <w:sz w:val="24"/>
                <w:szCs w:val="24"/>
                <w:lang w:val="uk-UA" w:eastAsia="uk-UA"/>
              </w:rPr>
            </w:pPr>
          </w:p>
        </w:tc>
        <w:tc>
          <w:tcPr>
            <w:tcW w:w="1494" w:type="dxa"/>
          </w:tcPr>
          <w:p w:rsidR="00BF544D" w:rsidRPr="005C5184" w:rsidRDefault="00BF544D" w:rsidP="005C5184">
            <w:pPr>
              <w:shd w:val="clear" w:color="auto" w:fill="FFFFFF"/>
              <w:tabs>
                <w:tab w:val="left" w:pos="1134"/>
              </w:tabs>
              <w:jc w:val="center"/>
              <w:rPr>
                <w:rFonts w:ascii="Times New Roman" w:eastAsia="Times New Roman" w:hAnsi="Times New Roman"/>
                <w:b/>
                <w:bCs/>
                <w:color w:val="000000"/>
                <w:sz w:val="24"/>
                <w:szCs w:val="24"/>
                <w:lang w:val="uk-UA" w:eastAsia="uk-UA"/>
              </w:rPr>
            </w:pPr>
          </w:p>
        </w:tc>
      </w:tr>
      <w:tr w:rsidR="00BF544D" w:rsidRPr="005C5184" w:rsidTr="00BF544D">
        <w:tc>
          <w:tcPr>
            <w:tcW w:w="6805" w:type="dxa"/>
          </w:tcPr>
          <w:p w:rsidR="00BF544D" w:rsidRPr="005C5184" w:rsidRDefault="00BF544D" w:rsidP="005C5184">
            <w:pPr>
              <w:shd w:val="clear" w:color="auto" w:fill="FFFFFF"/>
              <w:tabs>
                <w:tab w:val="left" w:pos="1134"/>
              </w:tabs>
              <w:jc w:val="center"/>
              <w:rPr>
                <w:rFonts w:ascii="Times New Roman" w:eastAsia="Times New Roman" w:hAnsi="Times New Roman"/>
                <w:b/>
                <w:bCs/>
                <w:color w:val="000000"/>
                <w:sz w:val="24"/>
                <w:szCs w:val="24"/>
                <w:lang w:val="uk-UA" w:eastAsia="uk-UA"/>
              </w:rPr>
            </w:pPr>
            <w:r w:rsidRPr="005C5184">
              <w:rPr>
                <w:rFonts w:ascii="Times New Roman" w:eastAsia="Times New Roman" w:hAnsi="Times New Roman"/>
                <w:b/>
                <w:bCs/>
                <w:color w:val="000000"/>
                <w:sz w:val="24"/>
                <w:szCs w:val="24"/>
                <w:lang w:val="uk-UA" w:eastAsia="uk-UA"/>
              </w:rPr>
              <w:t xml:space="preserve">до </w:t>
            </w:r>
            <w:bookmarkStart w:id="0" w:name="n15"/>
            <w:bookmarkEnd w:id="0"/>
            <w:r w:rsidRPr="005C5184">
              <w:rPr>
                <w:rFonts w:ascii="Times New Roman" w:eastAsia="Times New Roman" w:hAnsi="Times New Roman"/>
                <w:b/>
                <w:bCs/>
                <w:color w:val="000000"/>
                <w:sz w:val="24"/>
                <w:szCs w:val="24"/>
                <w:lang w:val="uk-UA" w:eastAsia="uk-UA"/>
              </w:rPr>
              <w:t xml:space="preserve">Умов прийому для здобуття вищої освіти в 2021 році </w:t>
            </w:r>
          </w:p>
        </w:tc>
        <w:tc>
          <w:tcPr>
            <w:tcW w:w="6237" w:type="dxa"/>
          </w:tcPr>
          <w:p w:rsidR="00BF544D" w:rsidRPr="005C5184" w:rsidRDefault="00BF544D" w:rsidP="005C5184">
            <w:pPr>
              <w:shd w:val="clear" w:color="auto" w:fill="FFFFFF"/>
              <w:tabs>
                <w:tab w:val="left" w:pos="1134"/>
              </w:tabs>
              <w:jc w:val="center"/>
              <w:rPr>
                <w:rFonts w:ascii="Times New Roman" w:eastAsia="Times New Roman" w:hAnsi="Times New Roman"/>
                <w:b/>
                <w:bCs/>
                <w:color w:val="000000"/>
                <w:sz w:val="24"/>
                <w:szCs w:val="24"/>
                <w:lang w:val="uk-UA" w:eastAsia="uk-UA"/>
              </w:rPr>
            </w:pPr>
          </w:p>
        </w:tc>
        <w:tc>
          <w:tcPr>
            <w:tcW w:w="1494" w:type="dxa"/>
          </w:tcPr>
          <w:p w:rsidR="00BF544D" w:rsidRPr="005C5184" w:rsidRDefault="00BF544D" w:rsidP="005C5184">
            <w:pPr>
              <w:shd w:val="clear" w:color="auto" w:fill="FFFFFF"/>
              <w:tabs>
                <w:tab w:val="left" w:pos="1134"/>
              </w:tabs>
              <w:jc w:val="center"/>
              <w:rPr>
                <w:rFonts w:ascii="Times New Roman" w:eastAsia="Times New Roman" w:hAnsi="Times New Roman"/>
                <w:b/>
                <w:bCs/>
                <w:color w:val="000000"/>
                <w:sz w:val="24"/>
                <w:szCs w:val="24"/>
                <w:lang w:val="uk-UA" w:eastAsia="uk-UA"/>
              </w:rPr>
            </w:pPr>
          </w:p>
        </w:tc>
      </w:tr>
      <w:tr w:rsidR="00BF544D" w:rsidRPr="005C5184" w:rsidTr="00BF544D">
        <w:tc>
          <w:tcPr>
            <w:tcW w:w="6805" w:type="dxa"/>
          </w:tcPr>
          <w:p w:rsidR="00BF544D" w:rsidRPr="005C5184" w:rsidRDefault="00BF544D" w:rsidP="005C5184">
            <w:pPr>
              <w:shd w:val="clear" w:color="auto" w:fill="FFFFFF"/>
              <w:tabs>
                <w:tab w:val="left" w:pos="1134"/>
              </w:tabs>
              <w:jc w:val="center"/>
              <w:rPr>
                <w:rFonts w:ascii="Times New Roman" w:eastAsia="Times New Roman" w:hAnsi="Times New Roman"/>
                <w:bCs/>
                <w:color w:val="000000"/>
                <w:sz w:val="24"/>
                <w:szCs w:val="24"/>
                <w:lang w:val="uk-UA" w:eastAsia="uk-UA"/>
              </w:rPr>
            </w:pPr>
          </w:p>
        </w:tc>
        <w:tc>
          <w:tcPr>
            <w:tcW w:w="6237" w:type="dxa"/>
          </w:tcPr>
          <w:p w:rsidR="00BF544D" w:rsidRPr="005C5184" w:rsidRDefault="00BF544D" w:rsidP="005C5184">
            <w:pPr>
              <w:shd w:val="clear" w:color="auto" w:fill="FFFFFF"/>
              <w:tabs>
                <w:tab w:val="left" w:pos="1134"/>
              </w:tabs>
              <w:jc w:val="center"/>
              <w:rPr>
                <w:rFonts w:ascii="Times New Roman" w:eastAsia="Times New Roman" w:hAnsi="Times New Roman"/>
                <w:bCs/>
                <w:color w:val="000000"/>
                <w:sz w:val="24"/>
                <w:szCs w:val="24"/>
                <w:lang w:val="uk-UA" w:eastAsia="uk-UA"/>
              </w:rPr>
            </w:pPr>
          </w:p>
        </w:tc>
        <w:tc>
          <w:tcPr>
            <w:tcW w:w="1494" w:type="dxa"/>
          </w:tcPr>
          <w:p w:rsidR="00BF544D" w:rsidRPr="005C5184" w:rsidRDefault="00BF544D" w:rsidP="005C5184">
            <w:pPr>
              <w:shd w:val="clear" w:color="auto" w:fill="FFFFFF"/>
              <w:tabs>
                <w:tab w:val="left" w:pos="1134"/>
              </w:tabs>
              <w:jc w:val="center"/>
              <w:rPr>
                <w:rFonts w:ascii="Times New Roman" w:eastAsia="Times New Roman" w:hAnsi="Times New Roman"/>
                <w:bCs/>
                <w:color w:val="000000"/>
                <w:sz w:val="24"/>
                <w:szCs w:val="24"/>
                <w:lang w:val="uk-UA" w:eastAsia="uk-UA"/>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1134"/>
                <w:tab w:val="left" w:pos="1276"/>
              </w:tabs>
              <w:spacing w:before="0" w:beforeAutospacing="0" w:after="0" w:afterAutospacing="0"/>
              <w:jc w:val="both"/>
              <w:rPr>
                <w:color w:val="000000"/>
              </w:rPr>
            </w:pPr>
            <w:r w:rsidRPr="005C5184">
              <w:rPr>
                <w:color w:val="000000"/>
              </w:rPr>
              <w:t xml:space="preserve"> Абзац чотирнадцятий пункту 5 розділу І викласти в такій редакції:</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 xml:space="preserve">«квота-2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у закладах 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фахової </w:t>
            </w:r>
            <w:proofErr w:type="spellStart"/>
            <w:r w:rsidRPr="005C5184">
              <w:rPr>
                <w:color w:val="000000"/>
              </w:rPr>
              <w:t>передвищої</w:t>
            </w:r>
            <w:proofErr w:type="spellEnd"/>
            <w:r w:rsidRPr="005C5184">
              <w:rPr>
                <w:color w:val="000000"/>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 271, зареєстрованого в Міністерстві юстиції України __ ______ 2021 року за № __________ (далі – наказ № 271);»</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bookmarkStart w:id="1" w:name="_GoBack"/>
            <w:bookmarkEnd w:id="1"/>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t xml:space="preserve"> Пункт 4 розділу ІІ викласти в такій редакції: </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«4. Особливості прийому на навчання до закладів вищої освіти осіб, місцем проживання яких є тимчасово окупована територія Автономної Республіки Крим та міста Севастополя, тимчасово окупована територія окремих районів Донецької та Луганської областей, територія населених пунктів на лінії зіткнення або які переселилися з неї після 01 січня 2021 року, визначаються наказом № 271.».</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У зв’язку з цим пункти 6 та 7 вважати пунктами 5 та 6 відповідно.</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lastRenderedPageBreak/>
              <w:t>У розділі ІІІ:</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в абзаці другому пункту 1 після слів «місцевих бюджетів у державних та» доповнити словами «приватних закладах вищої освіти,»;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абзац перший пункту 2 викласти в такій редакції:</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державних і комунальних закладах вищої освіти, а також за відкритими конкурсними пропозиціями у приватних закладах вищої освіти, які дотримуються законодавства про індикативну собівартість, про формування та розміщення державного замовлення та за умови виконання такими закладами вимог до розміщення державного замовлення, визначених цими Умовами.»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t>У розділі VI:</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2"/>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t>у пункті 1</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в абзаці четвертому після слова «співбесідою,» слова «наказом № 560 або наказом № 697 відповідно до цих Умов» замінити словами «наказом № 271 відповідно до цих Умов»;</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в абзаці тринадцятому після слова «співбесідою,» слова «наказом № 560 або наказом № 697» замінити словами «наказом № 271»;</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в абзаці п’ятнадцятому слово «(закритих)» виключити.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2"/>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t>в абзаці шостому пункту 5 після слів «особливостей, передбачених» слова «наказами № 560, № 697 відповідно» замінити словами «наказом № 271».</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t>У розділі VIII:</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3"/>
              </w:numPr>
              <w:shd w:val="clear" w:color="auto" w:fill="FFFFFF"/>
              <w:tabs>
                <w:tab w:val="left" w:pos="1134"/>
                <w:tab w:val="left" w:pos="1276"/>
              </w:tabs>
              <w:spacing w:before="0" w:beforeAutospacing="0" w:after="0" w:afterAutospacing="0"/>
              <w:jc w:val="both"/>
              <w:rPr>
                <w:color w:val="000000"/>
              </w:rPr>
            </w:pPr>
            <w:r w:rsidRPr="005C5184">
              <w:rPr>
                <w:color w:val="000000"/>
              </w:rPr>
              <w:t>в абзаці третьому пункту 4 слово «(закриту)» виключити;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3"/>
              </w:numPr>
              <w:shd w:val="clear" w:color="auto" w:fill="FFFFFF"/>
              <w:tabs>
                <w:tab w:val="left" w:pos="1134"/>
                <w:tab w:val="left" w:pos="1276"/>
              </w:tabs>
              <w:spacing w:before="0" w:beforeAutospacing="0" w:after="0" w:afterAutospacing="0"/>
              <w:jc w:val="both"/>
              <w:rPr>
                <w:color w:val="000000"/>
              </w:rPr>
            </w:pPr>
            <w:r w:rsidRPr="005C5184">
              <w:rPr>
                <w:color w:val="000000"/>
              </w:rPr>
              <w:t>в абзаці третьому пункту 5 слово «(закриту)» виключити;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3"/>
              </w:numPr>
              <w:shd w:val="clear" w:color="auto" w:fill="FFFFFF"/>
              <w:tabs>
                <w:tab w:val="left" w:pos="709"/>
                <w:tab w:val="left" w:pos="1276"/>
              </w:tabs>
              <w:spacing w:before="0" w:beforeAutospacing="0" w:after="0" w:afterAutospacing="0"/>
              <w:ind w:left="0" w:firstLine="709"/>
              <w:jc w:val="both"/>
              <w:rPr>
                <w:color w:val="000000"/>
              </w:rPr>
            </w:pPr>
            <w:r w:rsidRPr="005C5184">
              <w:rPr>
                <w:color w:val="000000"/>
              </w:rPr>
              <w:lastRenderedPageBreak/>
              <w:t>в абзаці першому пункту 6 після слів «визначених відповідно до» слова «наказу № 560 або наказу № 697,» замінити словами «наказу № 271,»;</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3"/>
              </w:numPr>
              <w:shd w:val="clear" w:color="auto" w:fill="FFFFFF"/>
              <w:tabs>
                <w:tab w:val="left" w:pos="709"/>
                <w:tab w:val="left" w:pos="1276"/>
              </w:tabs>
              <w:spacing w:before="0" w:beforeAutospacing="0" w:after="0" w:afterAutospacing="0"/>
              <w:ind w:left="0" w:firstLine="709"/>
              <w:jc w:val="both"/>
              <w:rPr>
                <w:color w:val="000000"/>
              </w:rPr>
            </w:pPr>
            <w:r w:rsidRPr="005C5184">
              <w:rPr>
                <w:color w:val="000000"/>
              </w:rPr>
              <w:t>в абзаці першому пункту 14 слово «(закриту)» виключити;</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3"/>
              </w:numPr>
              <w:shd w:val="clear" w:color="auto" w:fill="FFFFFF"/>
              <w:tabs>
                <w:tab w:val="left" w:pos="709"/>
                <w:tab w:val="left" w:pos="1276"/>
              </w:tabs>
              <w:spacing w:before="0" w:beforeAutospacing="0" w:after="0" w:afterAutospacing="0"/>
              <w:ind w:left="0" w:firstLine="709"/>
              <w:jc w:val="both"/>
              <w:rPr>
                <w:color w:val="000000"/>
              </w:rPr>
            </w:pPr>
            <w:r w:rsidRPr="005C5184">
              <w:rPr>
                <w:color w:val="000000"/>
              </w:rPr>
              <w:t>у пункті 18 слово «(закриту)» виключити.</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709"/>
                <w:tab w:val="left" w:pos="1276"/>
              </w:tabs>
              <w:spacing w:before="0" w:beforeAutospacing="0" w:after="0" w:afterAutospacing="0"/>
              <w:ind w:left="0" w:firstLine="709"/>
              <w:jc w:val="both"/>
              <w:rPr>
                <w:color w:val="000000"/>
              </w:rPr>
            </w:pPr>
            <w:r w:rsidRPr="005C5184">
              <w:rPr>
                <w:color w:val="000000"/>
              </w:rPr>
              <w:t xml:space="preserve"> Абзац четвертий пункту 1 розділу Х викласти в такій редакції: </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r w:rsidRPr="005C5184">
              <w:rPr>
                <w:color w:val="000000"/>
              </w:rPr>
              <w:t>«надсилання їх сканованих копій,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709"/>
                <w:tab w:val="left" w:pos="1276"/>
              </w:tabs>
              <w:spacing w:before="0" w:beforeAutospacing="0" w:after="0" w:afterAutospacing="0"/>
              <w:ind w:left="0" w:firstLine="709"/>
              <w:jc w:val="both"/>
              <w:rPr>
                <w:color w:val="000000"/>
              </w:rPr>
            </w:pPr>
            <w:r w:rsidRPr="005C5184">
              <w:rPr>
                <w:color w:val="000000"/>
              </w:rPr>
              <w:t xml:space="preserve"> Абзац третій пункту 5 розділу ХІІІ викласти в такій редакції:</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r w:rsidRPr="005C5184">
              <w:rPr>
                <w:color w:val="000000"/>
              </w:rPr>
              <w:t>«Заяви вступників, під час виконання вимог для зарахування на місця державного та регіонального замовлення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081 «Право» та 293 «Міжнародне право»,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пункті 1 розділу X цих Умов.».</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709"/>
                <w:tab w:val="left" w:pos="1276"/>
              </w:tabs>
              <w:spacing w:before="0" w:beforeAutospacing="0" w:after="0" w:afterAutospacing="0"/>
              <w:ind w:left="0" w:firstLine="709"/>
              <w:jc w:val="both"/>
              <w:rPr>
                <w:color w:val="000000"/>
              </w:rPr>
            </w:pPr>
            <w:r w:rsidRPr="005C5184">
              <w:rPr>
                <w:color w:val="000000"/>
              </w:rPr>
              <w:t>Підпункт 1 пункту 3 розділу XIV викласти у такій редакції:</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r w:rsidRPr="005C5184">
              <w:rPr>
                <w:color w:val="000000"/>
              </w:rPr>
              <w:t>«1) двічі на рік, до і на початку академічних семестрів (але не пізніше ніж 15 квітня і 01 листопада відповідно), для здобуття ступенів молодшого бакалавра, бакалавра, магістра;».</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709"/>
                <w:tab w:val="left" w:pos="1276"/>
              </w:tabs>
              <w:spacing w:before="0" w:beforeAutospacing="0" w:after="0" w:afterAutospacing="0"/>
              <w:ind w:left="0" w:firstLine="709"/>
              <w:jc w:val="both"/>
              <w:rPr>
                <w:color w:val="000000"/>
              </w:rPr>
            </w:pPr>
            <w:r w:rsidRPr="005C5184">
              <w:rPr>
                <w:color w:val="000000"/>
              </w:rPr>
              <w:t xml:space="preserve"> У розділі XV:</w:t>
            </w:r>
          </w:p>
        </w:tc>
        <w:tc>
          <w:tcPr>
            <w:tcW w:w="6237"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709"/>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4"/>
              </w:numPr>
              <w:shd w:val="clear" w:color="auto" w:fill="FFFFFF"/>
              <w:tabs>
                <w:tab w:val="left" w:pos="1276"/>
              </w:tabs>
              <w:spacing w:before="0" w:beforeAutospacing="0" w:after="0" w:afterAutospacing="0"/>
              <w:jc w:val="both"/>
              <w:rPr>
                <w:color w:val="000000"/>
              </w:rPr>
            </w:pPr>
            <w:r w:rsidRPr="005C5184">
              <w:rPr>
                <w:color w:val="000000"/>
              </w:rPr>
              <w:t xml:space="preserve">у пункті 8: </w:t>
            </w:r>
          </w:p>
        </w:tc>
        <w:tc>
          <w:tcPr>
            <w:tcW w:w="6237" w:type="dxa"/>
          </w:tcPr>
          <w:p w:rsidR="00BF544D" w:rsidRPr="005C5184" w:rsidRDefault="00BF544D" w:rsidP="005C5184">
            <w:pPr>
              <w:pStyle w:val="rvps2"/>
              <w:shd w:val="clear" w:color="auto" w:fill="FFFFFF"/>
              <w:tabs>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276"/>
              </w:tabs>
              <w:spacing w:before="0" w:beforeAutospacing="0" w:after="0" w:afterAutospacing="0"/>
              <w:jc w:val="both"/>
              <w:rPr>
                <w:color w:val="000000"/>
              </w:rPr>
            </w:pPr>
            <w:r w:rsidRPr="005C5184">
              <w:rPr>
                <w:color w:val="000000"/>
              </w:rPr>
              <w:t>абзац перший викласти у такій редакції:</w:t>
            </w:r>
          </w:p>
        </w:tc>
        <w:tc>
          <w:tcPr>
            <w:tcW w:w="6237" w:type="dxa"/>
          </w:tcPr>
          <w:p w:rsidR="00BF544D" w:rsidRPr="005C5184" w:rsidRDefault="00BF544D" w:rsidP="005C5184">
            <w:pPr>
              <w:pStyle w:val="rvps2"/>
              <w:shd w:val="clear" w:color="auto" w:fill="FFFFFF"/>
              <w:tabs>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lastRenderedPageBreak/>
              <w:t>«8.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081 «Право», 293 «Міжнародне право»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Якщо державне замовлення в 2020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в закладі вищої освіти, який в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 xml:space="preserve">абзац тринадцятий доповнити новим реченням такого змісту: </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«Не допускається поєднання в одній конкурсній пропозиції акредитованої та неакредитованої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в абзаці п’ятнадцятому слово «(закриті)» виключити;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4"/>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t>у пункті 9 слово «(закриті)» виключити;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4"/>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lastRenderedPageBreak/>
              <w:t>у пункті 12 після слів «державного замовлення за відкритими та» слова «закритими (фіксованими)» замінити словами «фіксованими».</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numPr>
                <w:ilvl w:val="0"/>
                <w:numId w:val="1"/>
              </w:numPr>
              <w:shd w:val="clear" w:color="auto" w:fill="FFFFFF"/>
              <w:tabs>
                <w:tab w:val="left" w:pos="1134"/>
                <w:tab w:val="left" w:pos="1276"/>
              </w:tabs>
              <w:spacing w:before="0" w:beforeAutospacing="0" w:after="0" w:afterAutospacing="0"/>
              <w:ind w:left="0" w:firstLine="709"/>
              <w:jc w:val="both"/>
              <w:rPr>
                <w:color w:val="000000"/>
              </w:rPr>
            </w:pPr>
            <w:r w:rsidRPr="005C5184">
              <w:rPr>
                <w:color w:val="000000"/>
              </w:rPr>
              <w:t xml:space="preserve"> Пункт 3 розділу І додатку 6 викласти в такій редакції:</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p>
        </w:tc>
      </w:tr>
      <w:tr w:rsidR="00BF544D" w:rsidRPr="005C5184" w:rsidTr="00BF544D">
        <w:tc>
          <w:tcPr>
            <w:tcW w:w="6805" w:type="dxa"/>
          </w:tcPr>
          <w:p w:rsidR="00BF544D" w:rsidRPr="005C5184" w:rsidRDefault="00BF544D" w:rsidP="005C5184">
            <w:pPr>
              <w:pStyle w:val="rvps2"/>
              <w:shd w:val="clear" w:color="auto" w:fill="FFFFFF"/>
              <w:tabs>
                <w:tab w:val="left" w:pos="1134"/>
                <w:tab w:val="left" w:pos="1276"/>
              </w:tabs>
              <w:spacing w:before="0" w:beforeAutospacing="0" w:after="0" w:afterAutospacing="0"/>
              <w:jc w:val="both"/>
              <w:rPr>
                <w:color w:val="000000"/>
              </w:rPr>
            </w:pPr>
            <w:r w:rsidRPr="005C5184">
              <w:rPr>
                <w:color w:val="000000"/>
              </w:rPr>
              <w:t xml:space="preserve">«3. Алгоритм не застосовується для прийому на навчання відповідно до Порядку прийому для здобуття вищої, фахової </w:t>
            </w:r>
            <w:proofErr w:type="spellStart"/>
            <w:r w:rsidRPr="005C5184">
              <w:rPr>
                <w:color w:val="000000"/>
              </w:rPr>
              <w:t>передвищої</w:t>
            </w:r>
            <w:proofErr w:type="spellEnd"/>
            <w:r w:rsidRPr="005C5184">
              <w:rPr>
                <w:color w:val="000000"/>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 271, зареєстрованого в Міністерстві юстиції України __ ______ 2016 року за № __________ (далі – наказ № 271).».</w:t>
            </w:r>
          </w:p>
        </w:tc>
        <w:tc>
          <w:tcPr>
            <w:tcW w:w="6237" w:type="dxa"/>
          </w:tcPr>
          <w:p w:rsidR="00BF544D" w:rsidRPr="005C5184" w:rsidRDefault="00BF544D" w:rsidP="005C5184">
            <w:pPr>
              <w:pStyle w:val="rvps2"/>
              <w:shd w:val="clear" w:color="auto" w:fill="FFFFFF"/>
              <w:tabs>
                <w:tab w:val="left" w:pos="1134"/>
                <w:tab w:val="left" w:pos="1276"/>
              </w:tabs>
              <w:spacing w:before="0" w:beforeAutospacing="0" w:after="0" w:afterAutospacing="0"/>
              <w:ind w:hanging="104"/>
              <w:jc w:val="both"/>
              <w:rPr>
                <w:color w:val="000000"/>
              </w:rPr>
            </w:pPr>
          </w:p>
        </w:tc>
        <w:tc>
          <w:tcPr>
            <w:tcW w:w="1494" w:type="dxa"/>
          </w:tcPr>
          <w:p w:rsidR="00BF544D" w:rsidRPr="005C5184" w:rsidRDefault="00BF544D" w:rsidP="005C5184">
            <w:pPr>
              <w:pStyle w:val="rvps2"/>
              <w:shd w:val="clear" w:color="auto" w:fill="FFFFFF"/>
              <w:tabs>
                <w:tab w:val="left" w:pos="1134"/>
                <w:tab w:val="left" w:pos="1276"/>
              </w:tabs>
              <w:spacing w:before="0" w:beforeAutospacing="0" w:after="0" w:afterAutospacing="0"/>
              <w:ind w:hanging="104"/>
              <w:jc w:val="both"/>
              <w:rPr>
                <w:color w:val="000000"/>
              </w:rPr>
            </w:pPr>
          </w:p>
        </w:tc>
      </w:tr>
      <w:tr w:rsidR="00BF544D" w:rsidRPr="005C5184" w:rsidTr="00BF544D">
        <w:tc>
          <w:tcPr>
            <w:tcW w:w="6805" w:type="dxa"/>
          </w:tcPr>
          <w:p w:rsidR="00BF544D" w:rsidRPr="005C5184" w:rsidRDefault="00BF544D" w:rsidP="005C5184">
            <w:pPr>
              <w:pStyle w:val="a3"/>
              <w:ind w:left="0"/>
              <w:rPr>
                <w:color w:val="000000"/>
              </w:rPr>
            </w:pPr>
          </w:p>
        </w:tc>
        <w:tc>
          <w:tcPr>
            <w:tcW w:w="6237" w:type="dxa"/>
          </w:tcPr>
          <w:p w:rsidR="00BF544D" w:rsidRPr="005C5184" w:rsidRDefault="00BF544D" w:rsidP="005C5184">
            <w:pPr>
              <w:pStyle w:val="a3"/>
              <w:ind w:left="0"/>
              <w:rPr>
                <w:color w:val="000000"/>
              </w:rPr>
            </w:pPr>
          </w:p>
        </w:tc>
        <w:tc>
          <w:tcPr>
            <w:tcW w:w="1494" w:type="dxa"/>
          </w:tcPr>
          <w:p w:rsidR="00BF544D" w:rsidRPr="005C5184" w:rsidRDefault="00BF544D" w:rsidP="005C5184">
            <w:pPr>
              <w:pStyle w:val="a3"/>
              <w:ind w:left="0"/>
              <w:rPr>
                <w:color w:val="000000"/>
              </w:rPr>
            </w:pPr>
          </w:p>
        </w:tc>
      </w:tr>
    </w:tbl>
    <w:p w:rsidR="00B6090C" w:rsidRPr="005C5184" w:rsidRDefault="005C5184" w:rsidP="005C5184">
      <w:pPr>
        <w:spacing w:after="0"/>
        <w:rPr>
          <w:lang w:val="uk-UA"/>
        </w:rPr>
      </w:pPr>
    </w:p>
    <w:sectPr w:rsidR="00B6090C" w:rsidRPr="005C5184" w:rsidSect="00C26516">
      <w:pgSz w:w="16838" w:h="11906" w:orient="landscape" w:code="9"/>
      <w:pgMar w:top="851" w:right="851" w:bottom="1418" w:left="1134" w:header="567"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1F8"/>
    <w:multiLevelType w:val="hybridMultilevel"/>
    <w:tmpl w:val="31A02042"/>
    <w:lvl w:ilvl="0" w:tplc="C7AEE8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ABE2469"/>
    <w:multiLevelType w:val="hybridMultilevel"/>
    <w:tmpl w:val="F9444F90"/>
    <w:lvl w:ilvl="0" w:tplc="3DDEE5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F901DF8"/>
    <w:multiLevelType w:val="hybridMultilevel"/>
    <w:tmpl w:val="B82ADD08"/>
    <w:lvl w:ilvl="0" w:tplc="D35C110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809235C"/>
    <w:multiLevelType w:val="hybridMultilevel"/>
    <w:tmpl w:val="0A0A60A8"/>
    <w:lvl w:ilvl="0" w:tplc="8F0414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16"/>
    <w:rsid w:val="000E7CED"/>
    <w:rsid w:val="003D035A"/>
    <w:rsid w:val="004300CC"/>
    <w:rsid w:val="005C5184"/>
    <w:rsid w:val="00A9232C"/>
    <w:rsid w:val="00BF544D"/>
    <w:rsid w:val="00C265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BE77"/>
  <w15:chartTrackingRefBased/>
  <w15:docId w15:val="{E693DE9A-56B5-44D0-BC6B-66C29C76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5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26516"/>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3">
    <w:name w:val="List Paragraph"/>
    <w:basedOn w:val="a"/>
    <w:uiPriority w:val="34"/>
    <w:qFormat/>
    <w:rsid w:val="00C26516"/>
    <w:pPr>
      <w:spacing w:after="0" w:line="240" w:lineRule="auto"/>
      <w:ind w:left="720"/>
      <w:contextualSpacing/>
    </w:pPr>
    <w:rPr>
      <w:rFonts w:ascii="Times New Roman" w:hAnsi="Times New Roman"/>
      <w:sz w:val="24"/>
      <w:szCs w:val="24"/>
      <w:lang w:val="uk-UA" w:eastAsia="ru-RU"/>
    </w:rPr>
  </w:style>
  <w:style w:type="table" w:styleId="a4">
    <w:name w:val="Table Grid"/>
    <w:basedOn w:val="a1"/>
    <w:uiPriority w:val="39"/>
    <w:rsid w:val="00C2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4825</Words>
  <Characters>2751</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Kernychna A.</cp:lastModifiedBy>
  <cp:revision>2</cp:revision>
  <dcterms:created xsi:type="dcterms:W3CDTF">2021-03-26T13:03:00Z</dcterms:created>
  <dcterms:modified xsi:type="dcterms:W3CDTF">2021-03-26T13:20:00Z</dcterms:modified>
</cp:coreProperties>
</file>