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06D9" w14:textId="78CA101A" w:rsidR="00E35C12" w:rsidRPr="003D458E" w:rsidRDefault="00E35C12" w:rsidP="00E35C12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3D458E">
        <w:rPr>
          <w:rStyle w:val="rvts0"/>
          <w:rFonts w:ascii="Times New Roman" w:hAnsi="Times New Roman" w:cs="Times New Roman"/>
          <w:sz w:val="28"/>
          <w:szCs w:val="28"/>
        </w:rPr>
        <w:t xml:space="preserve">Додаток </w:t>
      </w:r>
      <w:r w:rsidR="00743D15" w:rsidRPr="003D458E">
        <w:rPr>
          <w:rStyle w:val="rvts0"/>
          <w:rFonts w:ascii="Times New Roman" w:hAnsi="Times New Roman" w:cs="Times New Roman"/>
          <w:sz w:val="28"/>
          <w:szCs w:val="28"/>
        </w:rPr>
        <w:t>8</w:t>
      </w:r>
      <w:r w:rsidRPr="003D458E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9F1963" w:rsidRPr="003D458E">
        <w:rPr>
          <w:rStyle w:val="rvts0"/>
          <w:rFonts w:ascii="Times New Roman" w:hAnsi="Times New Roman" w:cs="Times New Roman"/>
          <w:sz w:val="28"/>
          <w:szCs w:val="28"/>
        </w:rPr>
        <w:br/>
      </w:r>
    </w:p>
    <w:p w14:paraId="287B81A9" w14:textId="77777777" w:rsidR="00AE356B" w:rsidRPr="003D458E" w:rsidRDefault="00E35C12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3D458E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</w:t>
      </w:r>
      <w:r w:rsidR="00AE356B" w:rsidRPr="003D458E">
        <w:rPr>
          <w:rStyle w:val="rvts0"/>
          <w:rFonts w:ascii="Times New Roman" w:hAnsi="Times New Roman" w:cs="Times New Roman"/>
          <w:b/>
          <w:sz w:val="28"/>
          <w:szCs w:val="28"/>
        </w:rPr>
        <w:t>,</w:t>
      </w:r>
    </w:p>
    <w:p w14:paraId="2529E72B" w14:textId="4C67992E" w:rsidR="000565A5" w:rsidRPr="003D458E" w:rsidRDefault="009F1963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3D458E">
        <w:rPr>
          <w:rStyle w:val="rvts0"/>
          <w:rFonts w:ascii="Times New Roman" w:hAnsi="Times New Roman" w:cs="Times New Roman"/>
          <w:b/>
          <w:sz w:val="28"/>
          <w:szCs w:val="28"/>
        </w:rPr>
        <w:t>для спеціальності</w:t>
      </w:r>
      <w:r w:rsidR="00AE356B" w:rsidRPr="003D458E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D75799" w:rsidRPr="003D458E">
        <w:rPr>
          <w:rStyle w:val="rvts0"/>
          <w:rFonts w:ascii="Times New Roman" w:hAnsi="Times New Roman" w:cs="Times New Roman"/>
          <w:b/>
          <w:sz w:val="28"/>
          <w:szCs w:val="28"/>
        </w:rPr>
        <w:t>221</w:t>
      </w:r>
      <w:r w:rsidR="000565A5" w:rsidRPr="003D458E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«</w:t>
      </w:r>
      <w:r w:rsidR="00D75799" w:rsidRPr="003D458E">
        <w:rPr>
          <w:rStyle w:val="rvts0"/>
          <w:rFonts w:ascii="Times New Roman" w:hAnsi="Times New Roman" w:cs="Times New Roman"/>
          <w:b/>
          <w:sz w:val="28"/>
          <w:szCs w:val="28"/>
        </w:rPr>
        <w:t>Стоматологія</w:t>
      </w:r>
      <w:r w:rsidR="000565A5" w:rsidRPr="003D458E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962DFE" w14:textId="77777777" w:rsidR="000565A5" w:rsidRPr="003D458E" w:rsidRDefault="000565A5" w:rsidP="000565A5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0565A5" w:rsidRPr="003D458E" w14:paraId="493B14FE" w14:textId="77777777" w:rsidTr="00FB53B5">
        <w:tc>
          <w:tcPr>
            <w:tcW w:w="3834" w:type="dxa"/>
          </w:tcPr>
          <w:p w14:paraId="436F4D27" w14:textId="77777777" w:rsidR="000565A5" w:rsidRPr="003D458E" w:rsidRDefault="000565A5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3D458E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14:paraId="1FEFAFE1" w14:textId="3346DF2A" w:rsidR="000565A5" w:rsidRPr="003D458E" w:rsidRDefault="00BB51FF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3D458E">
              <w:rPr>
                <w:sz w:val="28"/>
                <w:lang w:val="uk-UA"/>
              </w:rPr>
              <w:t>другий (магістерський)</w:t>
            </w:r>
          </w:p>
        </w:tc>
      </w:tr>
      <w:tr w:rsidR="000565A5" w:rsidRPr="003D458E" w14:paraId="60E36863" w14:textId="77777777" w:rsidTr="00FB53B5">
        <w:tc>
          <w:tcPr>
            <w:tcW w:w="3834" w:type="dxa"/>
          </w:tcPr>
          <w:p w14:paraId="7AA12E56" w14:textId="77777777" w:rsidR="000565A5" w:rsidRPr="003D458E" w:rsidRDefault="000565A5" w:rsidP="00523A6D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3D458E">
              <w:rPr>
                <w:sz w:val="28"/>
                <w:lang w:val="uk-UA"/>
              </w:rPr>
              <w:t>Професі</w:t>
            </w:r>
            <w:r w:rsidR="00AE356B" w:rsidRPr="003D458E">
              <w:rPr>
                <w:sz w:val="28"/>
                <w:lang w:val="uk-UA"/>
              </w:rPr>
              <w:t>ї</w:t>
            </w:r>
            <w:r w:rsidRPr="003D458E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14:paraId="147B7FD2" w14:textId="3FD3CD0C" w:rsidR="00BB51FF" w:rsidRPr="003D458E" w:rsidRDefault="00D75799" w:rsidP="003F7934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3D458E">
              <w:rPr>
                <w:sz w:val="28"/>
                <w:lang w:val="uk-UA"/>
              </w:rPr>
              <w:t>лікар-стоматолог</w:t>
            </w:r>
          </w:p>
        </w:tc>
      </w:tr>
    </w:tbl>
    <w:p w14:paraId="0F289AA6" w14:textId="77777777" w:rsidR="00FB53B5" w:rsidRPr="003D458E" w:rsidRDefault="00FB53B5" w:rsidP="00523A6D">
      <w:bookmarkStart w:id="0" w:name="_GoBack"/>
      <w:bookmarkEnd w:id="0"/>
    </w:p>
    <w:p w14:paraId="23C18F60" w14:textId="5CAC6BB6" w:rsidR="000565A5" w:rsidRPr="003D458E" w:rsidRDefault="000565A5" w:rsidP="000565A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14:paraId="53A60AC6" w14:textId="77777777" w:rsidR="000565A5" w:rsidRPr="003D458E" w:rsidRDefault="000565A5" w:rsidP="000565A5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>Група забезпечення освітньої програми</w:t>
      </w:r>
      <w:r w:rsidR="00140176" w:rsidRPr="003D458E">
        <w:rPr>
          <w:sz w:val="28"/>
          <w:szCs w:val="28"/>
          <w:lang w:val="uk-UA"/>
        </w:rPr>
        <w:t xml:space="preserve"> повинна відповідати таким вимогам:</w:t>
      </w:r>
      <w:r w:rsidRPr="003D458E">
        <w:rPr>
          <w:sz w:val="28"/>
          <w:szCs w:val="28"/>
          <w:lang w:val="uk-UA"/>
        </w:rPr>
        <w:t xml:space="preserve"> </w:t>
      </w:r>
    </w:p>
    <w:p w14:paraId="23F830E9" w14:textId="7AD502D0" w:rsidR="00140176" w:rsidRPr="003D458E" w:rsidRDefault="00140176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</w:t>
      </w:r>
      <w:r w:rsidR="000D0DDC" w:rsidRPr="003D458E">
        <w:rPr>
          <w:sz w:val="28"/>
          <w:szCs w:val="28"/>
          <w:lang w:val="uk-UA"/>
        </w:rPr>
        <w:t>здобуття освіти</w:t>
      </w:r>
      <w:r w:rsidRPr="003D458E">
        <w:rPr>
          <w:sz w:val="28"/>
          <w:szCs w:val="28"/>
          <w:lang w:val="uk-UA"/>
        </w:rPr>
        <w:t xml:space="preserve"> з відповідної освітньої програми, але не менше 5 осіб </w:t>
      </w:r>
    </w:p>
    <w:p w14:paraId="03793277" w14:textId="3165A39E" w:rsidR="005F29C9" w:rsidRPr="003D458E" w:rsidRDefault="000D0DDC" w:rsidP="00FB0BF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>члени групи забезпечення мають вищу</w:t>
      </w:r>
      <w:r w:rsidR="005F29C9" w:rsidRPr="003D458E">
        <w:rPr>
          <w:sz w:val="28"/>
          <w:szCs w:val="28"/>
          <w:lang w:val="uk-UA"/>
        </w:rPr>
        <w:t xml:space="preserve"> </w:t>
      </w:r>
      <w:r w:rsidR="00155FB7" w:rsidRPr="003D458E">
        <w:rPr>
          <w:sz w:val="28"/>
          <w:szCs w:val="28"/>
          <w:lang w:val="uk-UA"/>
        </w:rPr>
        <w:t xml:space="preserve">освіту </w:t>
      </w:r>
      <w:r w:rsidR="005F29C9" w:rsidRPr="003D458E">
        <w:rPr>
          <w:sz w:val="28"/>
          <w:szCs w:val="28"/>
          <w:lang w:val="uk-UA"/>
        </w:rPr>
        <w:t xml:space="preserve">рівня магістр </w:t>
      </w:r>
      <w:r w:rsidR="00FB0BF4" w:rsidRPr="003D458E">
        <w:rPr>
          <w:sz w:val="28"/>
          <w:szCs w:val="28"/>
          <w:lang w:val="uk-UA"/>
        </w:rPr>
        <w:t>та/або науковий ступінь за спеціальн</w:t>
      </w:r>
      <w:r w:rsidR="00D75799" w:rsidRPr="003D458E">
        <w:rPr>
          <w:sz w:val="28"/>
          <w:szCs w:val="28"/>
          <w:lang w:val="uk-UA"/>
        </w:rPr>
        <w:t>остями</w:t>
      </w:r>
      <w:r w:rsidR="00FB0BF4" w:rsidRPr="003D458E">
        <w:rPr>
          <w:sz w:val="28"/>
          <w:szCs w:val="28"/>
          <w:lang w:val="uk-UA"/>
        </w:rPr>
        <w:t xml:space="preserve"> «</w:t>
      </w:r>
      <w:r w:rsidR="00D75799" w:rsidRPr="003D458E">
        <w:rPr>
          <w:sz w:val="28"/>
          <w:szCs w:val="28"/>
          <w:lang w:val="uk-UA"/>
        </w:rPr>
        <w:t>Стоматологія</w:t>
      </w:r>
      <w:r w:rsidR="00FB0BF4" w:rsidRPr="003D458E">
        <w:rPr>
          <w:sz w:val="28"/>
          <w:szCs w:val="28"/>
          <w:lang w:val="uk-UA"/>
        </w:rPr>
        <w:t>»</w:t>
      </w:r>
      <w:r w:rsidR="00C05F6D" w:rsidRPr="003D458E">
        <w:rPr>
          <w:sz w:val="28"/>
          <w:szCs w:val="28"/>
          <w:lang w:val="uk-UA"/>
        </w:rPr>
        <w:t xml:space="preserve"> (не менше 70% членів групи забезпечення)</w:t>
      </w:r>
      <w:r w:rsidR="00D75799" w:rsidRPr="003D458E">
        <w:rPr>
          <w:sz w:val="28"/>
          <w:szCs w:val="28"/>
          <w:lang w:val="uk-UA"/>
        </w:rPr>
        <w:t>, «Медицина»</w:t>
      </w:r>
      <w:r w:rsidRPr="003D458E">
        <w:rPr>
          <w:sz w:val="28"/>
          <w:szCs w:val="28"/>
          <w:lang w:val="uk-UA"/>
        </w:rPr>
        <w:t xml:space="preserve"> або відповідними за попер</w:t>
      </w:r>
      <w:r w:rsidR="00563FC8" w:rsidRPr="003D458E">
        <w:rPr>
          <w:sz w:val="28"/>
          <w:szCs w:val="28"/>
          <w:lang w:val="uk-UA"/>
        </w:rPr>
        <w:t>едніми переліками спеціальностями</w:t>
      </w:r>
    </w:p>
    <w:p w14:paraId="5B91AE36" w14:textId="36940547" w:rsidR="000565A5" w:rsidRPr="003D458E" w:rsidRDefault="001F35BC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 xml:space="preserve">члени групи забезпечення мають </w:t>
      </w:r>
      <w:r w:rsidR="000565A5" w:rsidRPr="003D458E">
        <w:rPr>
          <w:sz w:val="28"/>
          <w:szCs w:val="28"/>
          <w:lang w:val="uk-UA"/>
        </w:rPr>
        <w:t xml:space="preserve">стаж науково-педагогічної діяльності не менше </w:t>
      </w:r>
      <w:r w:rsidR="009B7BAB" w:rsidRPr="003D458E">
        <w:rPr>
          <w:sz w:val="28"/>
          <w:szCs w:val="28"/>
          <w:lang w:val="uk-UA"/>
        </w:rPr>
        <w:t>п’яти</w:t>
      </w:r>
      <w:r w:rsidR="000565A5" w:rsidRPr="003D458E">
        <w:rPr>
          <w:sz w:val="28"/>
          <w:szCs w:val="28"/>
          <w:lang w:val="uk-UA"/>
        </w:rPr>
        <w:t xml:space="preserve"> років </w:t>
      </w:r>
      <w:r w:rsidR="00D27B97" w:rsidRPr="003D458E">
        <w:rPr>
          <w:sz w:val="28"/>
          <w:szCs w:val="28"/>
          <w:lang w:val="uk-UA"/>
        </w:rPr>
        <w:t>або практичної діяльності в сфері охорони здоров’я не менше десяти років</w:t>
      </w:r>
    </w:p>
    <w:p w14:paraId="7ED5232F" w14:textId="40BF46A5" w:rsidR="001F35BC" w:rsidRPr="003D458E" w:rsidRDefault="001F35BC" w:rsidP="00AE356B">
      <w:pPr>
        <w:pStyle w:val="rvps2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років.</w:t>
      </w:r>
    </w:p>
    <w:p w14:paraId="51B3AC8C" w14:textId="77777777" w:rsidR="000565A5" w:rsidRPr="003D458E" w:rsidRDefault="000565A5" w:rsidP="00140176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>Кадрове забезпечення освітніх компонентів</w:t>
      </w:r>
      <w:r w:rsidR="00140176" w:rsidRPr="003D458E">
        <w:rPr>
          <w:sz w:val="28"/>
          <w:szCs w:val="28"/>
          <w:lang w:val="uk-UA"/>
        </w:rPr>
        <w:t xml:space="preserve"> повинне відповідати таким вимогам:</w:t>
      </w:r>
    </w:p>
    <w:p w14:paraId="4FD88963" w14:textId="77777777" w:rsidR="003653F9" w:rsidRPr="003D458E" w:rsidRDefault="003653F9" w:rsidP="003653F9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3D458E">
        <w:rPr>
          <w:sz w:val="28"/>
          <w:szCs w:val="28"/>
          <w:lang w:val="uk-UA"/>
        </w:rPr>
        <w:t xml:space="preserve">науково-педагогічні працівники дисциплін професійного циклу (як фундаментальних, так й клінічних) </w:t>
      </w:r>
      <w:r w:rsidRPr="003D458E">
        <w:rPr>
          <w:sz w:val="28"/>
          <w:lang w:val="uk-UA"/>
        </w:rPr>
        <w:t xml:space="preserve">повинні мати базову освіту та (або) науковий </w:t>
      </w:r>
      <w:r w:rsidRPr="003D458E">
        <w:rPr>
          <w:sz w:val="28"/>
          <w:szCs w:val="28"/>
          <w:lang w:val="uk-UA"/>
        </w:rPr>
        <w:t>ступінь</w:t>
      </w:r>
      <w:r w:rsidRPr="003D458E">
        <w:rPr>
          <w:sz w:val="28"/>
          <w:lang w:val="uk-UA"/>
        </w:rPr>
        <w:t>, що відповідає профілю дисципліни викладання</w:t>
      </w:r>
    </w:p>
    <w:p w14:paraId="42EC4F11" w14:textId="77777777" w:rsidR="003653F9" w:rsidRPr="003D458E" w:rsidRDefault="003653F9" w:rsidP="003653F9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>частка науково-педагогічних працівників з науковими ступенями, вченими званнями або з вищої кваліфікаційною категорією за відповідною лікарською (провізорською) спеціальністю, які</w:t>
      </w:r>
      <w:r w:rsidRPr="003D458E">
        <w:rPr>
          <w:lang w:val="uk-UA"/>
        </w:rPr>
        <w:t xml:space="preserve"> </w:t>
      </w:r>
      <w:r w:rsidRPr="003D458E">
        <w:rPr>
          <w:sz w:val="28"/>
          <w:szCs w:val="28"/>
          <w:lang w:val="uk-UA"/>
        </w:rPr>
        <w:t xml:space="preserve">працюють у здобувача ліцензії (ліцензіата) за основним місцем роботи та/або за сумісництвом – не менше 60% </w:t>
      </w:r>
    </w:p>
    <w:p w14:paraId="577C757B" w14:textId="66807440" w:rsidR="003653F9" w:rsidRPr="003D458E" w:rsidRDefault="003653F9" w:rsidP="0091361B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 xml:space="preserve">частка науково-педагогічних працівників, які є практикуючими лікарями (керівниками в закладах охорони здоров’я) та регулярно здійснюють </w:t>
      </w:r>
      <w:r w:rsidRPr="003D458E">
        <w:rPr>
          <w:sz w:val="28"/>
          <w:szCs w:val="28"/>
          <w:lang w:val="uk-UA"/>
        </w:rPr>
        <w:lastRenderedPageBreak/>
        <w:t>професійну діяльність за профілем дисциплін</w:t>
      </w:r>
      <w:r w:rsidR="0091361B" w:rsidRPr="003D458E">
        <w:rPr>
          <w:sz w:val="28"/>
          <w:szCs w:val="28"/>
          <w:lang w:val="uk-UA"/>
        </w:rPr>
        <w:t>и</w:t>
      </w:r>
      <w:r w:rsidRPr="003D458E">
        <w:rPr>
          <w:sz w:val="28"/>
          <w:szCs w:val="28"/>
          <w:lang w:val="uk-UA"/>
        </w:rPr>
        <w:t xml:space="preserve"> освітньої програми, – в достатній кількості для забезпечення викладання в обсязі не менше 50% від загального обсягу освітньої програми, з них зовнішніх фахівців-сумісників в достатній кількості для забезпечення викладання в обсязі не менше 20% обсягу освітньої програми;</w:t>
      </w:r>
    </w:p>
    <w:p w14:paraId="2E9D4B0B" w14:textId="462C1E56" w:rsidR="00DD3384" w:rsidRPr="003D458E" w:rsidRDefault="00DD3384" w:rsidP="00DD338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 xml:space="preserve">мінімальна кількість науково-педагогічних працівників з відповідною освітою, кваліфікацією та (або) стажем роботи відносно кількості студентів – один працівник до </w:t>
      </w:r>
      <w:r w:rsidR="002E61D7" w:rsidRPr="003D458E">
        <w:rPr>
          <w:sz w:val="28"/>
          <w:szCs w:val="28"/>
          <w:lang w:val="uk-UA"/>
        </w:rPr>
        <w:t>6</w:t>
      </w:r>
      <w:r w:rsidRPr="003D458E">
        <w:rPr>
          <w:sz w:val="28"/>
          <w:szCs w:val="28"/>
          <w:lang w:val="uk-UA"/>
        </w:rPr>
        <w:t xml:space="preserve"> студентів</w:t>
      </w:r>
    </w:p>
    <w:p w14:paraId="7ABCC797" w14:textId="24C8B154" w:rsidR="0091361B" w:rsidRPr="003D458E" w:rsidRDefault="0091361B" w:rsidP="00443B95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>здатність забезпечити компетентне викладання дисциплін освітньої програми з урахуванням вимог стандарту вищої освіти, статті 34 та пункту 5.3.1 додатку V Директиви Європейського парламенту та Ради Європи 2005/36/EC від 07 вересня 2005 р. про визнання професійних кваліфікацій (з доповненнями)</w:t>
      </w:r>
      <w:r w:rsidR="008F2160" w:rsidRPr="003D458E">
        <w:rPr>
          <w:sz w:val="28"/>
          <w:szCs w:val="28"/>
          <w:lang w:val="uk-UA"/>
        </w:rPr>
        <w:t xml:space="preserve">, рекомендації </w:t>
      </w:r>
      <w:r w:rsidR="00443B95" w:rsidRPr="003D458E">
        <w:rPr>
          <w:sz w:val="28"/>
          <w:szCs w:val="28"/>
          <w:lang w:val="uk-UA"/>
        </w:rPr>
        <w:t xml:space="preserve">Асоціації стоматологічної освіти Європи </w:t>
      </w:r>
      <w:r w:rsidR="008F2160" w:rsidRPr="003D458E">
        <w:rPr>
          <w:sz w:val="28"/>
          <w:szCs w:val="28"/>
          <w:lang w:val="uk-UA"/>
        </w:rPr>
        <w:t xml:space="preserve">щодо </w:t>
      </w:r>
      <w:r w:rsidR="00443B95" w:rsidRPr="003D458E">
        <w:rPr>
          <w:sz w:val="28"/>
          <w:szCs w:val="28"/>
          <w:lang w:val="uk-UA"/>
        </w:rPr>
        <w:t xml:space="preserve">освітньої програми </w:t>
      </w:r>
      <w:r w:rsidR="008F2160" w:rsidRPr="003D458E">
        <w:rPr>
          <w:sz w:val="28"/>
          <w:szCs w:val="28"/>
          <w:lang w:val="uk-UA"/>
        </w:rPr>
        <w:t xml:space="preserve">підготовки </w:t>
      </w:r>
      <w:r w:rsidR="00443B95" w:rsidRPr="003D458E">
        <w:rPr>
          <w:sz w:val="28"/>
          <w:szCs w:val="28"/>
          <w:lang w:val="uk-UA"/>
        </w:rPr>
        <w:t>лікарів-стоматологів в Європі</w:t>
      </w:r>
      <w:r w:rsidR="00443B95" w:rsidRPr="003D458E">
        <w:rPr>
          <w:rStyle w:val="af2"/>
          <w:sz w:val="28"/>
          <w:szCs w:val="28"/>
          <w:lang w:val="uk-UA"/>
        </w:rPr>
        <w:footnoteReference w:id="1"/>
      </w:r>
      <w:r w:rsidR="00443B95" w:rsidRPr="003D458E">
        <w:rPr>
          <w:sz w:val="28"/>
          <w:szCs w:val="28"/>
          <w:lang w:val="uk-UA"/>
        </w:rPr>
        <w:t xml:space="preserve">, зокрема зазначених нижче наук та тематичних розділів:  </w:t>
      </w:r>
    </w:p>
    <w:p w14:paraId="2E51AC5B" w14:textId="43A0192A" w:rsidR="00443B95" w:rsidRPr="003D458E" w:rsidRDefault="00443B95" w:rsidP="00F072AE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>фундаментальні науки (хімія, фізика, біологія)</w:t>
      </w:r>
    </w:p>
    <w:p w14:paraId="0563184A" w14:textId="7F1548D3" w:rsidR="00F072AE" w:rsidRPr="003D458E" w:rsidRDefault="007A6DC8" w:rsidP="00F072AE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 xml:space="preserve">медико-біологічні та загальні клінічні </w:t>
      </w:r>
      <w:r w:rsidR="00F072AE" w:rsidRPr="003D458E">
        <w:rPr>
          <w:sz w:val="28"/>
          <w:szCs w:val="28"/>
          <w:lang w:val="uk-UA"/>
        </w:rPr>
        <w:t>науки</w:t>
      </w:r>
      <w:r w:rsidR="007C3156" w:rsidRPr="003D458E">
        <w:rPr>
          <w:sz w:val="28"/>
          <w:szCs w:val="28"/>
          <w:lang w:val="uk-UA"/>
        </w:rPr>
        <w:t xml:space="preserve"> (анатомія, </w:t>
      </w:r>
      <w:r w:rsidRPr="003D458E">
        <w:rPr>
          <w:sz w:val="28"/>
          <w:szCs w:val="28"/>
          <w:lang w:val="uk-UA"/>
        </w:rPr>
        <w:t xml:space="preserve">ембріологія, гістологія, цитологія, </w:t>
      </w:r>
      <w:r w:rsidR="007C3156" w:rsidRPr="003D458E">
        <w:rPr>
          <w:sz w:val="28"/>
          <w:szCs w:val="28"/>
          <w:lang w:val="uk-UA"/>
        </w:rPr>
        <w:t xml:space="preserve">фізіологія, біохімія, </w:t>
      </w:r>
      <w:r w:rsidRPr="003D458E">
        <w:rPr>
          <w:sz w:val="28"/>
          <w:szCs w:val="28"/>
          <w:lang w:val="uk-UA"/>
        </w:rPr>
        <w:t xml:space="preserve">патологічна анатомія, загальна </w:t>
      </w:r>
      <w:r w:rsidR="008411B5" w:rsidRPr="003D458E">
        <w:rPr>
          <w:sz w:val="28"/>
          <w:szCs w:val="28"/>
          <w:lang w:val="uk-UA"/>
        </w:rPr>
        <w:t xml:space="preserve">та спеціальна </w:t>
      </w:r>
      <w:r w:rsidRPr="003D458E">
        <w:rPr>
          <w:sz w:val="28"/>
          <w:szCs w:val="28"/>
          <w:lang w:val="uk-UA"/>
        </w:rPr>
        <w:t xml:space="preserve">патологія, </w:t>
      </w:r>
      <w:r w:rsidR="007C3156" w:rsidRPr="003D458E">
        <w:rPr>
          <w:sz w:val="28"/>
          <w:szCs w:val="28"/>
          <w:lang w:val="uk-UA"/>
        </w:rPr>
        <w:t>фармакологія</w:t>
      </w:r>
      <w:r w:rsidRPr="003D458E">
        <w:rPr>
          <w:sz w:val="28"/>
          <w:szCs w:val="28"/>
          <w:lang w:val="uk-UA"/>
        </w:rPr>
        <w:t xml:space="preserve">, мікробіологія, гігієна, профілактична медицина, епідеміологія, радіологія, фізична терапія, загальна хірургія, </w:t>
      </w:r>
      <w:r w:rsidR="009869EE" w:rsidRPr="003D458E">
        <w:rPr>
          <w:sz w:val="28"/>
          <w:szCs w:val="28"/>
          <w:lang w:val="uk-UA"/>
        </w:rPr>
        <w:t xml:space="preserve">загальна медицина, педіатрія, оторіноларингологія, дерматовенерологія, загальна психологія, психопатологія, нейропатологія, </w:t>
      </w:r>
      <w:r w:rsidR="00731283" w:rsidRPr="003D458E">
        <w:rPr>
          <w:sz w:val="28"/>
          <w:szCs w:val="28"/>
          <w:lang w:val="uk-UA"/>
        </w:rPr>
        <w:t>анестезіологія</w:t>
      </w:r>
      <w:r w:rsidR="007C3156" w:rsidRPr="003D458E">
        <w:rPr>
          <w:sz w:val="28"/>
          <w:szCs w:val="28"/>
          <w:lang w:val="uk-UA"/>
        </w:rPr>
        <w:t xml:space="preserve">) </w:t>
      </w:r>
    </w:p>
    <w:p w14:paraId="0FDECF0F" w14:textId="7F36D3F3" w:rsidR="002F47F8" w:rsidRPr="003D458E" w:rsidRDefault="00731283" w:rsidP="006B2167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>стоматологічні науки та теми (протезування</w:t>
      </w:r>
      <w:r w:rsidR="00F5209C" w:rsidRPr="003D458E">
        <w:rPr>
          <w:sz w:val="28"/>
          <w:szCs w:val="28"/>
          <w:lang w:val="uk-UA"/>
        </w:rPr>
        <w:t>, щелепно-лицьова ортопедія</w:t>
      </w:r>
      <w:r w:rsidR="00C46A49" w:rsidRPr="003D458E">
        <w:rPr>
          <w:sz w:val="28"/>
          <w:szCs w:val="28"/>
          <w:lang w:val="uk-UA"/>
        </w:rPr>
        <w:t xml:space="preserve"> та імплантологія</w:t>
      </w:r>
      <w:r w:rsidRPr="003D458E">
        <w:rPr>
          <w:sz w:val="28"/>
          <w:szCs w:val="28"/>
          <w:lang w:val="uk-UA"/>
        </w:rPr>
        <w:t>, стоматологічні матеріали та обладнання, терапевтична стоматологія</w:t>
      </w:r>
      <w:r w:rsidR="00C46A49" w:rsidRPr="003D458E">
        <w:rPr>
          <w:sz w:val="28"/>
          <w:szCs w:val="28"/>
          <w:lang w:val="uk-UA"/>
        </w:rPr>
        <w:t xml:space="preserve">, </w:t>
      </w:r>
      <w:r w:rsidR="00254D11" w:rsidRPr="003D458E">
        <w:rPr>
          <w:sz w:val="28"/>
          <w:szCs w:val="28"/>
          <w:lang w:val="uk-UA"/>
        </w:rPr>
        <w:t xml:space="preserve">профілактика </w:t>
      </w:r>
      <w:r w:rsidR="00C46A49" w:rsidRPr="003D458E">
        <w:rPr>
          <w:sz w:val="28"/>
          <w:szCs w:val="28"/>
          <w:lang w:val="uk-UA"/>
        </w:rPr>
        <w:t xml:space="preserve">, </w:t>
      </w:r>
      <w:r w:rsidR="00254D11" w:rsidRPr="003D458E">
        <w:rPr>
          <w:sz w:val="28"/>
          <w:szCs w:val="28"/>
          <w:lang w:val="uk-UA"/>
        </w:rPr>
        <w:t>анестезіологія в стоматології</w:t>
      </w:r>
      <w:r w:rsidR="00C46A49" w:rsidRPr="003D458E">
        <w:rPr>
          <w:sz w:val="28"/>
          <w:szCs w:val="28"/>
          <w:lang w:val="uk-UA"/>
        </w:rPr>
        <w:t>, хірургія</w:t>
      </w:r>
      <w:r w:rsidR="00254D11" w:rsidRPr="003D458E">
        <w:rPr>
          <w:sz w:val="28"/>
          <w:szCs w:val="28"/>
          <w:lang w:val="uk-UA"/>
        </w:rPr>
        <w:t xml:space="preserve"> ротової порожнини</w:t>
      </w:r>
      <w:r w:rsidR="00C46A49" w:rsidRPr="003D458E">
        <w:rPr>
          <w:sz w:val="28"/>
          <w:szCs w:val="28"/>
          <w:lang w:val="uk-UA"/>
        </w:rPr>
        <w:t xml:space="preserve">, клінічна практика, </w:t>
      </w:r>
      <w:r w:rsidR="008411B5" w:rsidRPr="003D458E">
        <w:rPr>
          <w:sz w:val="28"/>
          <w:szCs w:val="28"/>
          <w:lang w:val="uk-UA"/>
        </w:rPr>
        <w:t xml:space="preserve">дитяча </w:t>
      </w:r>
      <w:r w:rsidR="00C46A49" w:rsidRPr="003D458E">
        <w:rPr>
          <w:sz w:val="28"/>
          <w:szCs w:val="28"/>
          <w:lang w:val="uk-UA"/>
        </w:rPr>
        <w:t>стоматологія, ортодонтія, пародонтологія, радіологія</w:t>
      </w:r>
      <w:r w:rsidR="008411B5" w:rsidRPr="003D458E">
        <w:rPr>
          <w:sz w:val="28"/>
          <w:szCs w:val="28"/>
          <w:lang w:val="uk-UA"/>
        </w:rPr>
        <w:t xml:space="preserve"> в стоматології</w:t>
      </w:r>
      <w:r w:rsidR="00C46A49" w:rsidRPr="003D458E">
        <w:rPr>
          <w:sz w:val="28"/>
          <w:szCs w:val="28"/>
          <w:lang w:val="uk-UA"/>
        </w:rPr>
        <w:t xml:space="preserve">, </w:t>
      </w:r>
      <w:r w:rsidR="008411B5" w:rsidRPr="003D458E">
        <w:rPr>
          <w:sz w:val="28"/>
          <w:szCs w:val="28"/>
          <w:lang w:val="uk-UA"/>
        </w:rPr>
        <w:t>основи біомеханіки зубощелепного апарата та гнатології</w:t>
      </w:r>
      <w:r w:rsidR="00C46A49" w:rsidRPr="003D458E">
        <w:rPr>
          <w:sz w:val="28"/>
          <w:szCs w:val="28"/>
          <w:lang w:val="uk-UA"/>
        </w:rPr>
        <w:t xml:space="preserve">, </w:t>
      </w:r>
      <w:r w:rsidR="00A673A6" w:rsidRPr="003D458E">
        <w:rPr>
          <w:sz w:val="28"/>
          <w:szCs w:val="28"/>
          <w:lang w:val="uk-UA"/>
        </w:rPr>
        <w:t xml:space="preserve">економічні, правові, етико-деонтологічні основи </w:t>
      </w:r>
      <w:r w:rsidR="00C46A49" w:rsidRPr="003D458E">
        <w:rPr>
          <w:sz w:val="28"/>
          <w:szCs w:val="28"/>
          <w:lang w:val="uk-UA"/>
        </w:rPr>
        <w:t>організаці</w:t>
      </w:r>
      <w:r w:rsidR="00A673A6" w:rsidRPr="003D458E">
        <w:rPr>
          <w:sz w:val="28"/>
          <w:szCs w:val="28"/>
          <w:lang w:val="uk-UA"/>
        </w:rPr>
        <w:t>ї стоматологічної практики</w:t>
      </w:r>
      <w:r w:rsidR="00C46A49" w:rsidRPr="003D458E">
        <w:rPr>
          <w:sz w:val="28"/>
          <w:szCs w:val="28"/>
          <w:lang w:val="uk-UA"/>
        </w:rPr>
        <w:t>, соціальні аспекти стоматологічної практики)</w:t>
      </w:r>
    </w:p>
    <w:p w14:paraId="197E013D" w14:textId="77777777" w:rsidR="000565A5" w:rsidRPr="003D458E" w:rsidRDefault="00E35C12" w:rsidP="008B2C0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4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технологічні вимоги</w:t>
      </w:r>
      <w:r w:rsidR="008B2C0A" w:rsidRPr="003D4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2C0A" w:rsidRPr="003D4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щодо наявності</w:t>
      </w:r>
      <w:r w:rsidR="000565A5" w:rsidRPr="003D4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матеріально-технічної бази </w:t>
      </w:r>
    </w:p>
    <w:p w14:paraId="1202474C" w14:textId="709CEF24" w:rsidR="00312DDC" w:rsidRPr="003D458E" w:rsidRDefault="00312DDC" w:rsidP="009C118F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</w:p>
    <w:p w14:paraId="626543F2" w14:textId="77777777" w:rsidR="00813B02" w:rsidRPr="003D458E" w:rsidRDefault="00813B02" w:rsidP="00813B02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 xml:space="preserve">забезпечення навчальних аудиторій мультимедійним обладнанням повинно становити 100% </w:t>
      </w:r>
      <w:r w:rsidRPr="003D458E">
        <w:rPr>
          <w:sz w:val="28"/>
          <w:szCs w:val="28"/>
          <w:lang w:val="uk-UA"/>
        </w:rPr>
        <w:tab/>
      </w:r>
    </w:p>
    <w:p w14:paraId="65448387" w14:textId="47BD5FB1" w:rsidR="003748E5" w:rsidRPr="003D458E" w:rsidRDefault="000B6347" w:rsidP="00154BDB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lastRenderedPageBreak/>
        <w:t>спеціалізовані аудиторії та лабораторії для проведення занять із</w:t>
      </w:r>
      <w:r w:rsidR="003748E5" w:rsidRPr="003D458E">
        <w:rPr>
          <w:sz w:val="28"/>
          <w:szCs w:val="28"/>
          <w:lang w:val="uk-UA"/>
        </w:rPr>
        <w:t xml:space="preserve"> </w:t>
      </w:r>
    </w:p>
    <w:p w14:paraId="32CA509F" w14:textId="77777777" w:rsidR="002E6DCB" w:rsidRPr="003D458E" w:rsidRDefault="002E6DCB" w:rsidP="002E6DC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хімії </w:t>
      </w:r>
    </w:p>
    <w:p w14:paraId="1683BCDB" w14:textId="77777777" w:rsidR="002E6DCB" w:rsidRPr="003D458E" w:rsidRDefault="002E6DCB" w:rsidP="002E6DC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біології </w:t>
      </w:r>
    </w:p>
    <w:p w14:paraId="56F0CFE9" w14:textId="77777777" w:rsidR="002E6DCB" w:rsidRPr="003D458E" w:rsidRDefault="002E6DCB" w:rsidP="002E6DC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анатомії та гістології людини (укомплектовані секційними столами, наявним наглядним матеріалом, макро- та мікропрепаратами, обладнанням для їх вивчення)</w:t>
      </w:r>
    </w:p>
    <w:p w14:paraId="6F64F9E1" w14:textId="77777777" w:rsidR="002E6DCB" w:rsidRPr="003D458E" w:rsidRDefault="002E6DCB" w:rsidP="002E6DC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фізіології</w:t>
      </w:r>
    </w:p>
    <w:p w14:paraId="0FD31D95" w14:textId="77777777" w:rsidR="002E6DCB" w:rsidRPr="003D458E" w:rsidRDefault="002E6DCB" w:rsidP="002E6DC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гігієни, громадського здоров'я та охорони здоров'я</w:t>
      </w:r>
    </w:p>
    <w:p w14:paraId="3122A5E3" w14:textId="77777777" w:rsidR="002E6DCB" w:rsidRPr="003D458E" w:rsidRDefault="002E6DCB" w:rsidP="002E6DC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мікробіології та екології</w:t>
      </w:r>
    </w:p>
    <w:p w14:paraId="1942B741" w14:textId="77777777" w:rsidR="002E6DCB" w:rsidRPr="003D458E" w:rsidRDefault="002E6DCB" w:rsidP="002E6DC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безпеки життєдіяльності з основами охорони праці</w:t>
      </w:r>
    </w:p>
    <w:p w14:paraId="2F7CFE86" w14:textId="77777777" w:rsidR="002E6DCB" w:rsidRPr="003D458E" w:rsidRDefault="002E6DCB" w:rsidP="002E6DC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загальної і біологічної фізики</w:t>
      </w:r>
    </w:p>
    <w:p w14:paraId="7B474987" w14:textId="18BDCA88" w:rsidR="002E6DCB" w:rsidRPr="003D458E" w:rsidRDefault="002E6DCB" w:rsidP="002E6DCB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фармакології та клінічної фармації</w:t>
      </w:r>
    </w:p>
    <w:p w14:paraId="1A238A46" w14:textId="031AE80A" w:rsidR="005B2B34" w:rsidRPr="003D458E" w:rsidRDefault="005B2B34" w:rsidP="005B2B3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 xml:space="preserve">навчальні лабораторії </w:t>
      </w:r>
      <w:r w:rsidR="00E23304" w:rsidRPr="003D458E">
        <w:rPr>
          <w:sz w:val="28"/>
          <w:szCs w:val="28"/>
          <w:lang w:val="uk-UA"/>
        </w:rPr>
        <w:t xml:space="preserve">профільних клінічних кафедр </w:t>
      </w:r>
      <w:r w:rsidRPr="003D458E">
        <w:rPr>
          <w:sz w:val="28"/>
          <w:szCs w:val="28"/>
          <w:lang w:val="uk-UA"/>
        </w:rPr>
        <w:t xml:space="preserve">із необхідним обладнанням </w:t>
      </w:r>
      <w:r w:rsidR="00E23304" w:rsidRPr="003D458E">
        <w:rPr>
          <w:sz w:val="28"/>
          <w:szCs w:val="28"/>
          <w:lang w:val="uk-UA"/>
        </w:rPr>
        <w:t xml:space="preserve">відповідно до табелів оснащення кабінетів відповідної спеціалізації) </w:t>
      </w:r>
      <w:r w:rsidRPr="003D458E">
        <w:rPr>
          <w:sz w:val="28"/>
          <w:szCs w:val="28"/>
          <w:lang w:val="uk-UA"/>
        </w:rPr>
        <w:t xml:space="preserve">щонайменше такого профілю: </w:t>
      </w:r>
    </w:p>
    <w:p w14:paraId="7B9C6543" w14:textId="17DF6889" w:rsidR="00863445" w:rsidRPr="003D458E" w:rsidRDefault="00AA5A30" w:rsidP="001F1659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дентальна </w:t>
      </w:r>
    </w:p>
    <w:p w14:paraId="3F83C19D" w14:textId="5279A969" w:rsidR="00AA5A30" w:rsidRPr="003D458E" w:rsidRDefault="00863445" w:rsidP="001F1659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радіографічна </w:t>
      </w:r>
    </w:p>
    <w:p w14:paraId="70DE651B" w14:textId="7BB60A50" w:rsidR="00AA5A30" w:rsidRPr="003D458E" w:rsidRDefault="005B2B34" w:rsidP="00AA5A30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зуботехнічні</w:t>
      </w:r>
    </w:p>
    <w:p w14:paraId="39CFDC8B" w14:textId="77777777" w:rsidR="00863445" w:rsidRPr="003D458E" w:rsidRDefault="005511C9" w:rsidP="00863445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патології полості рота </w:t>
      </w:r>
    </w:p>
    <w:p w14:paraId="607C6A48" w14:textId="36BC6FE7" w:rsidR="005B2B34" w:rsidRPr="003D458E" w:rsidRDefault="00050CF2" w:rsidP="00050CF2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біології полості рота </w:t>
      </w:r>
    </w:p>
    <w:p w14:paraId="34914BF4" w14:textId="77777777" w:rsidR="00EE4944" w:rsidRPr="003D458E" w:rsidRDefault="00050CF2" w:rsidP="003B72E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доступ до морфологічної (із забезпеченням нормальних та патологічних макро- та мікропрепаратів, обладнанням для їх виготовлення та вивчення), фізіологічної, </w:t>
      </w:r>
      <w:r w:rsidR="005B2B34" w:rsidRPr="003D458E">
        <w:rPr>
          <w:rFonts w:ascii="Times New Roman" w:hAnsi="Times New Roman" w:cs="Times New Roman"/>
          <w:sz w:val="28"/>
          <w:szCs w:val="28"/>
        </w:rPr>
        <w:t>б</w:t>
      </w:r>
      <w:r w:rsidRPr="003D458E">
        <w:rPr>
          <w:rFonts w:ascii="Times New Roman" w:hAnsi="Times New Roman" w:cs="Times New Roman"/>
          <w:sz w:val="28"/>
          <w:szCs w:val="28"/>
        </w:rPr>
        <w:t>іохімічної</w:t>
      </w:r>
      <w:r w:rsidR="00EE4944" w:rsidRPr="003D458E">
        <w:rPr>
          <w:rFonts w:ascii="Times New Roman" w:hAnsi="Times New Roman" w:cs="Times New Roman"/>
          <w:sz w:val="28"/>
          <w:szCs w:val="28"/>
        </w:rPr>
        <w:t xml:space="preserve"> (включно з клінічною), </w:t>
      </w:r>
      <w:r w:rsidR="005B2B34" w:rsidRPr="003D458E">
        <w:rPr>
          <w:rFonts w:ascii="Times New Roman" w:hAnsi="Times New Roman" w:cs="Times New Roman"/>
          <w:sz w:val="28"/>
          <w:szCs w:val="28"/>
        </w:rPr>
        <w:t>мікробіологічн</w:t>
      </w:r>
      <w:r w:rsidR="00EE4944" w:rsidRPr="003D458E">
        <w:rPr>
          <w:rFonts w:ascii="Times New Roman" w:hAnsi="Times New Roman" w:cs="Times New Roman"/>
          <w:sz w:val="28"/>
          <w:szCs w:val="28"/>
        </w:rPr>
        <w:t>ої</w:t>
      </w:r>
      <w:r w:rsidR="005B2B34" w:rsidRPr="003D458E">
        <w:rPr>
          <w:rFonts w:ascii="Times New Roman" w:hAnsi="Times New Roman" w:cs="Times New Roman"/>
          <w:sz w:val="28"/>
          <w:szCs w:val="28"/>
        </w:rPr>
        <w:t xml:space="preserve">, </w:t>
      </w:r>
      <w:r w:rsidR="00EE4944" w:rsidRPr="003D458E">
        <w:rPr>
          <w:rFonts w:ascii="Times New Roman" w:hAnsi="Times New Roman" w:cs="Times New Roman"/>
          <w:sz w:val="28"/>
          <w:szCs w:val="28"/>
        </w:rPr>
        <w:t xml:space="preserve">гематологічної лабораторій </w:t>
      </w:r>
    </w:p>
    <w:p w14:paraId="4214354C" w14:textId="2A506B98" w:rsidR="003E74E0" w:rsidRPr="003D458E" w:rsidRDefault="003E74E0" w:rsidP="00AA5A30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симуляційний центр для відпрацювання клінічних навичок</w:t>
      </w:r>
      <w:r w:rsidR="00AA5A30" w:rsidRP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стоматології та медицині, реанімаційних навичок </w:t>
      </w:r>
      <w:r w:rsidRP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проведення ЄДКІ (зокрема ОСКІ) </w:t>
      </w:r>
      <w:r w:rsidR="00AA5A30" w:rsidRP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манекенами дорослих та дітей</w:t>
      </w:r>
    </w:p>
    <w:p w14:paraId="6801ECFD" w14:textId="72EC74C1" w:rsidR="00AA5A30" w:rsidRPr="003D458E" w:rsidRDefault="003E74E0" w:rsidP="00AA5A30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фантомні класи та фантомами голови (стоматологічні моделі) дорослих та дітей </w:t>
      </w:r>
      <w:r w:rsidR="00AA5A30" w:rsidRP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необхідним приладдям та витратними матеріалами </w:t>
      </w:r>
      <w:r w:rsidRP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t>(1 клас на 12 здобувачів)</w:t>
      </w:r>
      <w:r w:rsidR="00AA5A30" w:rsidRPr="003D45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B1459" w14:textId="1B3F5C4B" w:rsidR="009226B4" w:rsidRPr="003D458E" w:rsidRDefault="009226B4" w:rsidP="009226B4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власна(-і) університетська(-і) клініка(-и) та (або) афілійовані заклади охорони здоров’я, організовані згідно ліцензійних умов провадження господарської діяльності з медичної практики та інших відповідних видів діяльності, для набуття фахових компетентностей здобувачами вищої освіти та надання медичних послуг населенню згідно діючого </w:t>
      </w:r>
      <w:r w:rsidRP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законодавства України (при ліцензуванні освітньої програми медичного профілю вперше на момент відкриття кількісні вимоги можуть становити 50% відсотків від повних, але клініка має бути розгорнута в повному обсязі до завершення першого повного циклу підготовки після ліцензування), що сукупно задовольняють таким  вимогам</w:t>
      </w:r>
      <w:r w:rsidR="0055162D" w:rsidRP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5162D" w:rsidRPr="003D458E">
        <w:rPr>
          <w:rFonts w:ascii="Times New Roman" w:hAnsi="Times New Roman" w:cs="Times New Roman"/>
          <w:sz w:val="28"/>
          <w:szCs w:val="28"/>
        </w:rPr>
        <w:t>для річного ліцензійного обсягу до 50 осіб)</w:t>
      </w:r>
      <w:r w:rsidRP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CCE892" w14:textId="479685AF" w:rsidR="002E61D7" w:rsidRPr="003D458E" w:rsidRDefault="00410D83" w:rsidP="009226B4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стоматологічна клініка </w:t>
      </w:r>
    </w:p>
    <w:p w14:paraId="45F28084" w14:textId="1406C887" w:rsidR="004A5625" w:rsidRPr="003D458E" w:rsidRDefault="00442812" w:rsidP="00043C05">
      <w:pPr>
        <w:numPr>
          <w:ilvl w:val="3"/>
          <w:numId w:val="1"/>
        </w:numPr>
        <w:spacing w:after="12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кількістю крісел</w:t>
      </w:r>
      <w:r w:rsidRPr="003D458E">
        <w:rPr>
          <w:rFonts w:ascii="Times New Roman" w:hAnsi="Times New Roman" w:cs="Times New Roman"/>
          <w:sz w:val="28"/>
          <w:szCs w:val="28"/>
        </w:rPr>
        <w:t>– не менше 125</w:t>
      </w:r>
      <w:r w:rsidR="00410D83" w:rsidRPr="003D45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D3C8B" w14:textId="2F8D22B3" w:rsidR="00EE58F8" w:rsidRPr="003D458E" w:rsidRDefault="006B69BF" w:rsidP="00E35332">
      <w:pPr>
        <w:numPr>
          <w:ilvl w:val="3"/>
          <w:numId w:val="1"/>
        </w:numPr>
        <w:spacing w:after="12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наявність належного </w:t>
      </w:r>
      <w:r w:rsidR="0034725D" w:rsidRPr="003D458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3D458E">
        <w:rPr>
          <w:rFonts w:ascii="Times New Roman" w:hAnsi="Times New Roman" w:cs="Times New Roman"/>
          <w:sz w:val="28"/>
          <w:szCs w:val="28"/>
        </w:rPr>
        <w:t xml:space="preserve">обладнання, матеріально-технічного приладдя та витратних матеріалів </w:t>
      </w:r>
      <w:r w:rsidR="00A57E8C" w:rsidRPr="003D458E">
        <w:rPr>
          <w:rFonts w:ascii="Times New Roman" w:hAnsi="Times New Roman" w:cs="Times New Roman"/>
          <w:sz w:val="28"/>
          <w:szCs w:val="28"/>
        </w:rPr>
        <w:t xml:space="preserve">згідно табелів оснащення </w:t>
      </w:r>
      <w:r w:rsidRPr="003D458E">
        <w:rPr>
          <w:rFonts w:ascii="Times New Roman" w:hAnsi="Times New Roman" w:cs="Times New Roman"/>
          <w:sz w:val="28"/>
          <w:szCs w:val="28"/>
        </w:rPr>
        <w:t xml:space="preserve">в достатній кількості для </w:t>
      </w:r>
      <w:r w:rsidR="00E35332" w:rsidRPr="003D458E">
        <w:rPr>
          <w:rFonts w:ascii="Times New Roman" w:hAnsi="Times New Roman" w:cs="Times New Roman"/>
          <w:sz w:val="28"/>
          <w:szCs w:val="28"/>
        </w:rPr>
        <w:t xml:space="preserve"> </w:t>
      </w:r>
      <w:r w:rsidRPr="003D458E">
        <w:rPr>
          <w:rFonts w:ascii="Times New Roman" w:hAnsi="Times New Roman" w:cs="Times New Roman"/>
          <w:sz w:val="28"/>
          <w:szCs w:val="28"/>
        </w:rPr>
        <w:t xml:space="preserve">забезпечення залучення кожного здобувача до </w:t>
      </w:r>
      <w:r w:rsidR="00EE58F8" w:rsidRPr="003D458E">
        <w:rPr>
          <w:rFonts w:ascii="Times New Roman" w:hAnsi="Times New Roman" w:cs="Times New Roman"/>
          <w:sz w:val="28"/>
          <w:szCs w:val="28"/>
        </w:rPr>
        <w:t>участі у наданні всіх видів стоматологічної допомоги, передбаченої стандартом та навчальним планом</w:t>
      </w:r>
      <w:r w:rsidR="00A57E8C" w:rsidRPr="003D458E">
        <w:rPr>
          <w:rFonts w:ascii="Times New Roman" w:hAnsi="Times New Roman" w:cs="Times New Roman"/>
          <w:sz w:val="28"/>
          <w:szCs w:val="28"/>
        </w:rPr>
        <w:t xml:space="preserve"> </w:t>
      </w:r>
      <w:r w:rsidR="00EE58F8" w:rsidRPr="003D458E">
        <w:rPr>
          <w:rFonts w:ascii="Times New Roman" w:hAnsi="Times New Roman" w:cs="Times New Roman"/>
          <w:sz w:val="28"/>
          <w:szCs w:val="28"/>
        </w:rPr>
        <w:t xml:space="preserve">, </w:t>
      </w:r>
      <w:r w:rsidR="00E35332" w:rsidRPr="003D458E">
        <w:rPr>
          <w:rFonts w:ascii="Times New Roman" w:hAnsi="Times New Roman" w:cs="Times New Roman"/>
          <w:sz w:val="28"/>
          <w:szCs w:val="28"/>
        </w:rPr>
        <w:t xml:space="preserve">щонайменше </w:t>
      </w:r>
      <w:r w:rsidR="00EE58F8" w:rsidRPr="003D45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3AFA3" w14:textId="4129B4A1" w:rsidR="00E35332" w:rsidRPr="003D458E" w:rsidRDefault="00EE58F8" w:rsidP="00E35332">
      <w:pPr>
        <w:numPr>
          <w:ilvl w:val="3"/>
          <w:numId w:val="1"/>
        </w:numPr>
        <w:spacing w:after="12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наявність допоміжних підрозділів/функцій з відповідним обладнанням – </w:t>
      </w:r>
      <w:r w:rsidR="00E35332" w:rsidRPr="003D458E">
        <w:rPr>
          <w:rFonts w:ascii="Times New Roman" w:hAnsi="Times New Roman" w:cs="Times New Roman"/>
          <w:sz w:val="28"/>
          <w:szCs w:val="28"/>
        </w:rPr>
        <w:t>радіологічне, стерилізаційне,  обладнання</w:t>
      </w:r>
    </w:p>
    <w:p w14:paraId="60F8A251" w14:textId="77777777" w:rsidR="005445DE" w:rsidRPr="003D458E" w:rsidRDefault="005445DE" w:rsidP="005445DE">
      <w:pPr>
        <w:numPr>
          <w:ilvl w:val="3"/>
          <w:numId w:val="1"/>
        </w:numPr>
        <w:spacing w:after="12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кадровий склад клініки дозволяє забезпечити підготовку здобувачів для реалізації командної роботи (в «чотири руки»)</w:t>
      </w:r>
    </w:p>
    <w:p w14:paraId="3D77F5C3" w14:textId="77777777" w:rsidR="005445DE" w:rsidRPr="003D458E" w:rsidRDefault="005445DE" w:rsidP="005445DE">
      <w:pPr>
        <w:numPr>
          <w:ilvl w:val="3"/>
          <w:numId w:val="1"/>
        </w:numPr>
        <w:spacing w:after="12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співвідношення студент до пацієнтів стаціонару – 1 до 2 </w:t>
      </w:r>
    </w:p>
    <w:p w14:paraId="29C814DF" w14:textId="64E44EA4" w:rsidR="002E61D7" w:rsidRPr="003D458E" w:rsidRDefault="005445DE" w:rsidP="0034725D">
      <w:pPr>
        <w:numPr>
          <w:ilvl w:val="3"/>
          <w:numId w:val="1"/>
        </w:numPr>
        <w:spacing w:after="12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співвідношення студент до кабінету – 2 до 1 </w:t>
      </w:r>
    </w:p>
    <w:p w14:paraId="4AEC2F1D" w14:textId="77777777" w:rsidR="003E74E0" w:rsidRPr="003D458E" w:rsidRDefault="003E74E0" w:rsidP="003E74E0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медична клініка </w:t>
      </w:r>
    </w:p>
    <w:p w14:paraId="61D8405A" w14:textId="77777777" w:rsidR="003E74E0" w:rsidRPr="003D458E" w:rsidRDefault="003E74E0" w:rsidP="003E74E0">
      <w:pPr>
        <w:numPr>
          <w:ilvl w:val="3"/>
          <w:numId w:val="1"/>
        </w:numPr>
        <w:spacing w:after="12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з профілізацією основного стаціонару щонайменше: з такими підрозділами: терапевтичне – не менше 30 ліжок, хірургічне – не менше 30 ліжок, акушерство, гінекологія, пологове - не менше 15 ліжок), педіатричне – не менше 6 ліжок</w:t>
      </w:r>
    </w:p>
    <w:p w14:paraId="4029AE36" w14:textId="2D1F1EA4" w:rsidR="003E74E0" w:rsidRPr="003D458E" w:rsidRDefault="003E74E0" w:rsidP="003E74E0">
      <w:pPr>
        <w:numPr>
          <w:ilvl w:val="3"/>
          <w:numId w:val="1"/>
        </w:numPr>
        <w:spacing w:after="12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наявність додаткових підрозділів/договорів для набуття клінічного досвіду в таких сферах: ортопедії та травматології, реанімації та інтенсивної терапії, отоларингологічне, патологоанатомічне, </w:t>
      </w:r>
      <w:r w:rsidR="00D87C00" w:rsidRPr="003D458E">
        <w:rPr>
          <w:rFonts w:ascii="Times New Roman" w:hAnsi="Times New Roman" w:cs="Times New Roman"/>
          <w:sz w:val="28"/>
          <w:szCs w:val="28"/>
        </w:rPr>
        <w:t xml:space="preserve">радіологічне, офтальмологічне, анестезіології,  дерматології, операційні, </w:t>
      </w:r>
      <w:r w:rsidR="005063B1" w:rsidRPr="003D458E">
        <w:rPr>
          <w:rFonts w:ascii="Times New Roman" w:hAnsi="Times New Roman" w:cs="Times New Roman"/>
          <w:sz w:val="28"/>
          <w:szCs w:val="28"/>
        </w:rPr>
        <w:t xml:space="preserve">психіатричне, банк крові, </w:t>
      </w:r>
      <w:r w:rsidRPr="003D458E">
        <w:rPr>
          <w:rFonts w:ascii="Times New Roman" w:hAnsi="Times New Roman" w:cs="Times New Roman"/>
          <w:sz w:val="28"/>
          <w:szCs w:val="28"/>
        </w:rPr>
        <w:t>набуття досвіду з громадського здоров’я та управління охороною здоров’я</w:t>
      </w:r>
    </w:p>
    <w:p w14:paraId="1A0D2E94" w14:textId="396CE44F" w:rsidR="003E74E0" w:rsidRPr="003D458E" w:rsidRDefault="003E74E0" w:rsidP="003E74E0">
      <w:pPr>
        <w:numPr>
          <w:ilvl w:val="3"/>
          <w:numId w:val="1"/>
        </w:numPr>
        <w:spacing w:after="12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наявність відділення реанімації та інтенсивної терапії для пацієнтів з патологіями різного профілю та віку – не менше 10 ліжок</w:t>
      </w:r>
    </w:p>
    <w:p w14:paraId="217F83A4" w14:textId="6A35397E" w:rsidR="00D87C00" w:rsidRPr="003D458E" w:rsidRDefault="005063B1" w:rsidP="003E74E0">
      <w:pPr>
        <w:numPr>
          <w:ilvl w:val="3"/>
          <w:numId w:val="1"/>
        </w:numPr>
        <w:spacing w:after="12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наявність реабілітаційного відділення</w:t>
      </w:r>
    </w:p>
    <w:p w14:paraId="18FE93C4" w14:textId="3B02D7A9" w:rsidR="00D87C00" w:rsidRPr="003D458E" w:rsidRDefault="00D87C00" w:rsidP="003E74E0">
      <w:pPr>
        <w:numPr>
          <w:ilvl w:val="3"/>
          <w:numId w:val="1"/>
        </w:numPr>
        <w:spacing w:after="12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наявність поліклініки</w:t>
      </w:r>
    </w:p>
    <w:p w14:paraId="77183114" w14:textId="2E7CD416" w:rsidR="005063B1" w:rsidRPr="003D458E" w:rsidRDefault="005063B1" w:rsidP="003E74E0">
      <w:pPr>
        <w:numPr>
          <w:ilvl w:val="3"/>
          <w:numId w:val="1"/>
        </w:numPr>
        <w:spacing w:after="120" w:line="240" w:lineRule="auto"/>
        <w:ind w:left="1701" w:hanging="567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lastRenderedPageBreak/>
        <w:t>наявність госпітальної інформаційної системи</w:t>
      </w:r>
    </w:p>
    <w:p w14:paraId="2E8C9C84" w14:textId="0244CB7A" w:rsidR="009226B4" w:rsidRPr="003D458E" w:rsidRDefault="009226B4" w:rsidP="009226B4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наявність </w:t>
      </w:r>
      <w:r w:rsidR="003E74E0" w:rsidRPr="003D458E">
        <w:rPr>
          <w:rFonts w:ascii="Times New Roman" w:hAnsi="Times New Roman" w:cs="Times New Roman"/>
          <w:sz w:val="28"/>
          <w:szCs w:val="28"/>
        </w:rPr>
        <w:t xml:space="preserve">в клініках </w:t>
      </w:r>
      <w:r w:rsidRPr="003D458E">
        <w:rPr>
          <w:rFonts w:ascii="Times New Roman" w:hAnsi="Times New Roman" w:cs="Times New Roman"/>
          <w:sz w:val="28"/>
          <w:szCs w:val="28"/>
        </w:rPr>
        <w:t>приміщень для проведення занять зі здобувачами, виконання і демонстрації медичних процедур</w:t>
      </w:r>
    </w:p>
    <w:p w14:paraId="635D4BEB" w14:textId="77777777" w:rsidR="009226B4" w:rsidRPr="003D458E" w:rsidRDefault="009226B4" w:rsidP="009226B4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клінічний науково-педагогічний персонал надає медичну допомогу в клініці в обсязі не менше 25% робочого часу із обов’язковим залученням до надання медичної допомоги здобувачів (під наглядом)</w:t>
      </w:r>
    </w:p>
    <w:p w14:paraId="0D3659A8" w14:textId="77777777" w:rsidR="009226B4" w:rsidRPr="003D458E" w:rsidRDefault="009226B4" w:rsidP="009226B4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якщо власна університетська клініка не забезпечує мінімально необхідної кількості амбулаторних та стаціонарних випадків відповідно до ліцензійного обсягу, для навчання здобувачів на постійній основі мають залучатися інші клінічні лікарні, у тому числі на договірних засадах</w:t>
      </w:r>
    </w:p>
    <w:p w14:paraId="7BA2190D" w14:textId="77777777" w:rsidR="00410D83" w:rsidRPr="003D458E" w:rsidRDefault="00410D83" w:rsidP="00410D83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5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 практики, виробничі бази для практичної підготовки, що задовольняють таким  вимогам:</w:t>
      </w:r>
    </w:p>
    <w:p w14:paraId="14A80947" w14:textId="77777777" w:rsidR="00410D83" w:rsidRPr="003D458E" w:rsidRDefault="00410D83" w:rsidP="00410D83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профіль бази – сучасні заклади охорони здоров’я різного профілю, науково-дослідні інститути, що відповідають професійній діяльності за спеціальністю 222 «Медицина»;</w:t>
      </w:r>
    </w:p>
    <w:p w14:paraId="0D789E85" w14:textId="77777777" w:rsidR="00410D83" w:rsidRPr="003D458E" w:rsidRDefault="00410D83" w:rsidP="00410D83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можливість кваліфікованого керівництва практичною підготовкою здобувачів;</w:t>
      </w:r>
    </w:p>
    <w:p w14:paraId="676610DB" w14:textId="77777777" w:rsidR="00410D83" w:rsidRPr="003D458E" w:rsidRDefault="00410D83" w:rsidP="00410D83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можливість доступу здобувачів до клінічної та іншої документації, необхідної для виконання програми практики;</w:t>
      </w:r>
    </w:p>
    <w:p w14:paraId="51A198C5" w14:textId="77777777" w:rsidR="00410D83" w:rsidRPr="003D458E" w:rsidRDefault="00410D83" w:rsidP="00410D83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сукупна потужність баз практик, виробничих баз – не менше 25 місць для 50 студентів річного ліцензійного обсягу, не менше 100 місць для 200 студентів річного ліцензійного обсягу</w:t>
      </w:r>
    </w:p>
    <w:p w14:paraId="3F6E9708" w14:textId="77777777" w:rsidR="00410D83" w:rsidRPr="003D458E" w:rsidRDefault="00410D83" w:rsidP="00410D83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можливість надання здобувачам на час практики робочих місць </w:t>
      </w:r>
    </w:p>
    <w:p w14:paraId="10A4E31A" w14:textId="77777777" w:rsidR="00410D83" w:rsidRPr="003D458E" w:rsidRDefault="00410D83" w:rsidP="00410D83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 xml:space="preserve">наявність договору(-ів) між закладом вищої освіти та базою(-ами), зокрема щодо використання матеріально-технічних та навчальних можливостей бази на договірних засадах. </w:t>
      </w:r>
    </w:p>
    <w:p w14:paraId="5796D8D2" w14:textId="77777777" w:rsidR="000565A5" w:rsidRPr="003D458E" w:rsidRDefault="000565A5" w:rsidP="00F026F3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>Інформаційне забезпечення:</w:t>
      </w:r>
    </w:p>
    <w:p w14:paraId="5108D020" w14:textId="77777777" w:rsidR="00663AE5" w:rsidRPr="003D458E" w:rsidRDefault="00663AE5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наявність бібліотеки</w:t>
      </w:r>
      <w:r w:rsidR="00474FE7" w:rsidRPr="003D458E">
        <w:rPr>
          <w:rFonts w:ascii="Times New Roman" w:hAnsi="Times New Roman" w:cs="Times New Roman"/>
          <w:sz w:val="28"/>
          <w:szCs w:val="28"/>
        </w:rPr>
        <w:t xml:space="preserve">/репозиторію </w:t>
      </w:r>
      <w:r w:rsidR="00D8695E" w:rsidRPr="003D458E">
        <w:rPr>
          <w:rFonts w:ascii="Times New Roman" w:hAnsi="Times New Roman" w:cs="Times New Roman"/>
          <w:sz w:val="28"/>
          <w:szCs w:val="28"/>
        </w:rPr>
        <w:t>з інформаційними джерелами</w:t>
      </w:r>
      <w:r w:rsidR="00F81AEA" w:rsidRPr="003D458E">
        <w:rPr>
          <w:rFonts w:ascii="Times New Roman" w:hAnsi="Times New Roman" w:cs="Times New Roman"/>
          <w:sz w:val="28"/>
          <w:szCs w:val="28"/>
        </w:rPr>
        <w:t xml:space="preserve">, необхідними для виконання освітньої програми, </w:t>
      </w:r>
      <w:r w:rsidRPr="003D458E">
        <w:rPr>
          <w:rFonts w:ascii="Times New Roman" w:hAnsi="Times New Roman" w:cs="Times New Roman"/>
          <w:sz w:val="28"/>
          <w:szCs w:val="28"/>
        </w:rPr>
        <w:t xml:space="preserve">виданих </w:t>
      </w:r>
      <w:r w:rsidR="00F81AEA" w:rsidRPr="003D458E">
        <w:rPr>
          <w:rFonts w:ascii="Times New Roman" w:hAnsi="Times New Roman" w:cs="Times New Roman"/>
          <w:sz w:val="28"/>
          <w:szCs w:val="28"/>
        </w:rPr>
        <w:t>за останні 10 </w:t>
      </w:r>
      <w:r w:rsidRPr="003D458E">
        <w:rPr>
          <w:rFonts w:ascii="Times New Roman" w:hAnsi="Times New Roman" w:cs="Times New Roman"/>
          <w:sz w:val="28"/>
          <w:szCs w:val="28"/>
        </w:rPr>
        <w:t>років (для дисциплін гуманітарного, соціального та економічного спрямува</w:t>
      </w:r>
      <w:r w:rsidR="00D8695E" w:rsidRPr="003D458E">
        <w:rPr>
          <w:rFonts w:ascii="Times New Roman" w:hAnsi="Times New Roman" w:cs="Times New Roman"/>
          <w:sz w:val="28"/>
          <w:szCs w:val="28"/>
        </w:rPr>
        <w:t>ння – за останні п'ять років)</w:t>
      </w:r>
      <w:r w:rsidRPr="003D45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53251" w14:textId="77777777" w:rsidR="00474FE7" w:rsidRPr="003D458E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14:paraId="60082D55" w14:textId="77777777" w:rsidR="00474FE7" w:rsidRPr="003D458E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3D458E">
        <w:rPr>
          <w:sz w:val="28"/>
          <w:szCs w:val="28"/>
          <w:lang w:val="uk-UA"/>
        </w:rPr>
        <w:lastRenderedPageBreak/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освіти); </w:t>
      </w:r>
    </w:p>
    <w:p w14:paraId="34C002E7" w14:textId="77777777" w:rsidR="00474FE7" w:rsidRPr="003D458E" w:rsidRDefault="00474FE7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наявність доступу до міжнародних реферативних та наукометричних баз даних Scopus, Web of Science та інших;</w:t>
      </w:r>
    </w:p>
    <w:p w14:paraId="453C1668" w14:textId="77777777" w:rsidR="009A41C2" w:rsidRPr="003D458E" w:rsidRDefault="00531922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458E">
        <w:rPr>
          <w:rFonts w:ascii="Times New Roman" w:hAnsi="Times New Roman" w:cs="Times New Roman"/>
          <w:sz w:val="28"/>
          <w:szCs w:val="28"/>
        </w:rPr>
        <w:t>доступ</w:t>
      </w:r>
      <w:r w:rsidR="00474FE7" w:rsidRPr="003D458E">
        <w:rPr>
          <w:rFonts w:ascii="Times New Roman" w:hAnsi="Times New Roman" w:cs="Times New Roman"/>
          <w:sz w:val="28"/>
          <w:szCs w:val="28"/>
        </w:rPr>
        <w:t xml:space="preserve"> до бібліотеки</w:t>
      </w:r>
      <w:r w:rsidR="00B640E9" w:rsidRPr="003D458E">
        <w:rPr>
          <w:rFonts w:ascii="Times New Roman" w:hAnsi="Times New Roman" w:cs="Times New Roman"/>
          <w:sz w:val="28"/>
          <w:szCs w:val="28"/>
        </w:rPr>
        <w:t xml:space="preserve">/репозиторію, видань, </w:t>
      </w:r>
      <w:r w:rsidR="00474FE7" w:rsidRPr="003D458E">
        <w:rPr>
          <w:rFonts w:ascii="Times New Roman" w:hAnsi="Times New Roman" w:cs="Times New Roman"/>
          <w:sz w:val="28"/>
          <w:szCs w:val="28"/>
        </w:rPr>
        <w:t xml:space="preserve">баз даних забезпечується всім </w:t>
      </w:r>
      <w:r w:rsidR="00F81AEA" w:rsidRPr="003D458E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="00474FE7" w:rsidRPr="003D458E">
        <w:rPr>
          <w:rFonts w:ascii="Times New Roman" w:hAnsi="Times New Roman" w:cs="Times New Roman"/>
          <w:sz w:val="28"/>
          <w:szCs w:val="28"/>
        </w:rPr>
        <w:t xml:space="preserve">та </w:t>
      </w:r>
      <w:r w:rsidR="00B640E9" w:rsidRPr="003D458E">
        <w:rPr>
          <w:rFonts w:ascii="Times New Roman" w:hAnsi="Times New Roman" w:cs="Times New Roman"/>
          <w:sz w:val="28"/>
          <w:szCs w:val="28"/>
        </w:rPr>
        <w:t>науково-педагогічним працівникам; п</w:t>
      </w:r>
      <w:r w:rsidR="00474FE7" w:rsidRPr="003D458E">
        <w:rPr>
          <w:rFonts w:ascii="Times New Roman" w:hAnsi="Times New Roman" w:cs="Times New Roman"/>
          <w:sz w:val="28"/>
          <w:szCs w:val="28"/>
        </w:rPr>
        <w:t xml:space="preserve">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14:paraId="2D34805B" w14:textId="77777777" w:rsidR="00474FE7" w:rsidRPr="00CA5145" w:rsidRDefault="00474FE7" w:rsidP="009A41C2">
      <w:pPr>
        <w:jc w:val="right"/>
      </w:pPr>
    </w:p>
    <w:sectPr w:rsidR="00474FE7" w:rsidRPr="00CA5145" w:rsidSect="00A04B5D">
      <w:headerReference w:type="default" r:id="rId8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40678" w14:textId="77777777" w:rsidR="00E0605F" w:rsidRDefault="00E0605F" w:rsidP="00391BEB">
      <w:pPr>
        <w:spacing w:after="0" w:line="240" w:lineRule="auto"/>
      </w:pPr>
      <w:r>
        <w:separator/>
      </w:r>
    </w:p>
  </w:endnote>
  <w:endnote w:type="continuationSeparator" w:id="0">
    <w:p w14:paraId="09C80372" w14:textId="77777777" w:rsidR="00E0605F" w:rsidRDefault="00E0605F" w:rsidP="003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FB1BA" w14:textId="77777777" w:rsidR="00E0605F" w:rsidRDefault="00E0605F" w:rsidP="00391BEB">
      <w:pPr>
        <w:spacing w:after="0" w:line="240" w:lineRule="auto"/>
      </w:pPr>
      <w:r>
        <w:separator/>
      </w:r>
    </w:p>
  </w:footnote>
  <w:footnote w:type="continuationSeparator" w:id="0">
    <w:p w14:paraId="0871E43A" w14:textId="77777777" w:rsidR="00E0605F" w:rsidRDefault="00E0605F" w:rsidP="00391BEB">
      <w:pPr>
        <w:spacing w:after="0" w:line="240" w:lineRule="auto"/>
      </w:pPr>
      <w:r>
        <w:continuationSeparator/>
      </w:r>
    </w:p>
  </w:footnote>
  <w:footnote w:id="1">
    <w:p w14:paraId="40C149D4" w14:textId="67D8F2D5" w:rsidR="00443B95" w:rsidRDefault="00443B95">
      <w:pPr>
        <w:pStyle w:val="af0"/>
      </w:pPr>
      <w:r>
        <w:rPr>
          <w:rStyle w:val="af2"/>
        </w:rPr>
        <w:footnoteRef/>
      </w:r>
      <w:r>
        <w:t xml:space="preserve"> </w:t>
      </w:r>
      <w:r w:rsidRPr="00443B95">
        <w:t>The Graduating European Dentist: A New Undergraduate Curriculum Framework // The European Journal of Dental Education: Volume 21, Issue S1, December 2017, pp. 1-35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435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B25C532" w14:textId="3BC7DEAF" w:rsidR="00391BEB" w:rsidRPr="00391BEB" w:rsidRDefault="00391BEB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391BEB">
          <w:rPr>
            <w:rFonts w:ascii="Times New Roman" w:hAnsi="Times New Roman" w:cs="Times New Roman"/>
            <w:sz w:val="28"/>
          </w:rPr>
          <w:fldChar w:fldCharType="begin"/>
        </w:r>
        <w:r w:rsidRPr="00391BEB">
          <w:rPr>
            <w:rFonts w:ascii="Times New Roman" w:hAnsi="Times New Roman" w:cs="Times New Roman"/>
            <w:sz w:val="28"/>
          </w:rPr>
          <w:instrText>PAGE   \* MERGEFORMAT</w:instrText>
        </w:r>
        <w:r w:rsidRPr="00391BEB">
          <w:rPr>
            <w:rFonts w:ascii="Times New Roman" w:hAnsi="Times New Roman" w:cs="Times New Roman"/>
            <w:sz w:val="28"/>
          </w:rPr>
          <w:fldChar w:fldCharType="separate"/>
        </w:r>
        <w:r w:rsidR="003D458E">
          <w:rPr>
            <w:rFonts w:ascii="Times New Roman" w:hAnsi="Times New Roman" w:cs="Times New Roman"/>
            <w:noProof/>
            <w:sz w:val="28"/>
          </w:rPr>
          <w:t>6</w:t>
        </w:r>
        <w:r w:rsidRPr="00391BE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30AEB7B" w14:textId="77777777" w:rsidR="00391BEB" w:rsidRDefault="00391B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A5"/>
    <w:rsid w:val="0000022C"/>
    <w:rsid w:val="000027EC"/>
    <w:rsid w:val="00020F8B"/>
    <w:rsid w:val="00043C05"/>
    <w:rsid w:val="00044339"/>
    <w:rsid w:val="00050848"/>
    <w:rsid w:val="00050CF2"/>
    <w:rsid w:val="000552A6"/>
    <w:rsid w:val="000565A5"/>
    <w:rsid w:val="00061E21"/>
    <w:rsid w:val="000770E3"/>
    <w:rsid w:val="000B17BE"/>
    <w:rsid w:val="000B6347"/>
    <w:rsid w:val="000C1085"/>
    <w:rsid w:val="000C2567"/>
    <w:rsid w:val="000C3C5F"/>
    <w:rsid w:val="000D0DDC"/>
    <w:rsid w:val="000D622F"/>
    <w:rsid w:val="000E6D47"/>
    <w:rsid w:val="000F1766"/>
    <w:rsid w:val="00101182"/>
    <w:rsid w:val="00101859"/>
    <w:rsid w:val="001074E7"/>
    <w:rsid w:val="001127AF"/>
    <w:rsid w:val="00125073"/>
    <w:rsid w:val="00140176"/>
    <w:rsid w:val="00144975"/>
    <w:rsid w:val="00154BDB"/>
    <w:rsid w:val="00155FB7"/>
    <w:rsid w:val="00166FE3"/>
    <w:rsid w:val="00172127"/>
    <w:rsid w:val="001B0FBE"/>
    <w:rsid w:val="001C62AA"/>
    <w:rsid w:val="001F35BC"/>
    <w:rsid w:val="00226346"/>
    <w:rsid w:val="00242020"/>
    <w:rsid w:val="0025306B"/>
    <w:rsid w:val="00254D11"/>
    <w:rsid w:val="00273C52"/>
    <w:rsid w:val="0027602A"/>
    <w:rsid w:val="002A700A"/>
    <w:rsid w:val="002C32B7"/>
    <w:rsid w:val="002C6A9E"/>
    <w:rsid w:val="002E61D7"/>
    <w:rsid w:val="002E6DCB"/>
    <w:rsid w:val="002F47F8"/>
    <w:rsid w:val="00310876"/>
    <w:rsid w:val="00312DDC"/>
    <w:rsid w:val="00344163"/>
    <w:rsid w:val="00347184"/>
    <w:rsid w:val="0034725D"/>
    <w:rsid w:val="00352DC3"/>
    <w:rsid w:val="00352F6C"/>
    <w:rsid w:val="003653F9"/>
    <w:rsid w:val="003748E5"/>
    <w:rsid w:val="00381DF8"/>
    <w:rsid w:val="00391BEB"/>
    <w:rsid w:val="003D458E"/>
    <w:rsid w:val="003E74E0"/>
    <w:rsid w:val="003E79DA"/>
    <w:rsid w:val="003F75F4"/>
    <w:rsid w:val="003F7934"/>
    <w:rsid w:val="00410D83"/>
    <w:rsid w:val="004120F9"/>
    <w:rsid w:val="00425B09"/>
    <w:rsid w:val="0043090D"/>
    <w:rsid w:val="00435969"/>
    <w:rsid w:val="00442812"/>
    <w:rsid w:val="00443B95"/>
    <w:rsid w:val="00474FE7"/>
    <w:rsid w:val="004A3FF2"/>
    <w:rsid w:val="004A5625"/>
    <w:rsid w:val="004D52EB"/>
    <w:rsid w:val="005044C4"/>
    <w:rsid w:val="005063B1"/>
    <w:rsid w:val="00517B96"/>
    <w:rsid w:val="00523A6D"/>
    <w:rsid w:val="00531922"/>
    <w:rsid w:val="005445DE"/>
    <w:rsid w:val="00545016"/>
    <w:rsid w:val="005511C9"/>
    <w:rsid w:val="0055162D"/>
    <w:rsid w:val="00552801"/>
    <w:rsid w:val="00563FC8"/>
    <w:rsid w:val="00566A0F"/>
    <w:rsid w:val="0056778B"/>
    <w:rsid w:val="005B2B34"/>
    <w:rsid w:val="005F1091"/>
    <w:rsid w:val="005F29C9"/>
    <w:rsid w:val="0060596B"/>
    <w:rsid w:val="00623099"/>
    <w:rsid w:val="00630B49"/>
    <w:rsid w:val="00635F23"/>
    <w:rsid w:val="00636E5F"/>
    <w:rsid w:val="00663AE5"/>
    <w:rsid w:val="00682A5E"/>
    <w:rsid w:val="00695BA0"/>
    <w:rsid w:val="006B69BF"/>
    <w:rsid w:val="006C232F"/>
    <w:rsid w:val="006D2C2E"/>
    <w:rsid w:val="006D50B3"/>
    <w:rsid w:val="006D626A"/>
    <w:rsid w:val="00711472"/>
    <w:rsid w:val="0071529E"/>
    <w:rsid w:val="00731283"/>
    <w:rsid w:val="00743D15"/>
    <w:rsid w:val="00786554"/>
    <w:rsid w:val="007A5F85"/>
    <w:rsid w:val="007A6DC8"/>
    <w:rsid w:val="007B74F5"/>
    <w:rsid w:val="007C3156"/>
    <w:rsid w:val="00813B02"/>
    <w:rsid w:val="0082755E"/>
    <w:rsid w:val="008411B5"/>
    <w:rsid w:val="00845994"/>
    <w:rsid w:val="00846045"/>
    <w:rsid w:val="00863445"/>
    <w:rsid w:val="00865435"/>
    <w:rsid w:val="008B166A"/>
    <w:rsid w:val="008B2C0A"/>
    <w:rsid w:val="008C3DCC"/>
    <w:rsid w:val="008E071D"/>
    <w:rsid w:val="008F2160"/>
    <w:rsid w:val="008F48C9"/>
    <w:rsid w:val="00905114"/>
    <w:rsid w:val="0091361B"/>
    <w:rsid w:val="00921AB9"/>
    <w:rsid w:val="009226B4"/>
    <w:rsid w:val="00937D07"/>
    <w:rsid w:val="00953447"/>
    <w:rsid w:val="00970B24"/>
    <w:rsid w:val="00973028"/>
    <w:rsid w:val="0098055B"/>
    <w:rsid w:val="009869EE"/>
    <w:rsid w:val="009A41C2"/>
    <w:rsid w:val="009B736F"/>
    <w:rsid w:val="009B7BAB"/>
    <w:rsid w:val="009C118F"/>
    <w:rsid w:val="009C7B8B"/>
    <w:rsid w:val="009D5A83"/>
    <w:rsid w:val="009E7538"/>
    <w:rsid w:val="009F1963"/>
    <w:rsid w:val="00A04B5D"/>
    <w:rsid w:val="00A57E8C"/>
    <w:rsid w:val="00A673A6"/>
    <w:rsid w:val="00A77300"/>
    <w:rsid w:val="00A90A9B"/>
    <w:rsid w:val="00AA07EA"/>
    <w:rsid w:val="00AA5A30"/>
    <w:rsid w:val="00AC6EE8"/>
    <w:rsid w:val="00AE356B"/>
    <w:rsid w:val="00B20204"/>
    <w:rsid w:val="00B30E27"/>
    <w:rsid w:val="00B3675F"/>
    <w:rsid w:val="00B63CBA"/>
    <w:rsid w:val="00B640E9"/>
    <w:rsid w:val="00B64899"/>
    <w:rsid w:val="00BB265F"/>
    <w:rsid w:val="00BB4A82"/>
    <w:rsid w:val="00BB51FF"/>
    <w:rsid w:val="00BD0FC2"/>
    <w:rsid w:val="00BE57FD"/>
    <w:rsid w:val="00BF6B74"/>
    <w:rsid w:val="00C05F6D"/>
    <w:rsid w:val="00C40283"/>
    <w:rsid w:val="00C46A49"/>
    <w:rsid w:val="00C61D48"/>
    <w:rsid w:val="00C74751"/>
    <w:rsid w:val="00C91FEA"/>
    <w:rsid w:val="00C947E3"/>
    <w:rsid w:val="00CA0913"/>
    <w:rsid w:val="00CA5145"/>
    <w:rsid w:val="00CB3BB4"/>
    <w:rsid w:val="00CC58CA"/>
    <w:rsid w:val="00CD395B"/>
    <w:rsid w:val="00D27B97"/>
    <w:rsid w:val="00D43AF9"/>
    <w:rsid w:val="00D459B8"/>
    <w:rsid w:val="00D563BD"/>
    <w:rsid w:val="00D75799"/>
    <w:rsid w:val="00D81B4C"/>
    <w:rsid w:val="00D8695E"/>
    <w:rsid w:val="00D87C00"/>
    <w:rsid w:val="00DC0C6F"/>
    <w:rsid w:val="00DD2A06"/>
    <w:rsid w:val="00DD3384"/>
    <w:rsid w:val="00DF7FA7"/>
    <w:rsid w:val="00E016D3"/>
    <w:rsid w:val="00E0605F"/>
    <w:rsid w:val="00E1643D"/>
    <w:rsid w:val="00E23304"/>
    <w:rsid w:val="00E35332"/>
    <w:rsid w:val="00E35C12"/>
    <w:rsid w:val="00E534CA"/>
    <w:rsid w:val="00E55AC8"/>
    <w:rsid w:val="00EA305A"/>
    <w:rsid w:val="00EE4944"/>
    <w:rsid w:val="00EE58F8"/>
    <w:rsid w:val="00EF29E4"/>
    <w:rsid w:val="00F026F3"/>
    <w:rsid w:val="00F072AE"/>
    <w:rsid w:val="00F32C7E"/>
    <w:rsid w:val="00F460CE"/>
    <w:rsid w:val="00F5209C"/>
    <w:rsid w:val="00F81AEA"/>
    <w:rsid w:val="00FA302B"/>
    <w:rsid w:val="00FA5276"/>
    <w:rsid w:val="00FB0BF4"/>
    <w:rsid w:val="00FB53B5"/>
    <w:rsid w:val="00FC4CDD"/>
    <w:rsid w:val="00FC4EDD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2AFE"/>
  <w15:chartTrackingRefBased/>
  <w15:docId w15:val="{A9C17FB1-8586-4C51-944A-C1BD0F11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A5"/>
  </w:style>
  <w:style w:type="paragraph" w:styleId="4">
    <w:name w:val="heading 4"/>
    <w:aliases w:val="Заголовок НПА"/>
    <w:basedOn w:val="a"/>
    <w:link w:val="40"/>
    <w:uiPriority w:val="9"/>
    <w:qFormat/>
    <w:rsid w:val="008B166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НПА Знак"/>
    <w:basedOn w:val="a0"/>
    <w:link w:val="4"/>
    <w:uiPriority w:val="9"/>
    <w:rsid w:val="008B166A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customStyle="1" w:styleId="rvts0">
    <w:name w:val="rvts0"/>
    <w:basedOn w:val="a0"/>
    <w:rsid w:val="000565A5"/>
  </w:style>
  <w:style w:type="paragraph" w:styleId="a3">
    <w:name w:val="List Paragraph"/>
    <w:basedOn w:val="a"/>
    <w:uiPriority w:val="34"/>
    <w:qFormat/>
    <w:rsid w:val="000565A5"/>
    <w:pPr>
      <w:ind w:left="720"/>
      <w:contextualSpacing/>
    </w:pPr>
  </w:style>
  <w:style w:type="table" w:styleId="a4">
    <w:name w:val="Table Grid"/>
    <w:basedOn w:val="a1"/>
    <w:uiPriority w:val="59"/>
    <w:rsid w:val="0005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5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420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91BEB"/>
  </w:style>
  <w:style w:type="paragraph" w:styleId="a9">
    <w:name w:val="footer"/>
    <w:basedOn w:val="a"/>
    <w:link w:val="aa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91BEB"/>
  </w:style>
  <w:style w:type="character" w:styleId="ab">
    <w:name w:val="annotation reference"/>
    <w:basedOn w:val="a0"/>
    <w:uiPriority w:val="99"/>
    <w:semiHidden/>
    <w:unhideWhenUsed/>
    <w:rsid w:val="001127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27AF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1127A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7A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127AF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443B95"/>
    <w:pPr>
      <w:spacing w:after="0" w:line="240" w:lineRule="auto"/>
    </w:pPr>
    <w:rPr>
      <w:sz w:val="20"/>
      <w:szCs w:val="20"/>
    </w:rPr>
  </w:style>
  <w:style w:type="character" w:customStyle="1" w:styleId="af1">
    <w:name w:val="Текст виноски Знак"/>
    <w:basedOn w:val="a0"/>
    <w:link w:val="af0"/>
    <w:uiPriority w:val="99"/>
    <w:semiHidden/>
    <w:rsid w:val="00443B9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43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DB7B2-4E6E-4F74-AE72-77D3E826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6382</Words>
  <Characters>3638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3</cp:revision>
  <cp:lastPrinted>2021-02-23T15:12:00Z</cp:lastPrinted>
  <dcterms:created xsi:type="dcterms:W3CDTF">2021-04-30T09:16:00Z</dcterms:created>
  <dcterms:modified xsi:type="dcterms:W3CDTF">2021-04-30T09:17:00Z</dcterms:modified>
</cp:coreProperties>
</file>