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78" w:rsidRPr="00580659" w:rsidRDefault="00600378" w:rsidP="00600378">
      <w:pPr>
        <w:spacing w:after="120" w:line="240" w:lineRule="auto"/>
        <w:ind w:firstLine="709"/>
        <w:jc w:val="right"/>
        <w:rPr>
          <w:rStyle w:val="rvts0"/>
          <w:rFonts w:ascii="Times New Roman" w:hAnsi="Times New Roman" w:cs="Times New Roman"/>
          <w:sz w:val="28"/>
          <w:szCs w:val="28"/>
        </w:rPr>
      </w:pPr>
      <w:r w:rsidRPr="00580659">
        <w:rPr>
          <w:rStyle w:val="rvts0"/>
          <w:rFonts w:ascii="Times New Roman" w:hAnsi="Times New Roman" w:cs="Times New Roman"/>
          <w:sz w:val="28"/>
          <w:szCs w:val="28"/>
        </w:rPr>
        <w:t>Додаток 1</w:t>
      </w:r>
      <w:r>
        <w:rPr>
          <w:rStyle w:val="rvts0"/>
          <w:rFonts w:ascii="Times New Roman" w:hAnsi="Times New Roman" w:cs="Times New Roman"/>
          <w:sz w:val="28"/>
          <w:szCs w:val="28"/>
        </w:rPr>
        <w:t>3</w:t>
      </w:r>
      <w:r w:rsidRPr="00580659">
        <w:rPr>
          <w:rStyle w:val="rvts0"/>
          <w:rFonts w:ascii="Times New Roman" w:hAnsi="Times New Roman" w:cs="Times New Roman"/>
          <w:sz w:val="28"/>
          <w:szCs w:val="28"/>
        </w:rPr>
        <w:t>.</w:t>
      </w:r>
      <w:r w:rsidRPr="00580659">
        <w:rPr>
          <w:rStyle w:val="rvts0"/>
          <w:rFonts w:ascii="Times New Roman" w:hAnsi="Times New Roman" w:cs="Times New Roman"/>
          <w:sz w:val="28"/>
          <w:szCs w:val="28"/>
        </w:rPr>
        <w:br/>
      </w:r>
    </w:p>
    <w:p w:rsidR="00600378" w:rsidRPr="00580659" w:rsidRDefault="00600378" w:rsidP="00600378">
      <w:pPr>
        <w:spacing w:after="120" w:line="240" w:lineRule="auto"/>
        <w:ind w:firstLine="709"/>
        <w:jc w:val="center"/>
        <w:rPr>
          <w:rStyle w:val="rvts0"/>
          <w:rFonts w:ascii="Times New Roman" w:hAnsi="Times New Roman" w:cs="Times New Roman"/>
          <w:b/>
          <w:sz w:val="28"/>
          <w:szCs w:val="28"/>
        </w:rPr>
      </w:pPr>
      <w:r w:rsidRPr="00580659">
        <w:rPr>
          <w:rStyle w:val="rvts0"/>
          <w:rFonts w:ascii="Times New Roman" w:hAnsi="Times New Roman" w:cs="Times New Roman"/>
          <w:b/>
          <w:sz w:val="28"/>
          <w:szCs w:val="28"/>
        </w:rPr>
        <w:t>Особливості ліцензування освітньої діяльності у сфері вищої освіти за освітніми програмами, що передбачають присвоєння професійних кваліфікацій для доступу до професій, для яких запроваджено додаткове регулювання,</w:t>
      </w:r>
    </w:p>
    <w:p w:rsidR="00600378" w:rsidRPr="00580659" w:rsidRDefault="00600378" w:rsidP="00600378">
      <w:pPr>
        <w:spacing w:after="120" w:line="240" w:lineRule="auto"/>
        <w:ind w:firstLine="709"/>
        <w:jc w:val="center"/>
        <w:rPr>
          <w:rStyle w:val="rvts0"/>
          <w:rFonts w:ascii="Times New Roman" w:hAnsi="Times New Roman" w:cs="Times New Roman"/>
          <w:b/>
          <w:sz w:val="28"/>
          <w:szCs w:val="28"/>
        </w:rPr>
      </w:pPr>
      <w:r w:rsidRPr="00580659">
        <w:rPr>
          <w:rStyle w:val="rvts0"/>
          <w:rFonts w:ascii="Times New Roman" w:hAnsi="Times New Roman" w:cs="Times New Roman"/>
          <w:b/>
          <w:sz w:val="28"/>
          <w:szCs w:val="28"/>
        </w:rPr>
        <w:t xml:space="preserve">для спеціальності 226 «Фармація, промислова фармація» </w:t>
      </w:r>
    </w:p>
    <w:p w:rsidR="00600378" w:rsidRPr="00580659" w:rsidRDefault="00600378" w:rsidP="00600378">
      <w:pPr>
        <w:spacing w:after="120" w:line="240" w:lineRule="auto"/>
        <w:ind w:left="5660"/>
        <w:jc w:val="both"/>
        <w:rPr>
          <w:rStyle w:val="rvts0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34"/>
        <w:gridCol w:w="5520"/>
      </w:tblGrid>
      <w:tr w:rsidR="00600378" w:rsidRPr="00580659" w:rsidTr="001F76F3">
        <w:tc>
          <w:tcPr>
            <w:tcW w:w="3834" w:type="dxa"/>
          </w:tcPr>
          <w:p w:rsidR="00600378" w:rsidRPr="00580659" w:rsidRDefault="00600378" w:rsidP="001F76F3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 w:rsidRPr="00580659">
              <w:rPr>
                <w:sz w:val="28"/>
                <w:lang w:val="uk-UA"/>
              </w:rPr>
              <w:t>Рівень (рівні) вищої освіти</w:t>
            </w:r>
          </w:p>
        </w:tc>
        <w:tc>
          <w:tcPr>
            <w:tcW w:w="5520" w:type="dxa"/>
          </w:tcPr>
          <w:p w:rsidR="00600378" w:rsidRPr="00580659" w:rsidRDefault="00600378" w:rsidP="001F76F3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lang w:val="uk-UA"/>
              </w:rPr>
            </w:pPr>
            <w:r w:rsidRPr="00580659">
              <w:rPr>
                <w:sz w:val="28"/>
                <w:lang w:val="uk-UA"/>
              </w:rPr>
              <w:t>перший (бакалаврський)</w:t>
            </w:r>
          </w:p>
          <w:p w:rsidR="00600378" w:rsidRPr="00580659" w:rsidRDefault="00600378" w:rsidP="001F76F3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lang w:val="uk-UA"/>
              </w:rPr>
            </w:pPr>
            <w:r w:rsidRPr="00580659">
              <w:rPr>
                <w:sz w:val="28"/>
                <w:lang w:val="uk-UA"/>
              </w:rPr>
              <w:t>другий (магістерський)</w:t>
            </w:r>
          </w:p>
        </w:tc>
      </w:tr>
      <w:tr w:rsidR="00600378" w:rsidRPr="00580659" w:rsidTr="001F76F3">
        <w:tc>
          <w:tcPr>
            <w:tcW w:w="3834" w:type="dxa"/>
          </w:tcPr>
          <w:p w:rsidR="00600378" w:rsidRPr="00580659" w:rsidRDefault="00600378" w:rsidP="001F76F3">
            <w:pPr>
              <w:pStyle w:val="rvps2"/>
              <w:shd w:val="clear" w:color="auto" w:fill="FFFFFF"/>
              <w:spacing w:before="0" w:beforeAutospacing="0" w:after="120" w:afterAutospacing="0"/>
              <w:rPr>
                <w:sz w:val="28"/>
                <w:lang w:val="uk-UA"/>
              </w:rPr>
            </w:pPr>
            <w:r w:rsidRPr="00580659">
              <w:rPr>
                <w:sz w:val="28"/>
                <w:lang w:val="uk-UA"/>
              </w:rPr>
              <w:t>Для доступу до професій, для яких запроваджено додаткове регулювання</w:t>
            </w:r>
            <w:r w:rsidRPr="00580659">
              <w:rPr>
                <w:sz w:val="28"/>
                <w:lang w:val="uk-UA"/>
              </w:rPr>
              <w:tab/>
            </w:r>
            <w:r w:rsidRPr="00580659">
              <w:rPr>
                <w:sz w:val="28"/>
                <w:lang w:val="uk-UA"/>
              </w:rPr>
              <w:tab/>
            </w:r>
          </w:p>
        </w:tc>
        <w:tc>
          <w:tcPr>
            <w:tcW w:w="5520" w:type="dxa"/>
          </w:tcPr>
          <w:p w:rsidR="00600378" w:rsidRPr="00580659" w:rsidRDefault="00600378" w:rsidP="001F76F3">
            <w:pPr>
              <w:pStyle w:val="rvps2"/>
              <w:shd w:val="clear" w:color="auto" w:fill="FFFFFF"/>
              <w:spacing w:before="0" w:beforeAutospacing="0" w:after="120" w:afterAutospacing="0"/>
              <w:rPr>
                <w:sz w:val="28"/>
                <w:lang w:val="uk-UA"/>
              </w:rPr>
            </w:pPr>
            <w:r w:rsidRPr="00580659">
              <w:rPr>
                <w:sz w:val="28"/>
                <w:lang w:val="uk-UA"/>
              </w:rPr>
              <w:t>фармацевт</w:t>
            </w:r>
          </w:p>
        </w:tc>
      </w:tr>
    </w:tbl>
    <w:p w:rsidR="00600378" w:rsidRPr="00580659" w:rsidRDefault="00600378" w:rsidP="00600378">
      <w:pPr>
        <w:jc w:val="right"/>
      </w:pPr>
    </w:p>
    <w:p w:rsidR="00600378" w:rsidRPr="00580659" w:rsidRDefault="00600378" w:rsidP="0060037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0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Мінімальні специфічні кадрові вимоги</w:t>
      </w:r>
    </w:p>
    <w:p w:rsidR="00600378" w:rsidRPr="00580659" w:rsidRDefault="00600378" w:rsidP="00600378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Група забезпечення освітньої програми повинна відповідати таким вимогам: </w:t>
      </w:r>
    </w:p>
    <w:p w:rsidR="00600378" w:rsidRPr="00580659" w:rsidRDefault="00600378" w:rsidP="00600378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кількість членів групи забезпечення є достатньою, якщо на одного її члена припадає не більше 30 здобувачів вищої освіти всіх рівнів, курсів та форм здобуття освіти з відповідної освітньої програми (для дистанційної форми здобуття вищої освіти не більше 60 здобувачів), але не менше 5 осіб </w:t>
      </w:r>
    </w:p>
    <w:p w:rsidR="00600378" w:rsidRPr="00580659" w:rsidRDefault="00600378" w:rsidP="00600378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члени групи забезпечення мають вищу освіту рівня магістр та/або науковий ступінь за спеціальностями «Фармація», «Медицина», «Хімія», галузі знань «Біологія» або відповідними за попередніми переліками спеціальностей </w:t>
      </w:r>
    </w:p>
    <w:p w:rsidR="00600378" w:rsidRPr="00580659" w:rsidRDefault="00600378" w:rsidP="00600378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члени групи забезпечення мають стаж науково-педагогічної діяльності в сфері фармації не менше п’яти років або практичної діяльності в сфері фармації не менше десяти років</w:t>
      </w:r>
    </w:p>
    <w:p w:rsidR="00600378" w:rsidRPr="00580659" w:rsidRDefault="00600378" w:rsidP="00600378">
      <w:pPr>
        <w:pStyle w:val="rvps2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члени групи забезпечення мають не менше п’яти досягнень у професійній діяльності за останні п’ять років, визначених у пункті 38 Ліцензійних умов.</w:t>
      </w:r>
    </w:p>
    <w:p w:rsidR="00600378" w:rsidRPr="00580659" w:rsidRDefault="00600378" w:rsidP="00600378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Кадрове забезпечення освітніх компонентів повинне відповідати таким вимогам:</w:t>
      </w:r>
    </w:p>
    <w:p w:rsidR="00600378" w:rsidRPr="00580659" w:rsidRDefault="00600378" w:rsidP="00600378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lang w:val="uk-UA"/>
        </w:rPr>
      </w:pPr>
      <w:r w:rsidRPr="00580659">
        <w:rPr>
          <w:sz w:val="28"/>
          <w:szCs w:val="28"/>
          <w:lang w:val="uk-UA"/>
        </w:rPr>
        <w:t xml:space="preserve">(науково-)педагогічні працівники дисциплін професійного циклу (як фундаментальних, так й клінічних) </w:t>
      </w:r>
      <w:r w:rsidRPr="00580659">
        <w:rPr>
          <w:sz w:val="28"/>
          <w:lang w:val="uk-UA"/>
        </w:rPr>
        <w:t>повинні мати базову освіту та (або) науковий ступінь, що відповідає профілю дисципліни викладання</w:t>
      </w:r>
    </w:p>
    <w:p w:rsidR="00600378" w:rsidRPr="00580659" w:rsidRDefault="00600378" w:rsidP="00600378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частка (науково-)педагогічних працівників з науковими ступенями, вченими званнями або з вищої кваліфікаційною категорією за відповідною спеціальністю, які</w:t>
      </w:r>
      <w:r w:rsidRPr="00580659">
        <w:rPr>
          <w:lang w:val="uk-UA"/>
        </w:rPr>
        <w:t xml:space="preserve"> </w:t>
      </w:r>
      <w:r w:rsidRPr="00580659">
        <w:rPr>
          <w:sz w:val="28"/>
          <w:szCs w:val="28"/>
          <w:lang w:val="uk-UA"/>
        </w:rPr>
        <w:t xml:space="preserve">працюють у здобувача ліцензії (ліцензіата), – не менше 70% </w:t>
      </w:r>
    </w:p>
    <w:p w:rsidR="00600378" w:rsidRPr="00580659" w:rsidRDefault="00600378" w:rsidP="00600378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частка (науково-)педагогічних працівників зі стажем (науково-)педагогічної діяльності понад п’ять років або стажем практичної діяльності за профілем дисципліни освітньої програми понад 10 років – не менше 70%;</w:t>
      </w:r>
    </w:p>
    <w:p w:rsidR="00600378" w:rsidRPr="00580659" w:rsidRDefault="00600378" w:rsidP="00600378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lastRenderedPageBreak/>
        <w:t>частка зовнішніх фахівців-сумісників, що здійснюють практичну діяльність за профілем дисциплін освітньої програми, залучених до викладання – в достатній кількості для забезпечення викладання в обсязі не менше 20% від загального обсягу освітньої програми;</w:t>
      </w:r>
    </w:p>
    <w:p w:rsidR="00600378" w:rsidRPr="00580659" w:rsidRDefault="00600378" w:rsidP="00600378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здатність забезпечити компетентне викладання дисциплін освітньої програми з урахуванням вимог стандарту вищої освіти, статі 44 та пункту 5.6.1 додатку V Директиви Європейського парламенту та Ради Європи 2005/36/EC від 07 вересня 2005 р. про визнання професійних кваліфікацій (з доповненнями, щонайменше зазначених нижче наук та тематичних розділів:  </w:t>
      </w:r>
    </w:p>
    <w:p w:rsidR="00600378" w:rsidRPr="00580659" w:rsidRDefault="00600378" w:rsidP="00600378">
      <w:pPr>
        <w:pStyle w:val="rvps2"/>
        <w:numPr>
          <w:ilvl w:val="1"/>
          <w:numId w:val="1"/>
        </w:numPr>
        <w:shd w:val="clear" w:color="auto" w:fill="FFFFFF"/>
        <w:spacing w:after="12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Біологія рослин і тварин</w:t>
      </w:r>
    </w:p>
    <w:p w:rsidR="00600378" w:rsidRPr="00580659" w:rsidRDefault="00600378" w:rsidP="00600378">
      <w:pPr>
        <w:pStyle w:val="rvps2"/>
        <w:numPr>
          <w:ilvl w:val="1"/>
          <w:numId w:val="1"/>
        </w:numPr>
        <w:shd w:val="clear" w:color="auto" w:fill="FFFFFF"/>
        <w:spacing w:after="12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Фізика</w:t>
      </w:r>
    </w:p>
    <w:p w:rsidR="00600378" w:rsidRPr="00580659" w:rsidRDefault="00600378" w:rsidP="00600378">
      <w:pPr>
        <w:pStyle w:val="rvps2"/>
        <w:numPr>
          <w:ilvl w:val="1"/>
          <w:numId w:val="1"/>
        </w:numPr>
        <w:shd w:val="clear" w:color="auto" w:fill="FFFFFF"/>
        <w:spacing w:after="12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Загальна та неорганічна хімія</w:t>
      </w:r>
    </w:p>
    <w:p w:rsidR="00600378" w:rsidRPr="00580659" w:rsidRDefault="00600378" w:rsidP="00600378">
      <w:pPr>
        <w:pStyle w:val="rvps2"/>
        <w:numPr>
          <w:ilvl w:val="1"/>
          <w:numId w:val="1"/>
        </w:numPr>
        <w:shd w:val="clear" w:color="auto" w:fill="FFFFFF"/>
        <w:spacing w:after="12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Органічна хімія</w:t>
      </w:r>
    </w:p>
    <w:p w:rsidR="00600378" w:rsidRPr="00580659" w:rsidRDefault="00600378" w:rsidP="00600378">
      <w:pPr>
        <w:pStyle w:val="rvps2"/>
        <w:numPr>
          <w:ilvl w:val="1"/>
          <w:numId w:val="1"/>
        </w:numPr>
        <w:shd w:val="clear" w:color="auto" w:fill="FFFFFF"/>
        <w:spacing w:after="12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Аналітична хімія</w:t>
      </w:r>
    </w:p>
    <w:p w:rsidR="00600378" w:rsidRPr="00580659" w:rsidRDefault="00600378" w:rsidP="00600378">
      <w:pPr>
        <w:pStyle w:val="rvps2"/>
        <w:numPr>
          <w:ilvl w:val="1"/>
          <w:numId w:val="1"/>
        </w:numPr>
        <w:shd w:val="clear" w:color="auto" w:fill="FFFFFF"/>
        <w:spacing w:after="12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Фармацевтична хімія, включаючи аналіз лікарських засобів</w:t>
      </w:r>
    </w:p>
    <w:p w:rsidR="00600378" w:rsidRPr="00580659" w:rsidRDefault="00600378" w:rsidP="00600378">
      <w:pPr>
        <w:pStyle w:val="rvps2"/>
        <w:numPr>
          <w:ilvl w:val="1"/>
          <w:numId w:val="1"/>
        </w:numPr>
        <w:shd w:val="clear" w:color="auto" w:fill="FFFFFF"/>
        <w:spacing w:after="12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Загальна та прикладна біохімія (медична)</w:t>
      </w:r>
    </w:p>
    <w:p w:rsidR="00600378" w:rsidRPr="00580659" w:rsidRDefault="00600378" w:rsidP="00600378">
      <w:pPr>
        <w:pStyle w:val="rvps2"/>
        <w:numPr>
          <w:ilvl w:val="1"/>
          <w:numId w:val="1"/>
        </w:numPr>
        <w:shd w:val="clear" w:color="auto" w:fill="FFFFFF"/>
        <w:spacing w:after="12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Анатомія та фізіологія; медична термінологія</w:t>
      </w:r>
    </w:p>
    <w:p w:rsidR="00600378" w:rsidRPr="00580659" w:rsidRDefault="00600378" w:rsidP="00600378">
      <w:pPr>
        <w:pStyle w:val="rvps2"/>
        <w:numPr>
          <w:ilvl w:val="1"/>
          <w:numId w:val="1"/>
        </w:numPr>
        <w:shd w:val="clear" w:color="auto" w:fill="FFFFFF"/>
        <w:spacing w:after="12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Мікробіологія</w:t>
      </w:r>
    </w:p>
    <w:p w:rsidR="00600378" w:rsidRPr="00580659" w:rsidRDefault="00600378" w:rsidP="00600378">
      <w:pPr>
        <w:pStyle w:val="rvps2"/>
        <w:numPr>
          <w:ilvl w:val="1"/>
          <w:numId w:val="1"/>
        </w:numPr>
        <w:shd w:val="clear" w:color="auto" w:fill="FFFFFF"/>
        <w:spacing w:after="12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Фармакологія та фармакотерапія</w:t>
      </w:r>
    </w:p>
    <w:p w:rsidR="00600378" w:rsidRPr="00580659" w:rsidRDefault="00600378" w:rsidP="00600378">
      <w:pPr>
        <w:pStyle w:val="rvps2"/>
        <w:numPr>
          <w:ilvl w:val="1"/>
          <w:numId w:val="1"/>
        </w:numPr>
        <w:shd w:val="clear" w:color="auto" w:fill="FFFFFF"/>
        <w:spacing w:after="12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Фармацевтична технологія</w:t>
      </w:r>
    </w:p>
    <w:p w:rsidR="00600378" w:rsidRPr="00580659" w:rsidRDefault="00600378" w:rsidP="00600378">
      <w:pPr>
        <w:pStyle w:val="rvps2"/>
        <w:numPr>
          <w:ilvl w:val="1"/>
          <w:numId w:val="1"/>
        </w:numPr>
        <w:shd w:val="clear" w:color="auto" w:fill="FFFFFF"/>
        <w:spacing w:after="12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Токсикологія</w:t>
      </w:r>
    </w:p>
    <w:p w:rsidR="00600378" w:rsidRPr="00580659" w:rsidRDefault="00600378" w:rsidP="00600378">
      <w:pPr>
        <w:pStyle w:val="rvps2"/>
        <w:numPr>
          <w:ilvl w:val="1"/>
          <w:numId w:val="1"/>
        </w:numPr>
        <w:shd w:val="clear" w:color="auto" w:fill="FFFFFF"/>
        <w:spacing w:after="12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Фармакогнозія</w:t>
      </w:r>
    </w:p>
    <w:p w:rsidR="00600378" w:rsidRPr="00580659" w:rsidRDefault="00600378" w:rsidP="00600378">
      <w:pPr>
        <w:pStyle w:val="rvps2"/>
        <w:numPr>
          <w:ilvl w:val="1"/>
          <w:numId w:val="1"/>
        </w:numPr>
        <w:shd w:val="clear" w:color="auto" w:fill="FFFFFF"/>
        <w:spacing w:after="12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Законодавство, професійна етика.</w:t>
      </w:r>
    </w:p>
    <w:p w:rsidR="00600378" w:rsidRPr="00580659" w:rsidRDefault="00600378" w:rsidP="0060037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0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Мінімальні специфічні технологічні вимоги </w:t>
      </w:r>
      <w:r w:rsidRPr="005806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щодо наявності матеріально-технічної бази </w:t>
      </w:r>
    </w:p>
    <w:p w:rsidR="00600378" w:rsidRPr="00580659" w:rsidRDefault="00600378" w:rsidP="00600378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Обов’язкові навчальні, наукові, допоміжні та інші підрозділи, бази практики, медичні установи тощо</w:t>
      </w:r>
    </w:p>
    <w:p w:rsidR="00600378" w:rsidRPr="00580659" w:rsidRDefault="00600378" w:rsidP="00600378">
      <w:pPr>
        <w:numPr>
          <w:ilvl w:val="1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спеціалізовані аудиторії та навчальні лабораторії із необхідним обладнанням для проведення занять відповідно до профілю освітньої програми: </w:t>
      </w:r>
    </w:p>
    <w:p w:rsidR="00600378" w:rsidRPr="00580659" w:rsidRDefault="00600378" w:rsidP="00600378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Біологія рослин і тварин</w:t>
      </w:r>
    </w:p>
    <w:p w:rsidR="00600378" w:rsidRPr="00580659" w:rsidRDefault="00600378" w:rsidP="00600378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Фізика</w:t>
      </w:r>
    </w:p>
    <w:p w:rsidR="00600378" w:rsidRPr="00580659" w:rsidRDefault="00600378" w:rsidP="00600378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Загальна та неорганічна хімія</w:t>
      </w:r>
    </w:p>
    <w:p w:rsidR="00600378" w:rsidRPr="00580659" w:rsidRDefault="00600378" w:rsidP="00600378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Органічна хімія</w:t>
      </w:r>
    </w:p>
    <w:p w:rsidR="00600378" w:rsidRPr="00580659" w:rsidRDefault="00600378" w:rsidP="00600378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Аналітична хімія</w:t>
      </w:r>
    </w:p>
    <w:p w:rsidR="00600378" w:rsidRPr="00580659" w:rsidRDefault="00600378" w:rsidP="00600378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Фармацевтична хімія, включаючи аналіз лікарських засобів</w:t>
      </w:r>
    </w:p>
    <w:p w:rsidR="00600378" w:rsidRPr="00580659" w:rsidRDefault="00600378" w:rsidP="00600378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Загальна та прикладна біохімія (медична)</w:t>
      </w:r>
    </w:p>
    <w:p w:rsidR="00600378" w:rsidRPr="00580659" w:rsidRDefault="00600378" w:rsidP="00600378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Анатомія та фізіологія; медична термінологія</w:t>
      </w:r>
    </w:p>
    <w:p w:rsidR="00600378" w:rsidRPr="00580659" w:rsidRDefault="00600378" w:rsidP="00600378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Мікробіологія</w:t>
      </w:r>
    </w:p>
    <w:p w:rsidR="00600378" w:rsidRPr="00580659" w:rsidRDefault="00600378" w:rsidP="00600378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Фармакологія та фармакотерапія</w:t>
      </w:r>
    </w:p>
    <w:p w:rsidR="00600378" w:rsidRPr="00580659" w:rsidRDefault="00600378" w:rsidP="00600378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Фармацевтична технологія</w:t>
      </w:r>
    </w:p>
    <w:p w:rsidR="00600378" w:rsidRPr="00580659" w:rsidRDefault="00600378" w:rsidP="00600378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lastRenderedPageBreak/>
        <w:t>Токсикологія</w:t>
      </w:r>
    </w:p>
    <w:p w:rsidR="00600378" w:rsidRPr="00580659" w:rsidRDefault="00600378" w:rsidP="00600378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Фармакогнозія</w:t>
      </w:r>
    </w:p>
    <w:p w:rsidR="00600378" w:rsidRPr="00580659" w:rsidRDefault="00600378" w:rsidP="00600378">
      <w:pPr>
        <w:numPr>
          <w:ilvl w:val="1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науково-дослідні лабораторії відповідно до профілю кафедр з доступом для здобувачів та науково-педагогічних працівників</w:t>
      </w:r>
    </w:p>
    <w:p w:rsidR="00600378" w:rsidRPr="00580659" w:rsidRDefault="00600378" w:rsidP="00600378">
      <w:pPr>
        <w:numPr>
          <w:ilvl w:val="1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навчальна(-і) аптека(-і), афілійовані та(або) власні заклади охорони </w:t>
      </w:r>
      <w:proofErr w:type="spellStart"/>
      <w:r w:rsidRPr="0058065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здоров’я,з</w:t>
      </w:r>
      <w:proofErr w:type="spellEnd"/>
      <w:r w:rsidRPr="0058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 виготовлення лікарських засобів, організовані згідно ліцензійних умов провадження господарської діяльності з виробництва лікарських засобів, оптової та роздрібної торгівлі лікарськими засобами, з медичної практики та інших відповідних видів діяльності, для набуття фахових </w:t>
      </w:r>
      <w:proofErr w:type="spellStart"/>
      <w:r w:rsidRPr="005806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Pr="0058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здобувачами вищої освіти</w:t>
      </w:r>
    </w:p>
    <w:p w:rsidR="00600378" w:rsidRPr="00580659" w:rsidRDefault="00600378" w:rsidP="00600378">
      <w:pPr>
        <w:numPr>
          <w:ilvl w:val="1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065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симуляційний</w:t>
      </w:r>
      <w:proofErr w:type="spellEnd"/>
      <w:r w:rsidRPr="0058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для відпрацювання клінічних навичок та проведення ЄДКІ (зокрема ОСКІ) та (або) фантомні класи</w:t>
      </w:r>
    </w:p>
    <w:p w:rsidR="00600378" w:rsidRPr="00580659" w:rsidRDefault="00600378" w:rsidP="00600378">
      <w:pPr>
        <w:numPr>
          <w:ilvl w:val="1"/>
          <w:numId w:val="1"/>
        </w:num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6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 практики, виробничі бази для практичної підготовки, що задовольняють таким  вимогам:</w:t>
      </w:r>
    </w:p>
    <w:p w:rsidR="00600378" w:rsidRPr="00580659" w:rsidRDefault="00600378" w:rsidP="00600378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профіль бази – сучасні заклади охорони здоров’я різного профілю,   аптечні заклади, фармацевтичні виробництва, науково-дослідні інститути, що відповідають професійній діяльності за спеціальністю 226 «Фармація, промислова фармація»;</w:t>
      </w:r>
    </w:p>
    <w:p w:rsidR="00600378" w:rsidRPr="00580659" w:rsidRDefault="00600378" w:rsidP="00600378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можливість кваліфікованого керівництва практичною підготовкою здобувачів;</w:t>
      </w:r>
    </w:p>
    <w:p w:rsidR="00600378" w:rsidRPr="00580659" w:rsidRDefault="00600378" w:rsidP="00600378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залучення здобувачів до професійній діяльності за спеціальністю 226 «Фармація, промислова фармація» (під наглядом);</w:t>
      </w:r>
    </w:p>
    <w:p w:rsidR="00600378" w:rsidRPr="00580659" w:rsidRDefault="00600378" w:rsidP="00600378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можливість доступу здобувачів до клінічної та іншої документації, необхідної для виконання програми практики;</w:t>
      </w:r>
    </w:p>
    <w:p w:rsidR="00600378" w:rsidRPr="00580659" w:rsidRDefault="00600378" w:rsidP="00600378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сукупна потужність баз практик, виробничих баз – не менше 50 місць на 100 студентів річного ліцензійного обсягу</w:t>
      </w:r>
    </w:p>
    <w:p w:rsidR="00600378" w:rsidRPr="00580659" w:rsidRDefault="00600378" w:rsidP="00600378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 xml:space="preserve">можливість надання здобувачам на час практики робочих місць </w:t>
      </w:r>
    </w:p>
    <w:p w:rsidR="00600378" w:rsidRPr="00580659" w:rsidRDefault="00600378" w:rsidP="00600378">
      <w:pPr>
        <w:numPr>
          <w:ilvl w:val="2"/>
          <w:numId w:val="1"/>
        </w:numPr>
        <w:spacing w:after="12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наявність договору(-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>) між закладом вищої освіти та базою(-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), зокрема щодо використання матеріально-технічних та навчальних можливостей бази на договірних засадах. </w:t>
      </w:r>
    </w:p>
    <w:p w:rsidR="00600378" w:rsidRPr="00580659" w:rsidRDefault="00600378" w:rsidP="00600378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>Інформаційне забезпечення:</w:t>
      </w:r>
    </w:p>
    <w:p w:rsidR="00600378" w:rsidRPr="00580659" w:rsidRDefault="00600378" w:rsidP="00600378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наявність бібліотеки/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репозиторію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з інформаційними джерелами, необхідними для виконання освітньої програми, виданих за останні 10 років (для дисциплін гуманітарного, соціального та економічного спрямування – за останні п'ять років) </w:t>
      </w:r>
    </w:p>
    <w:p w:rsidR="00600378" w:rsidRPr="00580659" w:rsidRDefault="00600378" w:rsidP="00600378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наявність доступу до вітчизняних та закордонних фахових періодичних видань за профілем освітньої програми (у тому числі в електронному вигляді) – не менше десяти міжнародних та п’яти вітчизняних; </w:t>
      </w:r>
    </w:p>
    <w:p w:rsidR="00600378" w:rsidRPr="00580659" w:rsidRDefault="00600378" w:rsidP="00600378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580659">
        <w:rPr>
          <w:sz w:val="28"/>
          <w:szCs w:val="28"/>
          <w:lang w:val="uk-UA"/>
        </w:rPr>
        <w:t xml:space="preserve">наявність доступу до баз даних періодичних наукових видань за профілем спеціальності/освітньої програми (допускається спільне користування базами кількома закладами освіти) (зазначити, яких саме баз даних); </w:t>
      </w:r>
    </w:p>
    <w:p w:rsidR="00600378" w:rsidRPr="00580659" w:rsidRDefault="00600378" w:rsidP="00600378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lastRenderedPageBreak/>
        <w:t xml:space="preserve">наявність доступу до міжнародних реферативних та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наукометричних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баз даних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 та інших;</w:t>
      </w:r>
    </w:p>
    <w:p w:rsidR="00600378" w:rsidRPr="00580659" w:rsidRDefault="00600378" w:rsidP="00600378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0659">
        <w:rPr>
          <w:rFonts w:ascii="Times New Roman" w:hAnsi="Times New Roman" w:cs="Times New Roman"/>
          <w:sz w:val="28"/>
          <w:szCs w:val="28"/>
        </w:rPr>
        <w:t>доступ до бібліотеки/</w:t>
      </w:r>
      <w:proofErr w:type="spellStart"/>
      <w:r w:rsidRPr="00580659">
        <w:rPr>
          <w:rFonts w:ascii="Times New Roman" w:hAnsi="Times New Roman" w:cs="Times New Roman"/>
          <w:sz w:val="28"/>
          <w:szCs w:val="28"/>
        </w:rPr>
        <w:t>репозиторію</w:t>
      </w:r>
      <w:proofErr w:type="spellEnd"/>
      <w:r w:rsidRPr="00580659">
        <w:rPr>
          <w:rFonts w:ascii="Times New Roman" w:hAnsi="Times New Roman" w:cs="Times New Roman"/>
          <w:sz w:val="28"/>
          <w:szCs w:val="28"/>
        </w:rPr>
        <w:t xml:space="preserve">, видань, баз даних забезпечується всім здобувачам та науково-педагогічним працівникам; повинна підтримуватись можливість одночасного дистанційного індивідуального доступу до ресурсів з будь-якої точки, в якій є доступ до мережі Інтернет. </w:t>
      </w:r>
    </w:p>
    <w:p w:rsidR="00600378" w:rsidRPr="00580659" w:rsidRDefault="00600378" w:rsidP="00600378">
      <w:pPr>
        <w:jc w:val="right"/>
      </w:pPr>
    </w:p>
    <w:p w:rsidR="00DE34B0" w:rsidRDefault="00DE34B0">
      <w:bookmarkStart w:id="0" w:name="_GoBack"/>
      <w:bookmarkEnd w:id="0"/>
    </w:p>
    <w:sectPr w:rsidR="00DE34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606D7"/>
    <w:multiLevelType w:val="hybridMultilevel"/>
    <w:tmpl w:val="F6FA95E8"/>
    <w:lvl w:ilvl="0" w:tplc="926249C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D10070F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0070F6"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78"/>
    <w:rsid w:val="00600378"/>
    <w:rsid w:val="00DE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FB1B3-1836-4557-87DC-62708B69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600378"/>
  </w:style>
  <w:style w:type="paragraph" w:styleId="a3">
    <w:name w:val="List Paragraph"/>
    <w:basedOn w:val="a"/>
    <w:uiPriority w:val="34"/>
    <w:qFormat/>
    <w:rsid w:val="00600378"/>
    <w:pPr>
      <w:ind w:left="720"/>
      <w:contextualSpacing/>
    </w:pPr>
  </w:style>
  <w:style w:type="table" w:styleId="a4">
    <w:name w:val="Table Grid"/>
    <w:basedOn w:val="a1"/>
    <w:uiPriority w:val="59"/>
    <w:rsid w:val="00600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60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4046</Words>
  <Characters>2307</Characters>
  <Application>Microsoft Office Word</Application>
  <DocSecurity>0</DocSecurity>
  <Lines>19</Lines>
  <Paragraphs>12</Paragraphs>
  <ScaleCrop>false</ScaleCrop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Мруга Марина Рашидівна</dc:creator>
  <cp:keywords/>
  <dc:description/>
  <cp:lastModifiedBy>Мруга Марина Рашидівна</cp:lastModifiedBy>
  <cp:revision>1</cp:revision>
  <dcterms:created xsi:type="dcterms:W3CDTF">2021-10-06T09:33:00Z</dcterms:created>
  <dcterms:modified xsi:type="dcterms:W3CDTF">2021-10-06T09:33:00Z</dcterms:modified>
</cp:coreProperties>
</file>