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51C1" w:rsidRPr="00FA6213" w:rsidRDefault="00B92A14" w:rsidP="004F51C1">
      <w:pPr>
        <w:spacing w:after="0" w:line="240" w:lineRule="auto"/>
        <w:jc w:val="right"/>
        <w:rPr>
          <w:rFonts w:ascii="Times New Roman" w:hAnsi="Times New Roman"/>
          <w:sz w:val="26"/>
          <w:szCs w:val="26"/>
          <w:bdr w:val="none" w:sz="0" w:space="0" w:color="auto" w:frame="1"/>
          <w:lang w:val="ru-RU" w:eastAsia="uk-UA"/>
        </w:rPr>
      </w:pPr>
      <w:bookmarkStart w:id="0" w:name="n1759"/>
      <w:bookmarkEnd w:id="0"/>
      <w:r w:rsidRPr="00FA6213">
        <w:rPr>
          <w:rFonts w:ascii="Times New Roman" w:hAnsi="Times New Roman"/>
          <w:sz w:val="26"/>
          <w:szCs w:val="26"/>
          <w:bdr w:val="none" w:sz="0" w:space="0" w:color="auto" w:frame="1"/>
          <w:lang w:eastAsia="uk-UA"/>
        </w:rPr>
        <w:t xml:space="preserve">Додаток </w:t>
      </w:r>
      <w:r w:rsidR="00C30B2E">
        <w:rPr>
          <w:rFonts w:ascii="Times New Roman" w:hAnsi="Times New Roman"/>
          <w:sz w:val="26"/>
          <w:szCs w:val="26"/>
          <w:bdr w:val="none" w:sz="0" w:space="0" w:color="auto" w:frame="1"/>
          <w:lang w:eastAsia="uk-UA"/>
        </w:rPr>
        <w:t>1</w:t>
      </w:r>
    </w:p>
    <w:p w:rsidR="00B92A14" w:rsidRPr="00FA6213" w:rsidRDefault="00B92A14" w:rsidP="004F51C1">
      <w:pPr>
        <w:spacing w:after="0" w:line="240" w:lineRule="auto"/>
        <w:jc w:val="right"/>
        <w:rPr>
          <w:rFonts w:ascii="Times New Roman" w:hAnsi="Times New Roman"/>
          <w:sz w:val="26"/>
          <w:szCs w:val="26"/>
          <w:bdr w:val="none" w:sz="0" w:space="0" w:color="auto" w:frame="1"/>
          <w:lang w:eastAsia="uk-UA"/>
        </w:rPr>
      </w:pPr>
      <w:r w:rsidRPr="00FA6213">
        <w:rPr>
          <w:rFonts w:ascii="Times New Roman" w:hAnsi="Times New Roman"/>
          <w:sz w:val="26"/>
          <w:szCs w:val="26"/>
          <w:bdr w:val="none" w:sz="0" w:space="0" w:color="auto" w:frame="1"/>
          <w:lang w:eastAsia="uk-UA"/>
        </w:rPr>
        <w:t>до Пояснювальної записки</w:t>
      </w:r>
    </w:p>
    <w:p w:rsidR="008A38DE" w:rsidRPr="00FA6213" w:rsidRDefault="008A38DE" w:rsidP="00495770">
      <w:pPr>
        <w:spacing w:after="0" w:line="240" w:lineRule="auto"/>
        <w:jc w:val="center"/>
        <w:rPr>
          <w:rFonts w:ascii="Times New Roman" w:hAnsi="Times New Roman"/>
          <w:b/>
          <w:sz w:val="26"/>
          <w:szCs w:val="26"/>
          <w:bdr w:val="none" w:sz="0" w:space="0" w:color="auto" w:frame="1"/>
          <w:lang w:eastAsia="uk-UA"/>
        </w:rPr>
      </w:pPr>
    </w:p>
    <w:p w:rsidR="00495770" w:rsidRPr="004449C6" w:rsidRDefault="00B92A14" w:rsidP="004449C6">
      <w:pPr>
        <w:spacing w:after="0" w:line="240" w:lineRule="auto"/>
        <w:jc w:val="center"/>
        <w:rPr>
          <w:rFonts w:ascii="Times New Roman" w:hAnsi="Times New Roman"/>
          <w:b/>
          <w:sz w:val="26"/>
          <w:szCs w:val="26"/>
          <w:bdr w:val="none" w:sz="0" w:space="0" w:color="auto" w:frame="1"/>
          <w:lang w:eastAsia="uk-UA"/>
        </w:rPr>
      </w:pPr>
      <w:r w:rsidRPr="00FA6213">
        <w:rPr>
          <w:rFonts w:ascii="Times New Roman" w:hAnsi="Times New Roman"/>
          <w:b/>
          <w:sz w:val="26"/>
          <w:szCs w:val="26"/>
          <w:bdr w:val="none" w:sz="0" w:space="0" w:color="auto" w:frame="1"/>
          <w:lang w:eastAsia="uk-UA"/>
        </w:rPr>
        <w:t>ПРОГНОЗ ВПЛИВУ </w:t>
      </w:r>
      <w:r w:rsidRPr="00FA6213">
        <w:rPr>
          <w:rFonts w:ascii="Times New Roman" w:hAnsi="Times New Roman"/>
          <w:b/>
          <w:sz w:val="26"/>
          <w:szCs w:val="26"/>
          <w:lang w:eastAsia="uk-UA"/>
        </w:rPr>
        <w:br/>
      </w:r>
      <w:r w:rsidRPr="004449C6">
        <w:rPr>
          <w:rFonts w:ascii="Times New Roman" w:hAnsi="Times New Roman"/>
          <w:b/>
          <w:sz w:val="26"/>
          <w:szCs w:val="26"/>
          <w:bdr w:val="none" w:sz="0" w:space="0" w:color="auto" w:frame="1"/>
          <w:lang w:eastAsia="uk-UA"/>
        </w:rPr>
        <w:t xml:space="preserve">реалізації </w:t>
      </w:r>
      <w:proofErr w:type="spellStart"/>
      <w:r w:rsidRPr="004449C6">
        <w:rPr>
          <w:rFonts w:ascii="Times New Roman" w:hAnsi="Times New Roman"/>
          <w:b/>
          <w:sz w:val="26"/>
          <w:szCs w:val="26"/>
        </w:rPr>
        <w:t>акта</w:t>
      </w:r>
      <w:proofErr w:type="spellEnd"/>
      <w:r w:rsidRPr="004449C6">
        <w:rPr>
          <w:rFonts w:ascii="Times New Roman" w:hAnsi="Times New Roman"/>
          <w:b/>
          <w:sz w:val="26"/>
          <w:szCs w:val="26"/>
          <w:lang w:val="ru-RU"/>
        </w:rPr>
        <w:t xml:space="preserve"> </w:t>
      </w:r>
      <w:r w:rsidRPr="004449C6">
        <w:rPr>
          <w:rFonts w:ascii="Times New Roman" w:hAnsi="Times New Roman"/>
          <w:b/>
          <w:sz w:val="26"/>
          <w:szCs w:val="26"/>
          <w:bdr w:val="none" w:sz="0" w:space="0" w:color="auto" w:frame="1"/>
          <w:lang w:eastAsia="uk-UA"/>
        </w:rPr>
        <w:t>на ключові інтереси заінтересованих сторін</w:t>
      </w:r>
      <w:r w:rsidR="004449C6" w:rsidRPr="004449C6">
        <w:rPr>
          <w:rFonts w:ascii="Times New Roman" w:hAnsi="Times New Roman"/>
          <w:b/>
          <w:sz w:val="26"/>
          <w:szCs w:val="26"/>
          <w:bdr w:val="none" w:sz="0" w:space="0" w:color="auto" w:frame="1"/>
          <w:lang w:val="ru-RU" w:eastAsia="uk-UA"/>
        </w:rPr>
        <w:t xml:space="preserve"> </w:t>
      </w:r>
      <w:r w:rsidR="00495770" w:rsidRPr="004449C6">
        <w:rPr>
          <w:rFonts w:ascii="Times New Roman" w:hAnsi="Times New Roman"/>
          <w:b/>
          <w:sz w:val="26"/>
          <w:szCs w:val="26"/>
          <w:bdr w:val="none" w:sz="0" w:space="0" w:color="auto" w:frame="1"/>
          <w:lang w:eastAsia="uk-UA"/>
        </w:rPr>
        <w:t xml:space="preserve">до </w:t>
      </w:r>
      <w:proofErr w:type="spellStart"/>
      <w:r w:rsidR="00495770" w:rsidRPr="004449C6">
        <w:rPr>
          <w:rFonts w:ascii="Times New Roman" w:hAnsi="Times New Roman"/>
          <w:b/>
          <w:sz w:val="26"/>
          <w:szCs w:val="26"/>
          <w:bdr w:val="none" w:sz="0" w:space="0" w:color="auto" w:frame="1"/>
          <w:lang w:eastAsia="uk-UA"/>
        </w:rPr>
        <w:t>проєкту</w:t>
      </w:r>
      <w:proofErr w:type="spellEnd"/>
      <w:r w:rsidR="00495770" w:rsidRPr="004449C6">
        <w:rPr>
          <w:rFonts w:ascii="Times New Roman" w:hAnsi="Times New Roman"/>
          <w:b/>
          <w:sz w:val="26"/>
          <w:szCs w:val="26"/>
          <w:bdr w:val="none" w:sz="0" w:space="0" w:color="auto" w:frame="1"/>
          <w:lang w:eastAsia="uk-UA"/>
        </w:rPr>
        <w:t xml:space="preserve"> постанови Кабінету Міністрів України </w:t>
      </w:r>
    </w:p>
    <w:p w:rsidR="004F51C1" w:rsidRPr="004449C6" w:rsidRDefault="005548A0" w:rsidP="004F51C1">
      <w:pPr>
        <w:spacing w:after="0" w:line="228" w:lineRule="auto"/>
        <w:jc w:val="center"/>
        <w:rPr>
          <w:rFonts w:ascii="Times New Roman" w:eastAsia="Times New Roman" w:hAnsi="Times New Roman"/>
          <w:b/>
          <w:color w:val="000000"/>
          <w:sz w:val="26"/>
          <w:szCs w:val="26"/>
          <w:lang w:eastAsia="ru-RU"/>
        </w:rPr>
      </w:pPr>
      <w:r>
        <w:rPr>
          <w:rFonts w:ascii="Times New Roman" w:hAnsi="Times New Roman"/>
          <w:b/>
          <w:sz w:val="26"/>
          <w:szCs w:val="26"/>
          <w:bdr w:val="none" w:sz="0" w:space="0" w:color="auto" w:frame="1"/>
          <w:lang w:eastAsia="uk-UA"/>
        </w:rPr>
        <w:t>«</w:t>
      </w:r>
      <w:r w:rsidR="004F51C1" w:rsidRPr="004449C6">
        <w:rPr>
          <w:rFonts w:ascii="Times New Roman" w:eastAsia="Times New Roman" w:hAnsi="Times New Roman"/>
          <w:b/>
          <w:color w:val="000000"/>
          <w:sz w:val="26"/>
          <w:szCs w:val="26"/>
          <w:lang w:val="x-none" w:eastAsia="ru-RU"/>
        </w:rPr>
        <w:t xml:space="preserve">Про внесення змін до </w:t>
      </w:r>
      <w:r w:rsidR="004F51C1" w:rsidRPr="004449C6">
        <w:rPr>
          <w:rFonts w:ascii="Times New Roman" w:eastAsia="Times New Roman" w:hAnsi="Times New Roman"/>
          <w:b/>
          <w:color w:val="000000"/>
          <w:sz w:val="26"/>
          <w:szCs w:val="26"/>
          <w:lang w:eastAsia="ru-RU"/>
        </w:rPr>
        <w:t>постанови</w:t>
      </w:r>
      <w:r w:rsidR="00FA6213" w:rsidRPr="004449C6">
        <w:rPr>
          <w:rFonts w:ascii="Times New Roman" w:eastAsia="Times New Roman" w:hAnsi="Times New Roman"/>
          <w:b/>
          <w:color w:val="000000"/>
          <w:sz w:val="26"/>
          <w:szCs w:val="26"/>
          <w:lang w:val="ru-RU" w:eastAsia="ru-RU"/>
        </w:rPr>
        <w:t xml:space="preserve"> </w:t>
      </w:r>
      <w:r w:rsidR="004F51C1" w:rsidRPr="004449C6">
        <w:rPr>
          <w:rFonts w:ascii="Times New Roman" w:eastAsia="Times New Roman" w:hAnsi="Times New Roman"/>
          <w:b/>
          <w:color w:val="000000"/>
          <w:sz w:val="26"/>
          <w:szCs w:val="26"/>
          <w:lang w:eastAsia="ru-RU"/>
        </w:rPr>
        <w:t>Кабінету Міністрів України</w:t>
      </w:r>
      <w:r>
        <w:rPr>
          <w:rFonts w:ascii="Times New Roman" w:eastAsia="Times New Roman" w:hAnsi="Times New Roman"/>
          <w:b/>
          <w:color w:val="000000"/>
          <w:sz w:val="26"/>
          <w:szCs w:val="26"/>
          <w:lang w:eastAsia="ru-RU"/>
        </w:rPr>
        <w:t xml:space="preserve"> від 3 листопада 2010 р. № 1002»</w:t>
      </w:r>
      <w:r w:rsidR="004F51C1" w:rsidRPr="004449C6">
        <w:rPr>
          <w:rFonts w:ascii="Times New Roman" w:eastAsia="Times New Roman" w:hAnsi="Times New Roman"/>
          <w:b/>
          <w:color w:val="000000"/>
          <w:sz w:val="26"/>
          <w:szCs w:val="26"/>
          <w:lang w:eastAsia="ru-RU"/>
        </w:rPr>
        <w:t xml:space="preserve"> </w:t>
      </w:r>
    </w:p>
    <w:p w:rsidR="004F51C1" w:rsidRPr="004449C6" w:rsidRDefault="004F51C1" w:rsidP="00495770">
      <w:pPr>
        <w:shd w:val="clear" w:color="auto" w:fill="FFFFFF"/>
        <w:spacing w:after="0" w:line="240" w:lineRule="auto"/>
        <w:ind w:firstLine="709"/>
        <w:jc w:val="center"/>
        <w:textAlignment w:val="baseline"/>
        <w:rPr>
          <w:rFonts w:ascii="Times New Roman" w:hAnsi="Times New Roman"/>
          <w:b/>
          <w:bCs/>
          <w:color w:val="000000"/>
          <w:sz w:val="26"/>
          <w:szCs w:val="26"/>
          <w:bdr w:val="none" w:sz="0" w:space="0" w:color="auto" w:frame="1"/>
          <w:lang w:eastAsia="uk-UA"/>
        </w:rPr>
      </w:pPr>
    </w:p>
    <w:p w:rsidR="00B92A14" w:rsidRPr="004449C6" w:rsidRDefault="00B92A14" w:rsidP="000C7B44">
      <w:pPr>
        <w:pStyle w:val="a3"/>
        <w:numPr>
          <w:ilvl w:val="0"/>
          <w:numId w:val="1"/>
        </w:numPr>
        <w:shd w:val="clear" w:color="auto" w:fill="FFFFFF"/>
        <w:tabs>
          <w:tab w:val="left" w:pos="709"/>
          <w:tab w:val="left" w:pos="993"/>
        </w:tabs>
        <w:spacing w:after="0" w:line="240" w:lineRule="auto"/>
        <w:ind w:left="0" w:right="-171" w:firstLine="709"/>
        <w:jc w:val="both"/>
        <w:textAlignment w:val="baseline"/>
        <w:rPr>
          <w:rFonts w:ascii="Times New Roman" w:hAnsi="Times New Roman"/>
          <w:color w:val="000000"/>
          <w:sz w:val="26"/>
          <w:szCs w:val="26"/>
          <w:lang w:eastAsia="uk-UA"/>
        </w:rPr>
      </w:pPr>
      <w:bookmarkStart w:id="1" w:name="n1760"/>
      <w:bookmarkEnd w:id="1"/>
      <w:r w:rsidRPr="004449C6">
        <w:rPr>
          <w:rFonts w:ascii="Times New Roman" w:hAnsi="Times New Roman"/>
          <w:color w:val="000000"/>
          <w:sz w:val="26"/>
          <w:szCs w:val="26"/>
          <w:lang w:eastAsia="uk-UA"/>
        </w:rPr>
        <w:t xml:space="preserve">Суть проекту </w:t>
      </w:r>
      <w:proofErr w:type="spellStart"/>
      <w:r w:rsidRPr="004449C6">
        <w:rPr>
          <w:rFonts w:ascii="Times New Roman" w:hAnsi="Times New Roman"/>
          <w:color w:val="000000"/>
          <w:sz w:val="26"/>
          <w:szCs w:val="26"/>
          <w:lang w:eastAsia="uk-UA"/>
        </w:rPr>
        <w:t>акта</w:t>
      </w:r>
      <w:proofErr w:type="spellEnd"/>
    </w:p>
    <w:p w:rsidR="004449C6" w:rsidRPr="004449C6" w:rsidRDefault="00B90134" w:rsidP="004449C6">
      <w:pPr>
        <w:widowControl w:val="0"/>
        <w:suppressAutoHyphens/>
        <w:spacing w:before="120"/>
        <w:ind w:firstLine="709"/>
        <w:jc w:val="both"/>
        <w:rPr>
          <w:rFonts w:ascii="Times New Roman" w:hAnsi="Times New Roman"/>
          <w:color w:val="000000"/>
          <w:sz w:val="26"/>
          <w:szCs w:val="26"/>
          <w:lang w:eastAsia="uk-UA"/>
        </w:rPr>
      </w:pPr>
      <w:r w:rsidRPr="004449C6">
        <w:rPr>
          <w:rFonts w:ascii="Times New Roman" w:hAnsi="Times New Roman"/>
          <w:color w:val="000000"/>
          <w:sz w:val="26"/>
          <w:szCs w:val="26"/>
          <w:lang w:eastAsia="uk-UA"/>
        </w:rPr>
        <w:t xml:space="preserve">Метою </w:t>
      </w:r>
      <w:bookmarkStart w:id="2" w:name="n1761"/>
      <w:bookmarkEnd w:id="2"/>
      <w:r w:rsidR="004449C6" w:rsidRPr="004449C6">
        <w:rPr>
          <w:rFonts w:ascii="Times New Roman" w:hAnsi="Times New Roman"/>
          <w:color w:val="000000"/>
          <w:sz w:val="26"/>
          <w:szCs w:val="26"/>
          <w:lang w:eastAsia="uk-UA"/>
        </w:rPr>
        <w:t xml:space="preserve">прийняття </w:t>
      </w:r>
      <w:proofErr w:type="spellStart"/>
      <w:r w:rsidR="004449C6" w:rsidRPr="004449C6">
        <w:rPr>
          <w:rFonts w:ascii="Times New Roman" w:hAnsi="Times New Roman"/>
          <w:color w:val="000000"/>
          <w:sz w:val="26"/>
          <w:szCs w:val="26"/>
          <w:lang w:eastAsia="uk-UA"/>
        </w:rPr>
        <w:t>акта</w:t>
      </w:r>
      <w:proofErr w:type="spellEnd"/>
      <w:r w:rsidR="004449C6" w:rsidRPr="004449C6">
        <w:rPr>
          <w:rFonts w:ascii="Times New Roman" w:hAnsi="Times New Roman"/>
          <w:color w:val="000000"/>
          <w:sz w:val="26"/>
          <w:szCs w:val="26"/>
          <w:lang w:eastAsia="uk-UA"/>
        </w:rPr>
        <w:t xml:space="preserve"> є продовження до 2023 року терміну дії Державної цільової науково-технічної програми проведення досліджень </w:t>
      </w:r>
      <w:r w:rsidR="005548A0">
        <w:rPr>
          <w:rFonts w:ascii="Times New Roman" w:hAnsi="Times New Roman"/>
          <w:color w:val="000000"/>
          <w:sz w:val="26"/>
          <w:szCs w:val="26"/>
          <w:lang w:eastAsia="uk-UA"/>
        </w:rPr>
        <w:t xml:space="preserve">в Антарктиці на 2011-2020 роки </w:t>
      </w:r>
      <w:r w:rsidR="004449C6" w:rsidRPr="004449C6">
        <w:rPr>
          <w:rFonts w:ascii="Times New Roman" w:hAnsi="Times New Roman"/>
          <w:color w:val="000000"/>
          <w:sz w:val="26"/>
          <w:szCs w:val="26"/>
          <w:lang w:eastAsia="uk-UA"/>
        </w:rPr>
        <w:t>задля забезпечення безперервного й вчасного здійснення заходів з організації та проведення українських антарктичних експедицій, зокрема їх логістичного, екологічного та матеріально-технічного забезпечення, що забезпечить довгострокові наукові, економічні та політичні інтереси України в  районі дії Договору про Антарктику.</w:t>
      </w:r>
    </w:p>
    <w:p w:rsidR="00B92A14" w:rsidRPr="004449C6" w:rsidRDefault="00B92A14" w:rsidP="004449C6">
      <w:pPr>
        <w:pStyle w:val="WW-3"/>
        <w:spacing w:before="240"/>
        <w:ind w:firstLine="720"/>
        <w:rPr>
          <w:color w:val="000000"/>
          <w:sz w:val="26"/>
          <w:szCs w:val="26"/>
          <w:lang w:eastAsia="uk-UA"/>
        </w:rPr>
      </w:pPr>
      <w:proofErr w:type="spellStart"/>
      <w:r w:rsidRPr="004449C6">
        <w:rPr>
          <w:color w:val="000000"/>
          <w:sz w:val="26"/>
          <w:szCs w:val="26"/>
          <w:lang w:eastAsia="uk-UA"/>
        </w:rPr>
        <w:t>Вплив</w:t>
      </w:r>
      <w:proofErr w:type="spellEnd"/>
      <w:r w:rsidRPr="004449C6">
        <w:rPr>
          <w:color w:val="000000"/>
          <w:sz w:val="26"/>
          <w:szCs w:val="26"/>
          <w:lang w:eastAsia="uk-UA"/>
        </w:rPr>
        <w:t xml:space="preserve"> на </w:t>
      </w:r>
      <w:proofErr w:type="spellStart"/>
      <w:r w:rsidRPr="004449C6">
        <w:rPr>
          <w:color w:val="000000"/>
          <w:sz w:val="26"/>
          <w:szCs w:val="26"/>
          <w:lang w:eastAsia="uk-UA"/>
        </w:rPr>
        <w:t>ключові</w:t>
      </w:r>
      <w:proofErr w:type="spellEnd"/>
      <w:r w:rsidRPr="004449C6">
        <w:rPr>
          <w:color w:val="000000"/>
          <w:sz w:val="26"/>
          <w:szCs w:val="26"/>
          <w:lang w:eastAsia="uk-UA"/>
        </w:rPr>
        <w:t xml:space="preserve"> </w:t>
      </w:r>
      <w:proofErr w:type="spellStart"/>
      <w:r w:rsidRPr="004449C6">
        <w:rPr>
          <w:color w:val="000000"/>
          <w:sz w:val="26"/>
          <w:szCs w:val="26"/>
          <w:lang w:eastAsia="uk-UA"/>
        </w:rPr>
        <w:t>інтереси</w:t>
      </w:r>
      <w:proofErr w:type="spellEnd"/>
      <w:r w:rsidRPr="004449C6">
        <w:rPr>
          <w:color w:val="000000"/>
          <w:sz w:val="26"/>
          <w:szCs w:val="26"/>
          <w:lang w:eastAsia="uk-UA"/>
        </w:rPr>
        <w:t xml:space="preserve"> усіх заінтересованих сторін:</w:t>
      </w:r>
      <w:bookmarkStart w:id="3" w:name="_GoBack"/>
      <w:bookmarkEnd w:id="3"/>
    </w:p>
    <w:p w:rsidR="00B92A14" w:rsidRPr="004449C6" w:rsidRDefault="00B92A14" w:rsidP="009E596E">
      <w:pPr>
        <w:pStyle w:val="a3"/>
        <w:shd w:val="clear" w:color="auto" w:fill="FFFFFF"/>
        <w:spacing w:after="0" w:line="240" w:lineRule="auto"/>
        <w:ind w:left="810"/>
        <w:jc w:val="both"/>
        <w:textAlignment w:val="baseline"/>
        <w:rPr>
          <w:rFonts w:ascii="Times New Roman" w:hAnsi="Times New Roman"/>
          <w:color w:val="000000"/>
          <w:sz w:val="26"/>
          <w:szCs w:val="26"/>
          <w:lang w:eastAsia="uk-UA"/>
        </w:rPr>
      </w:pPr>
    </w:p>
    <w:tbl>
      <w:tblPr>
        <w:tblW w:w="508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2694"/>
        <w:gridCol w:w="2976"/>
        <w:gridCol w:w="2153"/>
        <w:gridCol w:w="2244"/>
        <w:gridCol w:w="5580"/>
      </w:tblGrid>
      <w:tr w:rsidR="00C167A2" w:rsidRPr="004449C6" w:rsidTr="00C167A2">
        <w:trPr>
          <w:tblHeader/>
        </w:trPr>
        <w:tc>
          <w:tcPr>
            <w:tcW w:w="861" w:type="pct"/>
            <w:vMerge w:val="restart"/>
          </w:tcPr>
          <w:p w:rsidR="00B92A14" w:rsidRPr="004449C6" w:rsidRDefault="00B92A14" w:rsidP="009E596E">
            <w:pPr>
              <w:spacing w:after="0" w:line="240" w:lineRule="auto"/>
              <w:jc w:val="center"/>
              <w:textAlignment w:val="baseline"/>
              <w:rPr>
                <w:rFonts w:ascii="Times New Roman" w:hAnsi="Times New Roman"/>
                <w:sz w:val="26"/>
                <w:szCs w:val="26"/>
                <w:lang w:eastAsia="uk-UA"/>
              </w:rPr>
            </w:pPr>
            <w:bookmarkStart w:id="4" w:name="n1762"/>
            <w:bookmarkEnd w:id="4"/>
          </w:p>
          <w:p w:rsidR="00B92A14" w:rsidRPr="004449C6" w:rsidRDefault="00B92A14" w:rsidP="009E596E">
            <w:pPr>
              <w:spacing w:after="0" w:line="240" w:lineRule="auto"/>
              <w:jc w:val="center"/>
              <w:textAlignment w:val="baseline"/>
              <w:rPr>
                <w:rFonts w:ascii="Times New Roman" w:hAnsi="Times New Roman"/>
                <w:sz w:val="26"/>
                <w:szCs w:val="26"/>
                <w:lang w:eastAsia="uk-UA"/>
              </w:rPr>
            </w:pPr>
          </w:p>
          <w:p w:rsidR="00B92A14" w:rsidRPr="004449C6" w:rsidRDefault="00B92A14" w:rsidP="009E596E">
            <w:pPr>
              <w:spacing w:after="0" w:line="240" w:lineRule="auto"/>
              <w:jc w:val="center"/>
              <w:textAlignment w:val="baseline"/>
              <w:rPr>
                <w:rFonts w:ascii="Times New Roman" w:hAnsi="Times New Roman"/>
                <w:sz w:val="26"/>
                <w:szCs w:val="26"/>
                <w:lang w:eastAsia="uk-UA"/>
              </w:rPr>
            </w:pPr>
            <w:r w:rsidRPr="004449C6">
              <w:rPr>
                <w:rFonts w:ascii="Times New Roman" w:hAnsi="Times New Roman"/>
                <w:sz w:val="26"/>
                <w:szCs w:val="26"/>
                <w:lang w:eastAsia="uk-UA"/>
              </w:rPr>
              <w:t>Заінтересована сторона</w:t>
            </w:r>
          </w:p>
        </w:tc>
        <w:tc>
          <w:tcPr>
            <w:tcW w:w="951" w:type="pct"/>
            <w:vMerge w:val="restart"/>
          </w:tcPr>
          <w:p w:rsidR="00B92A14" w:rsidRPr="004449C6" w:rsidRDefault="00B92A14" w:rsidP="009E596E">
            <w:pPr>
              <w:spacing w:after="0" w:line="240" w:lineRule="auto"/>
              <w:jc w:val="center"/>
              <w:textAlignment w:val="baseline"/>
              <w:rPr>
                <w:rFonts w:ascii="Times New Roman" w:hAnsi="Times New Roman"/>
                <w:sz w:val="26"/>
                <w:szCs w:val="26"/>
                <w:lang w:eastAsia="uk-UA"/>
              </w:rPr>
            </w:pPr>
          </w:p>
          <w:p w:rsidR="00B92A14" w:rsidRPr="004449C6" w:rsidRDefault="00B92A14" w:rsidP="009E596E">
            <w:pPr>
              <w:spacing w:after="0" w:line="240" w:lineRule="auto"/>
              <w:jc w:val="center"/>
              <w:textAlignment w:val="baseline"/>
              <w:rPr>
                <w:rFonts w:ascii="Times New Roman" w:hAnsi="Times New Roman"/>
                <w:sz w:val="26"/>
                <w:szCs w:val="26"/>
                <w:lang w:eastAsia="uk-UA"/>
              </w:rPr>
            </w:pPr>
            <w:r w:rsidRPr="004449C6">
              <w:rPr>
                <w:rFonts w:ascii="Times New Roman" w:hAnsi="Times New Roman"/>
                <w:sz w:val="26"/>
                <w:szCs w:val="26"/>
                <w:lang w:eastAsia="uk-UA"/>
              </w:rPr>
              <w:t>Ключовий інтерес</w:t>
            </w:r>
          </w:p>
        </w:tc>
        <w:tc>
          <w:tcPr>
            <w:tcW w:w="1405" w:type="pct"/>
            <w:gridSpan w:val="2"/>
          </w:tcPr>
          <w:p w:rsidR="00B92A14" w:rsidRPr="004449C6" w:rsidRDefault="00B92A14" w:rsidP="009E596E">
            <w:pPr>
              <w:spacing w:after="0" w:line="240" w:lineRule="auto"/>
              <w:jc w:val="center"/>
              <w:textAlignment w:val="baseline"/>
              <w:rPr>
                <w:rFonts w:ascii="Times New Roman" w:hAnsi="Times New Roman"/>
                <w:sz w:val="26"/>
                <w:szCs w:val="26"/>
                <w:lang w:eastAsia="uk-UA"/>
              </w:rPr>
            </w:pPr>
            <w:r w:rsidRPr="004449C6">
              <w:rPr>
                <w:rFonts w:ascii="Times New Roman" w:hAnsi="Times New Roman"/>
                <w:sz w:val="26"/>
                <w:szCs w:val="26"/>
                <w:lang w:eastAsia="uk-UA"/>
              </w:rPr>
              <w:t>Очікуваний (позитивний чи негативний) вплив на ключовий інтерес із зазначенням передбачуваної динаміки змін основних показників</w:t>
            </w:r>
          </w:p>
          <w:p w:rsidR="00B92A14" w:rsidRPr="004449C6" w:rsidRDefault="00B92A14" w:rsidP="009E596E">
            <w:pPr>
              <w:spacing w:after="0" w:line="240" w:lineRule="auto"/>
              <w:jc w:val="center"/>
              <w:textAlignment w:val="baseline"/>
              <w:rPr>
                <w:rFonts w:ascii="Times New Roman" w:hAnsi="Times New Roman"/>
                <w:sz w:val="26"/>
                <w:szCs w:val="26"/>
                <w:lang w:eastAsia="uk-UA"/>
              </w:rPr>
            </w:pPr>
            <w:r w:rsidRPr="004449C6">
              <w:rPr>
                <w:rFonts w:ascii="Times New Roman" w:hAnsi="Times New Roman"/>
                <w:sz w:val="26"/>
                <w:szCs w:val="26"/>
                <w:lang w:eastAsia="uk-UA"/>
              </w:rPr>
              <w:t>(у числовому або якісному вимірі)</w:t>
            </w:r>
          </w:p>
        </w:tc>
        <w:tc>
          <w:tcPr>
            <w:tcW w:w="1783" w:type="pct"/>
            <w:vMerge w:val="restart"/>
          </w:tcPr>
          <w:p w:rsidR="00B92A14" w:rsidRPr="004449C6" w:rsidRDefault="00B92A14" w:rsidP="009E596E">
            <w:pPr>
              <w:spacing w:after="0" w:line="240" w:lineRule="auto"/>
              <w:jc w:val="center"/>
              <w:textAlignment w:val="baseline"/>
              <w:rPr>
                <w:rFonts w:ascii="Times New Roman" w:hAnsi="Times New Roman"/>
                <w:sz w:val="26"/>
                <w:szCs w:val="26"/>
                <w:lang w:eastAsia="uk-UA"/>
              </w:rPr>
            </w:pPr>
          </w:p>
          <w:p w:rsidR="00B92A14" w:rsidRPr="004449C6" w:rsidRDefault="00B92A14" w:rsidP="009E596E">
            <w:pPr>
              <w:spacing w:after="0" w:line="240" w:lineRule="auto"/>
              <w:jc w:val="center"/>
              <w:textAlignment w:val="baseline"/>
              <w:rPr>
                <w:rFonts w:ascii="Times New Roman" w:hAnsi="Times New Roman"/>
                <w:sz w:val="26"/>
                <w:szCs w:val="26"/>
                <w:lang w:eastAsia="uk-UA"/>
              </w:rPr>
            </w:pPr>
            <w:r w:rsidRPr="004449C6">
              <w:rPr>
                <w:rFonts w:ascii="Times New Roman" w:hAnsi="Times New Roman"/>
                <w:sz w:val="26"/>
                <w:szCs w:val="26"/>
                <w:lang w:eastAsia="uk-UA"/>
              </w:rPr>
              <w:t xml:space="preserve">Пояснення </w:t>
            </w:r>
          </w:p>
          <w:p w:rsidR="00B92A14" w:rsidRPr="004449C6" w:rsidRDefault="00B92A14" w:rsidP="009E596E">
            <w:pPr>
              <w:spacing w:after="0" w:line="240" w:lineRule="auto"/>
              <w:jc w:val="center"/>
              <w:textAlignment w:val="baseline"/>
              <w:rPr>
                <w:rFonts w:ascii="Times New Roman" w:hAnsi="Times New Roman"/>
                <w:sz w:val="26"/>
                <w:szCs w:val="26"/>
                <w:lang w:eastAsia="uk-UA"/>
              </w:rPr>
            </w:pPr>
            <w:r w:rsidRPr="004449C6">
              <w:rPr>
                <w:rFonts w:ascii="Times New Roman" w:hAnsi="Times New Roman"/>
                <w:sz w:val="26"/>
                <w:szCs w:val="26"/>
                <w:lang w:eastAsia="uk-UA"/>
              </w:rPr>
              <w:t>(чому саме реалізація акта призведе до очікуваного впливу)</w:t>
            </w:r>
          </w:p>
        </w:tc>
      </w:tr>
      <w:tr w:rsidR="00C167A2" w:rsidRPr="00FA6213" w:rsidTr="00C167A2">
        <w:tc>
          <w:tcPr>
            <w:tcW w:w="861" w:type="pct"/>
            <w:vMerge/>
            <w:vAlign w:val="bottom"/>
          </w:tcPr>
          <w:p w:rsidR="00B92A14" w:rsidRPr="00FA6213" w:rsidRDefault="00B92A14" w:rsidP="009E596E">
            <w:pPr>
              <w:spacing w:after="0" w:line="240" w:lineRule="auto"/>
              <w:rPr>
                <w:rFonts w:ascii="Times New Roman" w:hAnsi="Times New Roman"/>
                <w:sz w:val="26"/>
                <w:szCs w:val="26"/>
                <w:lang w:eastAsia="uk-UA"/>
              </w:rPr>
            </w:pPr>
          </w:p>
        </w:tc>
        <w:tc>
          <w:tcPr>
            <w:tcW w:w="951" w:type="pct"/>
            <w:vMerge/>
            <w:vAlign w:val="bottom"/>
          </w:tcPr>
          <w:p w:rsidR="00B92A14" w:rsidRPr="00FA6213" w:rsidRDefault="00B92A14" w:rsidP="009E596E">
            <w:pPr>
              <w:spacing w:after="0" w:line="240" w:lineRule="auto"/>
              <w:rPr>
                <w:rFonts w:ascii="Times New Roman" w:hAnsi="Times New Roman"/>
                <w:sz w:val="26"/>
                <w:szCs w:val="26"/>
                <w:lang w:eastAsia="uk-UA"/>
              </w:rPr>
            </w:pPr>
          </w:p>
        </w:tc>
        <w:tc>
          <w:tcPr>
            <w:tcW w:w="688" w:type="pct"/>
          </w:tcPr>
          <w:p w:rsidR="00B92A14" w:rsidRPr="00FA6213" w:rsidRDefault="00B92A14" w:rsidP="009E596E">
            <w:pPr>
              <w:spacing w:after="0" w:line="240" w:lineRule="auto"/>
              <w:jc w:val="center"/>
              <w:textAlignment w:val="baseline"/>
              <w:rPr>
                <w:rFonts w:ascii="Times New Roman" w:hAnsi="Times New Roman"/>
                <w:sz w:val="26"/>
                <w:szCs w:val="26"/>
                <w:lang w:eastAsia="uk-UA"/>
              </w:rPr>
            </w:pPr>
            <w:r w:rsidRPr="00FA6213">
              <w:rPr>
                <w:rFonts w:ascii="Times New Roman" w:hAnsi="Times New Roman"/>
                <w:sz w:val="26"/>
                <w:szCs w:val="26"/>
                <w:lang w:eastAsia="uk-UA"/>
              </w:rPr>
              <w:t xml:space="preserve">короткостроковий вплив </w:t>
            </w:r>
          </w:p>
          <w:p w:rsidR="00B92A14" w:rsidRPr="00FA6213" w:rsidRDefault="00B92A14" w:rsidP="009E596E">
            <w:pPr>
              <w:spacing w:after="0" w:line="240" w:lineRule="auto"/>
              <w:jc w:val="center"/>
              <w:textAlignment w:val="baseline"/>
              <w:rPr>
                <w:rFonts w:ascii="Times New Roman" w:hAnsi="Times New Roman"/>
                <w:sz w:val="26"/>
                <w:szCs w:val="26"/>
                <w:lang w:eastAsia="uk-UA"/>
              </w:rPr>
            </w:pPr>
            <w:r w:rsidRPr="00FA6213">
              <w:rPr>
                <w:rFonts w:ascii="Times New Roman" w:hAnsi="Times New Roman"/>
                <w:sz w:val="26"/>
                <w:szCs w:val="26"/>
                <w:lang w:eastAsia="uk-UA"/>
              </w:rPr>
              <w:t>(до року)</w:t>
            </w:r>
          </w:p>
        </w:tc>
        <w:tc>
          <w:tcPr>
            <w:tcW w:w="717" w:type="pct"/>
          </w:tcPr>
          <w:p w:rsidR="00B92A14" w:rsidRPr="00FA6213" w:rsidRDefault="00B92A14" w:rsidP="009E596E">
            <w:pPr>
              <w:spacing w:after="0" w:line="240" w:lineRule="auto"/>
              <w:jc w:val="center"/>
              <w:textAlignment w:val="baseline"/>
              <w:rPr>
                <w:rFonts w:ascii="Times New Roman" w:hAnsi="Times New Roman"/>
                <w:sz w:val="26"/>
                <w:szCs w:val="26"/>
                <w:lang w:eastAsia="uk-UA"/>
              </w:rPr>
            </w:pPr>
            <w:r w:rsidRPr="00FA6213">
              <w:rPr>
                <w:rFonts w:ascii="Times New Roman" w:hAnsi="Times New Roman"/>
                <w:sz w:val="26"/>
                <w:szCs w:val="26"/>
                <w:lang w:eastAsia="uk-UA"/>
              </w:rPr>
              <w:t xml:space="preserve">середньостроковий вплив </w:t>
            </w:r>
          </w:p>
          <w:p w:rsidR="00B92A14" w:rsidRPr="00FA6213" w:rsidRDefault="00B92A14" w:rsidP="009E596E">
            <w:pPr>
              <w:spacing w:after="0" w:line="240" w:lineRule="auto"/>
              <w:jc w:val="center"/>
              <w:textAlignment w:val="baseline"/>
              <w:rPr>
                <w:rFonts w:ascii="Times New Roman" w:hAnsi="Times New Roman"/>
                <w:sz w:val="26"/>
                <w:szCs w:val="26"/>
                <w:lang w:eastAsia="uk-UA"/>
              </w:rPr>
            </w:pPr>
            <w:r w:rsidRPr="00FA6213">
              <w:rPr>
                <w:rFonts w:ascii="Times New Roman" w:hAnsi="Times New Roman"/>
                <w:sz w:val="26"/>
                <w:szCs w:val="26"/>
                <w:lang w:eastAsia="uk-UA"/>
              </w:rPr>
              <w:t>(більше року)</w:t>
            </w:r>
          </w:p>
        </w:tc>
        <w:tc>
          <w:tcPr>
            <w:tcW w:w="1783" w:type="pct"/>
            <w:vMerge/>
            <w:vAlign w:val="center"/>
          </w:tcPr>
          <w:p w:rsidR="00B92A14" w:rsidRPr="00FA6213" w:rsidRDefault="00B92A14" w:rsidP="009E596E">
            <w:pPr>
              <w:spacing w:after="0" w:line="240" w:lineRule="auto"/>
              <w:rPr>
                <w:rFonts w:ascii="Times New Roman" w:hAnsi="Times New Roman"/>
                <w:sz w:val="26"/>
                <w:szCs w:val="26"/>
                <w:lang w:eastAsia="uk-UA"/>
              </w:rPr>
            </w:pPr>
          </w:p>
        </w:tc>
      </w:tr>
      <w:tr w:rsidR="00C167A2" w:rsidRPr="00FA6213" w:rsidTr="00C167A2">
        <w:trPr>
          <w:trHeight w:val="70"/>
        </w:trPr>
        <w:tc>
          <w:tcPr>
            <w:tcW w:w="861" w:type="pct"/>
          </w:tcPr>
          <w:p w:rsidR="009C160C" w:rsidRPr="001A6007" w:rsidRDefault="00C167A2" w:rsidP="00C167A2">
            <w:pPr>
              <w:spacing w:after="0" w:line="240" w:lineRule="auto"/>
              <w:ind w:left="142" w:right="111"/>
              <w:rPr>
                <w:rFonts w:ascii="Times New Roman" w:hAnsi="Times New Roman"/>
                <w:sz w:val="26"/>
                <w:szCs w:val="26"/>
                <w:lang w:eastAsia="uk-UA"/>
              </w:rPr>
            </w:pPr>
            <w:r>
              <w:rPr>
                <w:rStyle w:val="FontStyle20"/>
                <w:sz w:val="26"/>
                <w:szCs w:val="26"/>
                <w:lang w:eastAsia="uk-UA"/>
              </w:rPr>
              <w:t xml:space="preserve">Наукові установи та заклади вищої освіти, чиї дослідники беруть участь у виконання завдань з  вивчення Антарктики. Учасники українських антарктичних експедицій, чиє </w:t>
            </w:r>
            <w:r>
              <w:rPr>
                <w:rStyle w:val="FontStyle20"/>
                <w:sz w:val="26"/>
                <w:szCs w:val="26"/>
                <w:lang w:eastAsia="uk-UA"/>
              </w:rPr>
              <w:lastRenderedPageBreak/>
              <w:t>життя та здоров’я безпосередньо залежать від вчасності здійснення матеріально-технічного забезпечення станції «Академік Вернадський»</w:t>
            </w:r>
          </w:p>
        </w:tc>
        <w:tc>
          <w:tcPr>
            <w:tcW w:w="951" w:type="pct"/>
          </w:tcPr>
          <w:p w:rsidR="00B92A14" w:rsidRPr="00FA6213" w:rsidRDefault="00617F11" w:rsidP="00C167A2">
            <w:pPr>
              <w:pStyle w:val="rvps2"/>
              <w:shd w:val="clear" w:color="auto" w:fill="FFFFFF"/>
              <w:spacing w:before="0" w:beforeAutospacing="0" w:after="0" w:afterAutospacing="0"/>
              <w:ind w:left="142"/>
              <w:textAlignment w:val="baseline"/>
              <w:rPr>
                <w:sz w:val="26"/>
                <w:szCs w:val="26"/>
                <w:lang w:val="uk-UA" w:eastAsia="uk-UA"/>
              </w:rPr>
            </w:pPr>
            <w:r w:rsidRPr="00FA6213">
              <w:rPr>
                <w:sz w:val="26"/>
                <w:szCs w:val="26"/>
                <w:lang w:val="uk-UA" w:eastAsia="uk-UA"/>
              </w:rPr>
              <w:lastRenderedPageBreak/>
              <w:t xml:space="preserve">Продовження </w:t>
            </w:r>
            <w:r w:rsidR="004449C6">
              <w:rPr>
                <w:sz w:val="26"/>
                <w:szCs w:val="26"/>
                <w:lang w:val="uk-UA"/>
              </w:rPr>
              <w:t>здійсненн</w:t>
            </w:r>
            <w:r w:rsidR="004449C6" w:rsidRPr="004449C6">
              <w:rPr>
                <w:sz w:val="26"/>
                <w:szCs w:val="26"/>
                <w:lang w:val="uk-UA"/>
              </w:rPr>
              <w:t>я</w:t>
            </w:r>
            <w:r w:rsidRPr="00FA6213">
              <w:rPr>
                <w:sz w:val="26"/>
                <w:szCs w:val="26"/>
                <w:lang w:val="uk-UA"/>
              </w:rPr>
              <w:t xml:space="preserve"> заходів з організації та проведення українських антарктичних експедицій, зокрема їх логістичного, екологічного та матеріально-технічного забезпечення, що </w:t>
            </w:r>
            <w:r w:rsidRPr="00FA6213">
              <w:rPr>
                <w:color w:val="000000"/>
                <w:sz w:val="26"/>
                <w:szCs w:val="26"/>
                <w:shd w:val="clear" w:color="auto" w:fill="FFFFFF"/>
                <w:lang w:val="uk-UA"/>
              </w:rPr>
              <w:t xml:space="preserve">дозволить Україні зберегти статус </w:t>
            </w:r>
            <w:r w:rsidRPr="00FA6213">
              <w:rPr>
                <w:color w:val="000000"/>
                <w:sz w:val="26"/>
                <w:szCs w:val="26"/>
                <w:shd w:val="clear" w:color="auto" w:fill="FFFFFF"/>
                <w:lang w:val="uk-UA"/>
              </w:rPr>
              <w:lastRenderedPageBreak/>
              <w:t xml:space="preserve">Консультативної Сторони Договору про Антарктику та </w:t>
            </w:r>
            <w:r w:rsidRPr="00FA6213">
              <w:rPr>
                <w:rStyle w:val="FontStyle20"/>
                <w:sz w:val="26"/>
                <w:szCs w:val="26"/>
                <w:lang w:val="uk-UA" w:eastAsia="uk-UA"/>
              </w:rPr>
              <w:t xml:space="preserve">сприятиме створенню умов для виконання визначених </w:t>
            </w:r>
            <w:r w:rsidRPr="00FA6213">
              <w:rPr>
                <w:rStyle w:val="FontStyle20"/>
                <w:spacing w:val="-20"/>
                <w:sz w:val="26"/>
                <w:szCs w:val="26"/>
                <w:lang w:val="uk-UA" w:eastAsia="uk-UA"/>
              </w:rPr>
              <w:t>Урядом</w:t>
            </w:r>
            <w:r w:rsidRPr="00FA6213">
              <w:rPr>
                <w:rStyle w:val="FontStyle20"/>
                <w:sz w:val="26"/>
                <w:szCs w:val="26"/>
                <w:lang w:val="uk-UA" w:eastAsia="uk-UA"/>
              </w:rPr>
              <w:t xml:space="preserve"> завдань з розвитку науки та інновацій, </w:t>
            </w:r>
            <w:r w:rsidRPr="00FA6213">
              <w:rPr>
                <w:sz w:val="26"/>
                <w:szCs w:val="26"/>
                <w:lang w:val="uk-UA" w:eastAsia="uk-UA"/>
              </w:rPr>
              <w:t>забез</w:t>
            </w:r>
            <w:r w:rsidR="00C167A2">
              <w:rPr>
                <w:sz w:val="26"/>
                <w:szCs w:val="26"/>
                <w:lang w:val="uk-UA" w:eastAsia="uk-UA"/>
              </w:rPr>
              <w:t xml:space="preserve">печить довгострокові політичні та наукові </w:t>
            </w:r>
            <w:r w:rsidRPr="00FA6213">
              <w:rPr>
                <w:sz w:val="26"/>
                <w:szCs w:val="26"/>
                <w:lang w:val="uk-UA" w:eastAsia="uk-UA"/>
              </w:rPr>
              <w:t xml:space="preserve">інтереси України в </w:t>
            </w:r>
            <w:r w:rsidR="00C167A2">
              <w:rPr>
                <w:sz w:val="26"/>
                <w:szCs w:val="26"/>
                <w:lang w:val="uk-UA" w:eastAsia="uk-UA"/>
              </w:rPr>
              <w:t>районі Антарктики.</w:t>
            </w:r>
          </w:p>
        </w:tc>
        <w:tc>
          <w:tcPr>
            <w:tcW w:w="688" w:type="pct"/>
          </w:tcPr>
          <w:p w:rsidR="00B92A14" w:rsidRPr="00FA6213" w:rsidRDefault="00B92A14" w:rsidP="005A3082">
            <w:pPr>
              <w:spacing w:before="150" w:after="150" w:line="240" w:lineRule="auto"/>
              <w:jc w:val="center"/>
              <w:textAlignment w:val="baseline"/>
              <w:rPr>
                <w:rFonts w:ascii="Times New Roman" w:hAnsi="Times New Roman"/>
                <w:sz w:val="26"/>
                <w:szCs w:val="26"/>
                <w:lang w:eastAsia="uk-UA"/>
              </w:rPr>
            </w:pPr>
            <w:r w:rsidRPr="00FA6213">
              <w:rPr>
                <w:rFonts w:ascii="Times New Roman" w:hAnsi="Times New Roman"/>
                <w:sz w:val="26"/>
                <w:szCs w:val="26"/>
                <w:lang w:eastAsia="uk-UA"/>
              </w:rPr>
              <w:lastRenderedPageBreak/>
              <w:t>Позитивний</w:t>
            </w:r>
          </w:p>
          <w:p w:rsidR="00B92A14" w:rsidRPr="00FA6213" w:rsidRDefault="00B92A14" w:rsidP="00BC4195">
            <w:pPr>
              <w:spacing w:before="150" w:after="150" w:line="240" w:lineRule="auto"/>
              <w:jc w:val="center"/>
              <w:textAlignment w:val="baseline"/>
              <w:rPr>
                <w:rFonts w:ascii="Times New Roman" w:hAnsi="Times New Roman"/>
                <w:sz w:val="26"/>
                <w:szCs w:val="26"/>
                <w:lang w:eastAsia="uk-UA"/>
              </w:rPr>
            </w:pPr>
          </w:p>
        </w:tc>
        <w:tc>
          <w:tcPr>
            <w:tcW w:w="717" w:type="pct"/>
          </w:tcPr>
          <w:p w:rsidR="00B92A14" w:rsidRPr="00FA6213" w:rsidRDefault="00B92A14" w:rsidP="005A3082">
            <w:pPr>
              <w:spacing w:before="150" w:after="150" w:line="240" w:lineRule="auto"/>
              <w:jc w:val="center"/>
              <w:textAlignment w:val="baseline"/>
              <w:rPr>
                <w:rFonts w:ascii="Times New Roman" w:hAnsi="Times New Roman"/>
                <w:sz w:val="26"/>
                <w:szCs w:val="26"/>
                <w:lang w:eastAsia="uk-UA"/>
              </w:rPr>
            </w:pPr>
            <w:r w:rsidRPr="00FA6213">
              <w:rPr>
                <w:rFonts w:ascii="Times New Roman" w:hAnsi="Times New Roman"/>
                <w:sz w:val="26"/>
                <w:szCs w:val="26"/>
                <w:lang w:eastAsia="uk-UA"/>
              </w:rPr>
              <w:t>Позитивний</w:t>
            </w:r>
          </w:p>
          <w:p w:rsidR="00B92A14" w:rsidRPr="00FA6213" w:rsidRDefault="00B92A14" w:rsidP="00342FF1">
            <w:pPr>
              <w:spacing w:before="150" w:after="150" w:line="240" w:lineRule="auto"/>
              <w:jc w:val="center"/>
              <w:textAlignment w:val="baseline"/>
              <w:rPr>
                <w:rFonts w:ascii="Times New Roman" w:hAnsi="Times New Roman"/>
                <w:sz w:val="26"/>
                <w:szCs w:val="26"/>
                <w:lang w:eastAsia="uk-UA"/>
              </w:rPr>
            </w:pPr>
          </w:p>
        </w:tc>
        <w:tc>
          <w:tcPr>
            <w:tcW w:w="1783" w:type="pct"/>
          </w:tcPr>
          <w:p w:rsidR="004449C6" w:rsidRDefault="007006EB" w:rsidP="004449C6">
            <w:pPr>
              <w:pStyle w:val="2"/>
              <w:spacing w:after="0" w:line="240" w:lineRule="auto"/>
              <w:ind w:left="140" w:right="208" w:firstLine="569"/>
              <w:jc w:val="both"/>
              <w:rPr>
                <w:bCs/>
                <w:sz w:val="26"/>
                <w:szCs w:val="26"/>
                <w:bdr w:val="none" w:sz="0" w:space="0" w:color="auto" w:frame="1"/>
                <w:lang w:val="uk-UA" w:eastAsia="uk-UA"/>
              </w:rPr>
            </w:pPr>
            <w:r w:rsidRPr="004449C6">
              <w:rPr>
                <w:sz w:val="26"/>
                <w:szCs w:val="26"/>
                <w:lang w:val="uk-UA"/>
              </w:rPr>
              <w:t>Без</w:t>
            </w:r>
            <w:r w:rsidR="00617F11" w:rsidRPr="004449C6">
              <w:rPr>
                <w:sz w:val="26"/>
                <w:szCs w:val="26"/>
                <w:lang w:val="uk-UA"/>
              </w:rPr>
              <w:t xml:space="preserve"> продовження </w:t>
            </w:r>
            <w:r w:rsidR="004449C6">
              <w:rPr>
                <w:sz w:val="26"/>
                <w:szCs w:val="26"/>
                <w:lang w:val="uk-UA"/>
              </w:rPr>
              <w:t xml:space="preserve">строку </w:t>
            </w:r>
            <w:r w:rsidR="00617F11" w:rsidRPr="004449C6">
              <w:rPr>
                <w:sz w:val="26"/>
                <w:szCs w:val="26"/>
                <w:lang w:val="uk-UA"/>
              </w:rPr>
              <w:t>дії Програми та</w:t>
            </w:r>
            <w:r w:rsidR="004449C6">
              <w:rPr>
                <w:sz w:val="26"/>
                <w:szCs w:val="26"/>
                <w:lang w:val="uk-UA"/>
              </w:rPr>
              <w:t xml:space="preserve"> внесення відповідних змін до постанови Кабінету Міністрів України, якою вона затверджена</w:t>
            </w:r>
            <w:r w:rsidR="00617F11" w:rsidRPr="00FA6213">
              <w:rPr>
                <w:bCs/>
                <w:sz w:val="26"/>
                <w:szCs w:val="26"/>
                <w:bdr w:val="none" w:sz="0" w:space="0" w:color="auto" w:frame="1"/>
                <w:lang w:val="uk-UA" w:eastAsia="uk-UA"/>
              </w:rPr>
              <w:t>,</w:t>
            </w:r>
            <w:r w:rsidR="004449C6">
              <w:rPr>
                <w:bCs/>
                <w:sz w:val="26"/>
                <w:szCs w:val="26"/>
                <w:bdr w:val="none" w:sz="0" w:space="0" w:color="auto" w:frame="1"/>
                <w:lang w:val="uk-UA" w:eastAsia="uk-UA"/>
              </w:rPr>
              <w:t xml:space="preserve"> вже</w:t>
            </w:r>
            <w:r w:rsidR="00617F11" w:rsidRPr="00FA6213">
              <w:rPr>
                <w:bCs/>
                <w:sz w:val="26"/>
                <w:szCs w:val="26"/>
                <w:bdr w:val="none" w:sz="0" w:space="0" w:color="auto" w:frame="1"/>
                <w:lang w:val="uk-UA" w:eastAsia="uk-UA"/>
              </w:rPr>
              <w:t xml:space="preserve"> </w:t>
            </w:r>
            <w:r w:rsidR="004449C6">
              <w:rPr>
                <w:bCs/>
                <w:sz w:val="26"/>
                <w:szCs w:val="26"/>
                <w:bdr w:val="none" w:sz="0" w:space="0" w:color="auto" w:frame="1"/>
                <w:lang w:val="uk-UA" w:eastAsia="uk-UA"/>
              </w:rPr>
              <w:t>у 2021 році не буде вчасно забезпечено</w:t>
            </w:r>
            <w:r w:rsidR="00617F11" w:rsidRPr="00FA6213">
              <w:rPr>
                <w:bCs/>
                <w:sz w:val="26"/>
                <w:szCs w:val="26"/>
                <w:bdr w:val="none" w:sz="0" w:space="0" w:color="auto" w:frame="1"/>
                <w:lang w:val="uk-UA" w:eastAsia="uk-UA"/>
              </w:rPr>
              <w:t xml:space="preserve"> </w:t>
            </w:r>
            <w:r w:rsidR="004449C6">
              <w:rPr>
                <w:bCs/>
                <w:sz w:val="26"/>
                <w:szCs w:val="26"/>
                <w:bdr w:val="none" w:sz="0" w:space="0" w:color="auto" w:frame="1"/>
                <w:lang w:val="uk-UA" w:eastAsia="uk-UA"/>
              </w:rPr>
              <w:t>належний рівень функціонування</w:t>
            </w:r>
            <w:r w:rsidR="00617F11" w:rsidRPr="00FA6213">
              <w:rPr>
                <w:bCs/>
                <w:sz w:val="26"/>
                <w:szCs w:val="26"/>
                <w:bdr w:val="none" w:sz="0" w:space="0" w:color="auto" w:frame="1"/>
                <w:lang w:val="uk-UA" w:eastAsia="uk-UA"/>
              </w:rPr>
              <w:t xml:space="preserve"> станції </w:t>
            </w:r>
            <w:r w:rsidR="005548A0">
              <w:rPr>
                <w:bCs/>
                <w:sz w:val="26"/>
                <w:szCs w:val="26"/>
                <w:bdr w:val="none" w:sz="0" w:space="0" w:color="auto" w:frame="1"/>
                <w:lang w:val="uk-UA" w:eastAsia="uk-UA"/>
              </w:rPr>
              <w:t xml:space="preserve">української антарктичної станції </w:t>
            </w:r>
            <w:r w:rsidR="00617F11" w:rsidRPr="00FA6213">
              <w:rPr>
                <w:bCs/>
                <w:sz w:val="26"/>
                <w:szCs w:val="26"/>
                <w:bdr w:val="none" w:sz="0" w:space="0" w:color="auto" w:frame="1"/>
                <w:lang w:val="uk-UA" w:eastAsia="uk-UA"/>
              </w:rPr>
              <w:t>«Академік Вернадський»,</w:t>
            </w:r>
            <w:r w:rsidR="004449C6">
              <w:rPr>
                <w:bCs/>
                <w:sz w:val="26"/>
                <w:szCs w:val="26"/>
                <w:bdr w:val="none" w:sz="0" w:space="0" w:color="auto" w:frame="1"/>
                <w:lang w:val="uk-UA" w:eastAsia="uk-UA"/>
              </w:rPr>
              <w:t xml:space="preserve"> а також продовжено виконання довгострокових наукових спостережень відповідно до міжнародних зобов’язань України.</w:t>
            </w:r>
          </w:p>
          <w:p w:rsidR="00AD6250" w:rsidRPr="00FA6213" w:rsidRDefault="00617F11" w:rsidP="004449C6">
            <w:pPr>
              <w:pStyle w:val="2"/>
              <w:spacing w:after="0" w:line="240" w:lineRule="auto"/>
              <w:ind w:left="140" w:right="208" w:firstLine="569"/>
              <w:jc w:val="both"/>
              <w:rPr>
                <w:sz w:val="26"/>
                <w:szCs w:val="26"/>
                <w:lang w:val="uk-UA"/>
              </w:rPr>
            </w:pPr>
            <w:r w:rsidRPr="00FA6213">
              <w:rPr>
                <w:sz w:val="26"/>
                <w:szCs w:val="26"/>
                <w:lang w:val="uk-UA"/>
              </w:rPr>
              <w:lastRenderedPageBreak/>
              <w:t>Альтернативних шляхів вирішення проблеми, та альтернативних джерел фінансування, наразі не існує, саме тому є необхідність забезпечення сталого фінансування науково-дослідних робіт України в Антарктиці та належного функціонування унікального об’єкту науково-дослідної інфраструктури – української антарктичної станції «Академік Вернадський», зокрема необхідність довгострокового планування витрат на завершення модернізації станції, логістичне забезпечення українських антарктичних експедицій, та забезпечення продовження тривалих неперервних наукових спостережень на антарктичній станції «Академік Вернадський», виконання Україною міжнародних зобов’язань як Консультативної Сторони Договору про Антарктику та передачі даних до міжнародних баз даних через продовження дії Програми.</w:t>
            </w:r>
            <w:r w:rsidR="007006EB" w:rsidRPr="00FA6213">
              <w:rPr>
                <w:sz w:val="26"/>
                <w:szCs w:val="26"/>
                <w:lang w:val="uk-UA"/>
              </w:rPr>
              <w:t xml:space="preserve">  </w:t>
            </w:r>
          </w:p>
        </w:tc>
      </w:tr>
    </w:tbl>
    <w:p w:rsidR="004F51C1" w:rsidRPr="00FA6213" w:rsidRDefault="004F51C1" w:rsidP="0082402C">
      <w:pPr>
        <w:spacing w:after="0"/>
        <w:rPr>
          <w:rFonts w:ascii="Times New Roman" w:hAnsi="Times New Roman"/>
          <w:sz w:val="26"/>
          <w:szCs w:val="26"/>
        </w:rPr>
      </w:pPr>
      <w:bookmarkStart w:id="5" w:name="n1757"/>
      <w:bookmarkEnd w:id="5"/>
    </w:p>
    <w:sectPr w:rsidR="004F51C1" w:rsidRPr="00FA6213" w:rsidSect="009C160C">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764B69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8EC2A3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DF66AE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26A628E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73C253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BEE4FA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C48D3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59430B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BF4522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4D3086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CBB0291"/>
    <w:multiLevelType w:val="hybridMultilevel"/>
    <w:tmpl w:val="C262DE08"/>
    <w:lvl w:ilvl="0" w:tplc="B4DE1616">
      <w:start w:val="1"/>
      <w:numFmt w:val="decimal"/>
      <w:lvlText w:val="%1."/>
      <w:lvlJc w:val="left"/>
      <w:pPr>
        <w:ind w:left="810" w:hanging="360"/>
      </w:pPr>
      <w:rPr>
        <w:rFonts w:cs="Times New Roman" w:hint="default"/>
      </w:rPr>
    </w:lvl>
    <w:lvl w:ilvl="1" w:tplc="04220019" w:tentative="1">
      <w:start w:val="1"/>
      <w:numFmt w:val="lowerLetter"/>
      <w:lvlText w:val="%2."/>
      <w:lvlJc w:val="left"/>
      <w:pPr>
        <w:ind w:left="1530" w:hanging="360"/>
      </w:pPr>
      <w:rPr>
        <w:rFonts w:cs="Times New Roman"/>
      </w:rPr>
    </w:lvl>
    <w:lvl w:ilvl="2" w:tplc="0422001B" w:tentative="1">
      <w:start w:val="1"/>
      <w:numFmt w:val="lowerRoman"/>
      <w:lvlText w:val="%3."/>
      <w:lvlJc w:val="right"/>
      <w:pPr>
        <w:ind w:left="2250" w:hanging="180"/>
      </w:pPr>
      <w:rPr>
        <w:rFonts w:cs="Times New Roman"/>
      </w:rPr>
    </w:lvl>
    <w:lvl w:ilvl="3" w:tplc="0422000F" w:tentative="1">
      <w:start w:val="1"/>
      <w:numFmt w:val="decimal"/>
      <w:lvlText w:val="%4."/>
      <w:lvlJc w:val="left"/>
      <w:pPr>
        <w:ind w:left="2970" w:hanging="360"/>
      </w:pPr>
      <w:rPr>
        <w:rFonts w:cs="Times New Roman"/>
      </w:rPr>
    </w:lvl>
    <w:lvl w:ilvl="4" w:tplc="04220019" w:tentative="1">
      <w:start w:val="1"/>
      <w:numFmt w:val="lowerLetter"/>
      <w:lvlText w:val="%5."/>
      <w:lvlJc w:val="left"/>
      <w:pPr>
        <w:ind w:left="3690" w:hanging="360"/>
      </w:pPr>
      <w:rPr>
        <w:rFonts w:cs="Times New Roman"/>
      </w:rPr>
    </w:lvl>
    <w:lvl w:ilvl="5" w:tplc="0422001B" w:tentative="1">
      <w:start w:val="1"/>
      <w:numFmt w:val="lowerRoman"/>
      <w:lvlText w:val="%6."/>
      <w:lvlJc w:val="right"/>
      <w:pPr>
        <w:ind w:left="4410" w:hanging="180"/>
      </w:pPr>
      <w:rPr>
        <w:rFonts w:cs="Times New Roman"/>
      </w:rPr>
    </w:lvl>
    <w:lvl w:ilvl="6" w:tplc="0422000F" w:tentative="1">
      <w:start w:val="1"/>
      <w:numFmt w:val="decimal"/>
      <w:lvlText w:val="%7."/>
      <w:lvlJc w:val="left"/>
      <w:pPr>
        <w:ind w:left="5130" w:hanging="360"/>
      </w:pPr>
      <w:rPr>
        <w:rFonts w:cs="Times New Roman"/>
      </w:rPr>
    </w:lvl>
    <w:lvl w:ilvl="7" w:tplc="04220019" w:tentative="1">
      <w:start w:val="1"/>
      <w:numFmt w:val="lowerLetter"/>
      <w:lvlText w:val="%8."/>
      <w:lvlJc w:val="left"/>
      <w:pPr>
        <w:ind w:left="5850" w:hanging="360"/>
      </w:pPr>
      <w:rPr>
        <w:rFonts w:cs="Times New Roman"/>
      </w:rPr>
    </w:lvl>
    <w:lvl w:ilvl="8" w:tplc="0422001B" w:tentative="1">
      <w:start w:val="1"/>
      <w:numFmt w:val="lowerRoman"/>
      <w:lvlText w:val="%9."/>
      <w:lvlJc w:val="right"/>
      <w:pPr>
        <w:ind w:left="6570" w:hanging="180"/>
      </w:pPr>
      <w:rPr>
        <w:rFonts w:cs="Times New Roman"/>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96E"/>
    <w:rsid w:val="000812AF"/>
    <w:rsid w:val="000947C6"/>
    <w:rsid w:val="000A2456"/>
    <w:rsid w:val="000A48A8"/>
    <w:rsid w:val="000C7B44"/>
    <w:rsid w:val="000F4457"/>
    <w:rsid w:val="0010588F"/>
    <w:rsid w:val="0012599F"/>
    <w:rsid w:val="001A6007"/>
    <w:rsid w:val="002F30C1"/>
    <w:rsid w:val="00305143"/>
    <w:rsid w:val="00315156"/>
    <w:rsid w:val="00341154"/>
    <w:rsid w:val="00342FF1"/>
    <w:rsid w:val="003A77F6"/>
    <w:rsid w:val="00425155"/>
    <w:rsid w:val="004449C6"/>
    <w:rsid w:val="00447CC8"/>
    <w:rsid w:val="004544A2"/>
    <w:rsid w:val="00495770"/>
    <w:rsid w:val="004A047C"/>
    <w:rsid w:val="004D572F"/>
    <w:rsid w:val="004F51C1"/>
    <w:rsid w:val="005548A0"/>
    <w:rsid w:val="0057022A"/>
    <w:rsid w:val="00572352"/>
    <w:rsid w:val="005A3082"/>
    <w:rsid w:val="005A5D43"/>
    <w:rsid w:val="005C58F0"/>
    <w:rsid w:val="005D1913"/>
    <w:rsid w:val="005D41D8"/>
    <w:rsid w:val="00617F11"/>
    <w:rsid w:val="00622F85"/>
    <w:rsid w:val="00635140"/>
    <w:rsid w:val="006652C9"/>
    <w:rsid w:val="006E493E"/>
    <w:rsid w:val="006F2C46"/>
    <w:rsid w:val="007006EB"/>
    <w:rsid w:val="00724BB1"/>
    <w:rsid w:val="00777C1B"/>
    <w:rsid w:val="007B1572"/>
    <w:rsid w:val="007B6925"/>
    <w:rsid w:val="0082402C"/>
    <w:rsid w:val="00853345"/>
    <w:rsid w:val="00855E66"/>
    <w:rsid w:val="008A38DE"/>
    <w:rsid w:val="008D6C93"/>
    <w:rsid w:val="008E6BB9"/>
    <w:rsid w:val="008F510A"/>
    <w:rsid w:val="009054C3"/>
    <w:rsid w:val="0091005A"/>
    <w:rsid w:val="00964FB1"/>
    <w:rsid w:val="009A5A6D"/>
    <w:rsid w:val="009C160C"/>
    <w:rsid w:val="009D1B17"/>
    <w:rsid w:val="009E1AC9"/>
    <w:rsid w:val="009E596E"/>
    <w:rsid w:val="009E5EAA"/>
    <w:rsid w:val="00AD6250"/>
    <w:rsid w:val="00B13FB3"/>
    <w:rsid w:val="00B156F3"/>
    <w:rsid w:val="00B5485A"/>
    <w:rsid w:val="00B90134"/>
    <w:rsid w:val="00B92A14"/>
    <w:rsid w:val="00BC4195"/>
    <w:rsid w:val="00BE3DD5"/>
    <w:rsid w:val="00BE4104"/>
    <w:rsid w:val="00C1148C"/>
    <w:rsid w:val="00C167A2"/>
    <w:rsid w:val="00C25230"/>
    <w:rsid w:val="00C276E9"/>
    <w:rsid w:val="00C30B2E"/>
    <w:rsid w:val="00C35CE1"/>
    <w:rsid w:val="00C777C5"/>
    <w:rsid w:val="00C8045F"/>
    <w:rsid w:val="00D0178B"/>
    <w:rsid w:val="00D26CCE"/>
    <w:rsid w:val="00D341BC"/>
    <w:rsid w:val="00D51F02"/>
    <w:rsid w:val="00DB4A5B"/>
    <w:rsid w:val="00E0082C"/>
    <w:rsid w:val="00E6183E"/>
    <w:rsid w:val="00E61E78"/>
    <w:rsid w:val="00EA5A1A"/>
    <w:rsid w:val="00ED04D9"/>
    <w:rsid w:val="00F25928"/>
    <w:rsid w:val="00F42116"/>
    <w:rsid w:val="00FA62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D245AB"/>
  <w15:chartTrackingRefBased/>
  <w15:docId w15:val="{58EFCE03-A00D-4A19-8174-33C40E35F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3E"/>
    <w:pPr>
      <w:spacing w:after="160" w:line="259" w:lineRule="auto"/>
    </w:pPr>
    <w:rPr>
      <w:sz w:val="22"/>
      <w:szCs w:val="22"/>
      <w:lang w:val="uk-UA" w:eastAsia="en-US"/>
    </w:rPr>
  </w:style>
  <w:style w:type="paragraph" w:styleId="1">
    <w:name w:val="heading 1"/>
    <w:basedOn w:val="a"/>
    <w:next w:val="a"/>
    <w:link w:val="10"/>
    <w:uiPriority w:val="99"/>
    <w:qFormat/>
    <w:rsid w:val="009E596E"/>
    <w:pPr>
      <w:keepNext/>
      <w:keepLines/>
      <w:spacing w:before="240" w:after="0"/>
      <w:outlineLvl w:val="0"/>
    </w:pPr>
    <w:rPr>
      <w:rFonts w:ascii="Calibri Light" w:eastAsia="Times New Roman"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E596E"/>
    <w:rPr>
      <w:rFonts w:ascii="Calibri Light" w:hAnsi="Calibri Light" w:cs="Times New Roman"/>
      <w:color w:val="2F5496"/>
      <w:sz w:val="32"/>
      <w:szCs w:val="32"/>
    </w:rPr>
  </w:style>
  <w:style w:type="paragraph" w:styleId="a3">
    <w:name w:val="List Paragraph"/>
    <w:basedOn w:val="a"/>
    <w:uiPriority w:val="99"/>
    <w:qFormat/>
    <w:rsid w:val="009E596E"/>
    <w:pPr>
      <w:ind w:left="720"/>
      <w:contextualSpacing/>
    </w:pPr>
  </w:style>
  <w:style w:type="paragraph" w:styleId="a4">
    <w:name w:val="Normal (Web)"/>
    <w:basedOn w:val="a"/>
    <w:uiPriority w:val="99"/>
    <w:rsid w:val="000C7B44"/>
    <w:pPr>
      <w:spacing w:before="100" w:beforeAutospacing="1" w:after="100" w:afterAutospacing="1" w:line="240" w:lineRule="auto"/>
    </w:pPr>
    <w:rPr>
      <w:rFonts w:ascii="Times New Roman" w:hAnsi="Times New Roman"/>
      <w:sz w:val="24"/>
      <w:szCs w:val="24"/>
      <w:lang w:val="ru-RU" w:eastAsia="ru-RU"/>
    </w:rPr>
  </w:style>
  <w:style w:type="paragraph" w:customStyle="1" w:styleId="WW-3">
    <w:name w:val="WW-Основной текст с отступом 3"/>
    <w:basedOn w:val="a"/>
    <w:uiPriority w:val="99"/>
    <w:rsid w:val="000C7B44"/>
    <w:pPr>
      <w:widowControl w:val="0"/>
      <w:autoSpaceDE w:val="0"/>
      <w:autoSpaceDN w:val="0"/>
      <w:spacing w:after="0" w:line="240" w:lineRule="auto"/>
      <w:ind w:firstLine="360"/>
      <w:jc w:val="both"/>
    </w:pPr>
    <w:rPr>
      <w:rFonts w:ascii="Times New Roman" w:hAnsi="Times New Roman"/>
      <w:sz w:val="28"/>
      <w:szCs w:val="28"/>
      <w:lang w:val="ru-RU" w:eastAsia="ru-RU"/>
    </w:rPr>
  </w:style>
  <w:style w:type="character" w:customStyle="1" w:styleId="rvts23">
    <w:name w:val="rvts23"/>
    <w:uiPriority w:val="99"/>
    <w:rsid w:val="000C7B44"/>
    <w:rPr>
      <w:rFonts w:cs="Times New Roman"/>
    </w:rPr>
  </w:style>
  <w:style w:type="paragraph" w:customStyle="1" w:styleId="rvps2">
    <w:name w:val="rvps2"/>
    <w:basedOn w:val="a"/>
    <w:uiPriority w:val="99"/>
    <w:rsid w:val="00572352"/>
    <w:pPr>
      <w:spacing w:before="100" w:beforeAutospacing="1" w:after="100" w:afterAutospacing="1" w:line="240" w:lineRule="auto"/>
    </w:pPr>
    <w:rPr>
      <w:rFonts w:ascii="Times New Roman" w:hAnsi="Times New Roman"/>
      <w:sz w:val="24"/>
      <w:szCs w:val="24"/>
      <w:lang w:val="ru-RU" w:eastAsia="ru-RU"/>
    </w:rPr>
  </w:style>
  <w:style w:type="paragraph" w:styleId="a5">
    <w:name w:val="Balloon Text"/>
    <w:basedOn w:val="a"/>
    <w:link w:val="a6"/>
    <w:uiPriority w:val="99"/>
    <w:semiHidden/>
    <w:unhideWhenUsed/>
    <w:rsid w:val="0082402C"/>
    <w:pPr>
      <w:spacing w:after="0" w:line="240" w:lineRule="auto"/>
    </w:pPr>
    <w:rPr>
      <w:rFonts w:ascii="Segoe UI" w:hAnsi="Segoe UI" w:cs="Segoe UI"/>
      <w:sz w:val="18"/>
      <w:szCs w:val="18"/>
    </w:rPr>
  </w:style>
  <w:style w:type="character" w:customStyle="1" w:styleId="a6">
    <w:name w:val="Текст у виносці Знак"/>
    <w:link w:val="a5"/>
    <w:uiPriority w:val="99"/>
    <w:semiHidden/>
    <w:rsid w:val="0082402C"/>
    <w:rPr>
      <w:rFonts w:ascii="Segoe UI" w:hAnsi="Segoe UI" w:cs="Segoe UI"/>
      <w:sz w:val="18"/>
      <w:szCs w:val="18"/>
      <w:lang w:eastAsia="en-US"/>
    </w:rPr>
  </w:style>
  <w:style w:type="character" w:customStyle="1" w:styleId="FontStyle20">
    <w:name w:val="Font Style20"/>
    <w:uiPriority w:val="99"/>
    <w:rsid w:val="00B90134"/>
    <w:rPr>
      <w:rFonts w:ascii="Times New Roman" w:hAnsi="Times New Roman" w:cs="Times New Roman"/>
      <w:sz w:val="24"/>
      <w:szCs w:val="24"/>
    </w:rPr>
  </w:style>
  <w:style w:type="paragraph" w:styleId="2">
    <w:name w:val="Body Text 2"/>
    <w:basedOn w:val="a"/>
    <w:link w:val="20"/>
    <w:rsid w:val="00617F11"/>
    <w:pPr>
      <w:spacing w:after="120" w:line="480" w:lineRule="auto"/>
    </w:pPr>
    <w:rPr>
      <w:rFonts w:ascii="Times New Roman" w:eastAsia="Times New Roman" w:hAnsi="Times New Roman"/>
      <w:sz w:val="24"/>
      <w:szCs w:val="24"/>
      <w:lang w:val="ru-RU" w:eastAsia="ru-RU"/>
    </w:rPr>
  </w:style>
  <w:style w:type="character" w:customStyle="1" w:styleId="20">
    <w:name w:val="Основний текст 2 Знак"/>
    <w:basedOn w:val="a0"/>
    <w:link w:val="2"/>
    <w:rsid w:val="00617F11"/>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5896682">
      <w:bodyDiv w:val="1"/>
      <w:marLeft w:val="0"/>
      <w:marRight w:val="0"/>
      <w:marTop w:val="0"/>
      <w:marBottom w:val="0"/>
      <w:divBdr>
        <w:top w:val="none" w:sz="0" w:space="0" w:color="auto"/>
        <w:left w:val="none" w:sz="0" w:space="0" w:color="auto"/>
        <w:bottom w:val="none" w:sz="0" w:space="0" w:color="auto"/>
        <w:right w:val="none" w:sz="0" w:space="0" w:color="auto"/>
      </w:divBdr>
    </w:div>
    <w:div w:id="1649552152">
      <w:marLeft w:val="0"/>
      <w:marRight w:val="0"/>
      <w:marTop w:val="0"/>
      <w:marBottom w:val="0"/>
      <w:divBdr>
        <w:top w:val="none" w:sz="0" w:space="0" w:color="auto"/>
        <w:left w:val="none" w:sz="0" w:space="0" w:color="auto"/>
        <w:bottom w:val="none" w:sz="0" w:space="0" w:color="auto"/>
        <w:right w:val="none" w:sz="0" w:space="0" w:color="auto"/>
      </w:divBdr>
      <w:divsChild>
        <w:div w:id="1649552153">
          <w:marLeft w:val="0"/>
          <w:marRight w:val="0"/>
          <w:marTop w:val="0"/>
          <w:marBottom w:val="150"/>
          <w:divBdr>
            <w:top w:val="none" w:sz="0" w:space="0" w:color="auto"/>
            <w:left w:val="none" w:sz="0" w:space="0" w:color="auto"/>
            <w:bottom w:val="none" w:sz="0" w:space="0" w:color="auto"/>
            <w:right w:val="none" w:sz="0" w:space="0" w:color="auto"/>
          </w:divBdr>
        </w:div>
        <w:div w:id="1649552154">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bIsMainDocument xmlns="837afde9-1959-48ec-9623-34f2440a05d7" xsi:nil="true"/>
    <_dlc_BarcodeImage xmlns="837afde9-1959-48ec-9623-34f2440a05d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2E94C69DC65AC45A0C04C0EDB492D49" ma:contentTypeVersion="5" ma:contentTypeDescription="Створення нового документа." ma:contentTypeScope="" ma:versionID="6100a72d543954f5f9a70efd43439ca8">
  <xsd:schema xmlns:xsd="http://www.w3.org/2001/XMLSchema" xmlns:xs="http://www.w3.org/2001/XMLSchema" xmlns:p="http://schemas.microsoft.com/office/2006/metadata/properties" xmlns:ns2="b3430434-44e4-4f5b-9097-ec250a9fa10f" xmlns:ns3="837afde9-1959-48ec-9623-34f2440a05d7" targetNamespace="http://schemas.microsoft.com/office/2006/metadata/properties" ma:root="true" ma:fieldsID="b830844f50d799cac0b8f0d38016c3a2" ns2:_="" ns3:_="">
    <xsd:import namespace="b3430434-44e4-4f5b-9097-ec250a9fa10f"/>
    <xsd:import namespace="837afde9-1959-48ec-9623-34f2440a05d7"/>
    <xsd:element name="properties">
      <xsd:complexType>
        <xsd:sequence>
          <xsd:element name="documentManagement">
            <xsd:complexType>
              <xsd:all>
                <xsd:element ref="ns2:SharedWithUsers" minOccurs="0"/>
                <xsd:element ref="ns3:_dlc_BarcodeValue" minOccurs="0"/>
                <xsd:element ref="ns3:_dlc_BarcodeImage" minOccurs="0"/>
                <xsd:element ref="ns3:_dlc_BarcodePreview" minOccurs="0"/>
                <xsd:element ref="ns3:sbIsMainDocu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430434-44e4-4f5b-9097-ec250a9fa10f" elementFormDefault="qualified">
    <xsd:import namespace="http://schemas.microsoft.com/office/2006/documentManagement/types"/>
    <xsd:import namespace="http://schemas.microsoft.com/office/infopath/2007/PartnerControls"/>
    <xsd:element name="SharedWithUsers" ma:index="8" nillable="true" ma:displayName="Спільний доступ"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37afde9-1959-48ec-9623-34f2440a05d7" elementFormDefault="qualified">
    <xsd:import namespace="http://schemas.microsoft.com/office/2006/documentManagement/types"/>
    <xsd:import namespace="http://schemas.microsoft.com/office/infopath/2007/PartnerControls"/>
    <xsd:element name="_dlc_BarcodeValue" ma:index="9" nillable="true" ma:displayName="Значення штрих-коду" ma:description="Призначене елементу значення штрих-коду." ma:internalName="_dlc_BarcodeValue" ma:readOnly="true">
      <xsd:simpleType>
        <xsd:restriction base="dms:Text"/>
      </xsd:simpleType>
    </xsd:element>
    <xsd:element name="_dlc_BarcodeImage" ma:index="10" nillable="true" ma:displayName="Зображення штрих-коду" ma:description="" ma:hidden="true" ma:internalName="_dlc_BarcodeImage" ma:readOnly="false">
      <xsd:simpleType>
        <xsd:restriction base="dms:Note"/>
      </xsd:simpleType>
    </xsd:element>
    <xsd:element name="_dlc_BarcodePreview" ma:index="11" nillable="true" ma:displayName="Штрих-код" ma:description="Штрих-код, призначений цьому елементу" ma:format="Image" ma:hidden="true" ma:internalName="_dlc_BarcodePreview"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sbIsMainDocument" ma:index="12" nillable="true" ma:displayName="Головний документ" ma:internalName="sbIsMainDocumen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AAC82D-A256-40E4-957B-63C97717F7DF}">
  <ds:schemaRefs>
    <ds:schemaRef ds:uri="http://schemas.microsoft.com/office/2006/metadata/properties"/>
    <ds:schemaRef ds:uri="http://schemas.microsoft.com/office/infopath/2007/PartnerControls"/>
    <ds:schemaRef ds:uri="837afde9-1959-48ec-9623-34f2440a05d7"/>
  </ds:schemaRefs>
</ds:datastoreItem>
</file>

<file path=customXml/itemProps2.xml><?xml version="1.0" encoding="utf-8"?>
<ds:datastoreItem xmlns:ds="http://schemas.openxmlformats.org/officeDocument/2006/customXml" ds:itemID="{C36BDEF3-4309-4078-8F00-8DAB934F9CC8}">
  <ds:schemaRefs>
    <ds:schemaRef ds:uri="http://schemas.microsoft.com/sharepoint/v3/contenttype/forms"/>
  </ds:schemaRefs>
</ds:datastoreItem>
</file>

<file path=customXml/itemProps3.xml><?xml version="1.0" encoding="utf-8"?>
<ds:datastoreItem xmlns:ds="http://schemas.openxmlformats.org/officeDocument/2006/customXml" ds:itemID="{3EB95A40-7196-4667-8702-627D82B6CD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430434-44e4-4f5b-9097-ec250a9fa10f"/>
    <ds:schemaRef ds:uri="837afde9-1959-48ec-9623-34f2440a05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1971</Words>
  <Characters>1125</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ПРОГНОЗ ВПЛИВУ</vt:lpstr>
      <vt:lpstr>ПРОГНОЗ ВПЛИВУ</vt:lpstr>
    </vt:vector>
  </TitlesOfParts>
  <Company>Work</Company>
  <LinksUpToDate>false</LinksUpToDate>
  <CharactersWithSpaces>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ПРОГНОЗ ВПЛИВУ</dc:title>
  <dc:subject/>
  <dc:creator>Карчевич Мария Владимировна</dc:creator>
  <cp:keywords/>
  <cp:lastModifiedBy>Cheberkus D.V.</cp:lastModifiedBy>
  <cp:revision>12</cp:revision>
  <cp:lastPrinted>2020-09-08T11:42:00Z</cp:lastPrinted>
  <dcterms:created xsi:type="dcterms:W3CDTF">2020-09-03T22:28:00Z</dcterms:created>
  <dcterms:modified xsi:type="dcterms:W3CDTF">2020-09-30T08:41:00Z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0x01010042E94C69DC65AC45A0C04C0EDB492D49</vt:lpwstr>
  </property>
</Properties>
</file>