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18" w:rsidRPr="00CC1611" w:rsidRDefault="00466118" w:rsidP="0046611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66118" w:rsidRPr="00CC1611" w:rsidRDefault="00061187" w:rsidP="0046611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66118"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о протоколу від </w:t>
      </w:r>
      <w:r w:rsidR="00E64451">
        <w:rPr>
          <w:rFonts w:ascii="Times New Roman" w:hAnsi="Times New Roman" w:cs="Times New Roman"/>
          <w:sz w:val="24"/>
          <w:szCs w:val="24"/>
          <w:lang w:val="uk-UA"/>
        </w:rPr>
        <w:t>11.06.</w:t>
      </w:r>
      <w:r w:rsidR="00466118"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2021 № </w:t>
      </w:r>
      <w:r w:rsidR="002652C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466118" w:rsidRPr="00CC1611">
        <w:rPr>
          <w:rFonts w:ascii="Times New Roman" w:hAnsi="Times New Roman" w:cs="Times New Roman"/>
          <w:sz w:val="24"/>
          <w:szCs w:val="24"/>
          <w:lang w:val="uk-UA"/>
        </w:rPr>
        <w:t>/21</w:t>
      </w:r>
    </w:p>
    <w:p w:rsidR="00466118" w:rsidRPr="00CC1611" w:rsidRDefault="00466118" w:rsidP="0046611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CC1611" w:rsidRDefault="00466118" w:rsidP="0046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CC1611" w:rsidRDefault="00466118" w:rsidP="00466118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Міністерство освіти і науки України; 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пр. Перемоги, 10, м. Київ, 01135; код за ЄДРПОУ – 38621185; категорія замовника – орган державної влади.</w:t>
      </w:r>
    </w:p>
    <w:p w:rsidR="002652C8" w:rsidRPr="002652C8" w:rsidRDefault="00466118" w:rsidP="002652C8">
      <w:pPr>
        <w:pStyle w:val="a4"/>
        <w:numPr>
          <w:ilvl w:val="0"/>
          <w:numId w:val="1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):  </w:t>
      </w:r>
      <w:r w:rsidR="002652C8" w:rsidRPr="002652C8">
        <w:rPr>
          <w:rFonts w:ascii="Times New Roman" w:hAnsi="Times New Roman" w:cs="Times New Roman"/>
          <w:sz w:val="24"/>
          <w:szCs w:val="24"/>
          <w:lang w:val="uk-UA"/>
        </w:rPr>
        <w:t xml:space="preserve">вікна металопластикові  (ДК 021:2015 – </w:t>
      </w:r>
      <w:r w:rsidR="002652C8" w:rsidRPr="002652C8">
        <w:rPr>
          <w:rFonts w:ascii="Times New Roman" w:hAnsi="Times New Roman" w:cs="Times New Roman"/>
          <w:color w:val="000000"/>
          <w:sz w:val="24"/>
          <w:szCs w:val="24"/>
          <w:lang w:val="uk-UA"/>
        </w:rPr>
        <w:t>44220000-8 Столярні вироби)</w:t>
      </w:r>
    </w:p>
    <w:p w:rsidR="00466118" w:rsidRPr="002652C8" w:rsidRDefault="00466118" w:rsidP="00606F7D">
      <w:pPr>
        <w:pStyle w:val="a4"/>
        <w:numPr>
          <w:ilvl w:val="0"/>
          <w:numId w:val="15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hyperlink r:id="rId5" w:tgtFrame="_blank" w:history="1">
        <w:r w:rsidR="00D21762" w:rsidRP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UA</w:t>
        </w:r>
        <w:r w:rsidR="00D21762" w:rsidRP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uk-UA"/>
          </w:rPr>
          <w:t>-2021-0</w:t>
        </w:r>
        <w:r w:rsid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uk-UA"/>
          </w:rPr>
          <w:t>6</w:t>
        </w:r>
        <w:r w:rsidR="00D21762" w:rsidRP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uk-UA"/>
          </w:rPr>
          <w:t>-23-00</w:t>
        </w:r>
        <w:r w:rsid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uk-UA"/>
          </w:rPr>
          <w:t>14328</w:t>
        </w:r>
        <w:r w:rsidR="00D21762" w:rsidRP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  <w:lang w:val="uk-UA"/>
          </w:rPr>
          <w:t>-</w:t>
        </w:r>
        <w:r w:rsidR="00D21762" w:rsidRPr="002652C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c</w:t>
        </w:r>
      </w:hyperlink>
      <w:r w:rsidR="002652C8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  <w:lang w:val="uk-UA"/>
        </w:rPr>
        <w:t xml:space="preserve"> </w:t>
      </w:r>
    </w:p>
    <w:p w:rsidR="00DA2666" w:rsidRDefault="00466118" w:rsidP="00334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4285" w:rsidRPr="00337F7E" w:rsidRDefault="00334285" w:rsidP="00334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З метою забезпечення належних умов праці працівників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МОН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, оголошено процедуру “відкриті торги” на закупівлю товару згідно ДК 021:2015 </w:t>
      </w:r>
      <w:r w:rsidRPr="00337F7E">
        <w:rPr>
          <w:rFonts w:ascii="Times New Roman" w:hAnsi="Times New Roman" w:cs="Times New Roman"/>
          <w:b/>
          <w:sz w:val="24"/>
          <w:szCs w:val="24"/>
          <w:lang w:val="uk-UA" w:eastAsia="uk-UA"/>
        </w:rPr>
        <w:t>“</w:t>
      </w:r>
      <w:r w:rsidRPr="00337F7E">
        <w:rPr>
          <w:rFonts w:ascii="Times New Roman" w:hAnsi="Times New Roman" w:cs="Times New Roman"/>
          <w:sz w:val="24"/>
          <w:szCs w:val="24"/>
          <w:lang w:val="uk-UA"/>
        </w:rPr>
        <w:t>ДК 021:2015: 44220000-8 Столярні вироби</w:t>
      </w:r>
      <w:r w:rsidRPr="00337F7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DA2666">
        <w:rPr>
          <w:rFonts w:ascii="Times New Roman" w:hAnsi="Times New Roman" w:cs="Times New Roman"/>
          <w:sz w:val="24"/>
          <w:szCs w:val="24"/>
          <w:lang w:val="uk-UA"/>
        </w:rPr>
        <w:t>вік</w:t>
      </w:r>
      <w:r w:rsidRPr="00337F7E">
        <w:rPr>
          <w:rFonts w:ascii="Times New Roman" w:hAnsi="Times New Roman" w:cs="Times New Roman"/>
          <w:sz w:val="24"/>
          <w:szCs w:val="24"/>
          <w:lang w:val="uk-UA"/>
        </w:rPr>
        <w:t>на металопластикові</w:t>
      </w:r>
      <w:r w:rsidRPr="00337F7E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Pr="00337F7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”. 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</w:p>
    <w:p w:rsidR="00334285" w:rsidRPr="00337F7E" w:rsidRDefault="00334285" w:rsidP="00DE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</w:pP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Кількість вікон </w:t>
      </w:r>
      <w:r w:rsidRPr="00337F7E">
        <w:rPr>
          <w:rFonts w:ascii="Times New Roman" w:hAnsi="Times New Roman" w:cs="Times New Roman"/>
          <w:sz w:val="24"/>
          <w:szCs w:val="24"/>
          <w:lang w:val="uk-UA"/>
        </w:rPr>
        <w:t>металопластикових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(2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7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шт.), які передбачається закупити, визначено відповідно до проведеного огляду технічного стану існуючих вікон. Вікна, які підлягають заміні, вийшли з ладу внаслідок довготривалої експлуатації (понад 50 років). Значна частина дерев’яних фрагментів цих вікон  має тріщини або зламані окремі фрагменти, </w:t>
      </w:r>
      <w:proofErr w:type="spellStart"/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шкарлубини</w:t>
      </w:r>
      <w:proofErr w:type="spellEnd"/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 порушення цілісності. Ці вікна не підлягають ремонту</w:t>
      </w:r>
      <w:r w:rsidR="00DE188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 ф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ізично зношені, морально застарілі</w:t>
      </w:r>
      <w:r w:rsidR="00DE188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, н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е підлягають подальшо</w:t>
      </w:r>
      <w:r w:rsidR="00DE188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му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використанн</w:t>
      </w:r>
      <w:r w:rsidR="00DE188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ю</w:t>
      </w:r>
      <w:r w:rsidRPr="00337F7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.</w:t>
      </w:r>
    </w:p>
    <w:p w:rsidR="00466118" w:rsidRPr="007A4A19" w:rsidRDefault="00466118" w:rsidP="00334285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 бюджетного призначення визначено Законом України «Про Державний бюджет України на 2021 рік» за КПКВК 2201010 «Загальне керівництво та управління у сфері освіти і науки» відповідно до бюджетного запиту на 2021 рік.</w:t>
      </w:r>
    </w:p>
    <w:p w:rsidR="00466118" w:rsidRPr="007A4A19" w:rsidRDefault="00466118" w:rsidP="007A4A19">
      <w:pPr>
        <w:pStyle w:val="a4"/>
        <w:numPr>
          <w:ilvl w:val="0"/>
          <w:numId w:val="15"/>
        </w:numPr>
        <w:tabs>
          <w:tab w:val="left" w:pos="851"/>
        </w:tabs>
        <w:spacing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2F177C" w:rsidRPr="00CC1611">
        <w:rPr>
          <w:rFonts w:ascii="Times New Roman" w:hAnsi="Times New Roman"/>
          <w:sz w:val="24"/>
          <w:szCs w:val="24"/>
          <w:lang w:val="uk-UA"/>
        </w:rPr>
        <w:t>4</w:t>
      </w:r>
      <w:r w:rsidR="00334285">
        <w:rPr>
          <w:rFonts w:ascii="Times New Roman" w:hAnsi="Times New Roman"/>
          <w:sz w:val="24"/>
          <w:szCs w:val="24"/>
          <w:lang w:val="uk-UA"/>
        </w:rPr>
        <w:t>5</w:t>
      </w:r>
      <w:r w:rsidR="002F177C" w:rsidRPr="00CC1611">
        <w:rPr>
          <w:rFonts w:ascii="Times New Roman" w:hAnsi="Times New Roman"/>
          <w:sz w:val="24"/>
          <w:szCs w:val="24"/>
          <w:lang w:val="uk-UA"/>
        </w:rPr>
        <w:t>0</w:t>
      </w:r>
      <w:r w:rsidR="002F177C" w:rsidRPr="00CC1611">
        <w:rPr>
          <w:rFonts w:ascii="Times New Roman" w:hAnsi="Times New Roman" w:cs="Times New Roman"/>
          <w:sz w:val="24"/>
          <w:szCs w:val="24"/>
          <w:lang w:val="uk-UA"/>
        </w:rPr>
        <w:t> 000,00 грн (</w:t>
      </w:r>
      <w:r w:rsidR="002F177C" w:rsidRPr="00CC1611">
        <w:rPr>
          <w:rFonts w:ascii="Times New Roman" w:hAnsi="Times New Roman"/>
          <w:sz w:val="24"/>
          <w:szCs w:val="24"/>
          <w:lang w:val="uk-UA"/>
        </w:rPr>
        <w:t xml:space="preserve">чотириста </w:t>
      </w:r>
      <w:r w:rsidR="00334285">
        <w:rPr>
          <w:rFonts w:ascii="Times New Roman" w:hAnsi="Times New Roman"/>
          <w:sz w:val="24"/>
          <w:szCs w:val="24"/>
          <w:lang w:val="uk-UA"/>
        </w:rPr>
        <w:t>п’ятдесят</w:t>
      </w:r>
      <w:r w:rsidR="002F177C" w:rsidRPr="00CC16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CC1611">
        <w:rPr>
          <w:rFonts w:ascii="Times New Roman" w:hAnsi="Times New Roman" w:cs="Times New Roman"/>
          <w:sz w:val="24"/>
          <w:szCs w:val="24"/>
          <w:lang w:val="uk-UA"/>
        </w:rPr>
        <w:t>тисяч грн 00 коп.)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6118" w:rsidRPr="00CC1611" w:rsidRDefault="00466118" w:rsidP="00466118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466118" w:rsidRPr="00DE1883" w:rsidRDefault="00334285" w:rsidP="0046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>Розрахунок очікуваної вартості предмета закупівлі здійснено на підставі</w:t>
      </w:r>
      <w:r w:rsidRPr="00DE1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54712" w:rsidRPr="00DE188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середньої ціни на ринку</w:t>
      </w:r>
      <w:r w:rsidRPr="00DE1883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Pr="00DE1883">
        <w:rPr>
          <w:rFonts w:ascii="Times New Roman" w:hAnsi="Times New Roman" w:cs="Times New Roman"/>
          <w:sz w:val="24"/>
          <w:szCs w:val="24"/>
          <w:lang w:val="uk-UA"/>
        </w:rPr>
        <w:t>шляхом моніторингу ринкових цін на</w:t>
      </w:r>
      <w:r w:rsidRPr="00DE1883">
        <w:rPr>
          <w:rFonts w:ascii="Times New Roman" w:hAnsi="Times New Roman" w:cs="Times New Roman"/>
          <w:sz w:val="24"/>
          <w:szCs w:val="24"/>
          <w:lang w:val="uk-UA"/>
        </w:rPr>
        <w:t xml:space="preserve"> аналогічний товар</w:t>
      </w:r>
      <w:r w:rsidR="00E64451" w:rsidRPr="00DE18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4712" w:rsidRPr="00DE1883" w:rsidRDefault="00554712" w:rsidP="00466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</w:p>
    <w:p w:rsidR="00466118" w:rsidRPr="00CC1611" w:rsidRDefault="00466118" w:rsidP="004661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2F177C" w:rsidRPr="00CC1611">
        <w:rPr>
          <w:rFonts w:ascii="Times New Roman" w:hAnsi="Times New Roman"/>
          <w:sz w:val="24"/>
          <w:szCs w:val="24"/>
          <w:lang w:val="uk-UA"/>
        </w:rPr>
        <w:t>процедури відкритих торгів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466118" w:rsidRPr="00CC1611" w:rsidSect="007A4A19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9"/>
    <w:rsid w:val="00007AF8"/>
    <w:rsid w:val="0001288D"/>
    <w:rsid w:val="00026445"/>
    <w:rsid w:val="000358C7"/>
    <w:rsid w:val="00043207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949B0"/>
    <w:rsid w:val="001B59A7"/>
    <w:rsid w:val="001C2605"/>
    <w:rsid w:val="001C52D7"/>
    <w:rsid w:val="001D3EE4"/>
    <w:rsid w:val="001E080C"/>
    <w:rsid w:val="001E2534"/>
    <w:rsid w:val="001E298F"/>
    <w:rsid w:val="001E3E89"/>
    <w:rsid w:val="00200590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834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44A0"/>
    <w:rsid w:val="003C5F59"/>
    <w:rsid w:val="003F3C63"/>
    <w:rsid w:val="003F71D8"/>
    <w:rsid w:val="0041586D"/>
    <w:rsid w:val="00426BE5"/>
    <w:rsid w:val="004330FF"/>
    <w:rsid w:val="0043472C"/>
    <w:rsid w:val="00445742"/>
    <w:rsid w:val="00451D2C"/>
    <w:rsid w:val="00452167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F0C34"/>
    <w:rsid w:val="004F69FD"/>
    <w:rsid w:val="00506BBA"/>
    <w:rsid w:val="00527C5A"/>
    <w:rsid w:val="00530684"/>
    <w:rsid w:val="00544569"/>
    <w:rsid w:val="00554712"/>
    <w:rsid w:val="00554801"/>
    <w:rsid w:val="00565364"/>
    <w:rsid w:val="005653F2"/>
    <w:rsid w:val="00572E9E"/>
    <w:rsid w:val="00576257"/>
    <w:rsid w:val="005823A4"/>
    <w:rsid w:val="00583CD2"/>
    <w:rsid w:val="00586C42"/>
    <w:rsid w:val="00590228"/>
    <w:rsid w:val="00596D47"/>
    <w:rsid w:val="00597E98"/>
    <w:rsid w:val="005A0B3E"/>
    <w:rsid w:val="005A3BA6"/>
    <w:rsid w:val="005B1C8E"/>
    <w:rsid w:val="005B2584"/>
    <w:rsid w:val="005C0C8D"/>
    <w:rsid w:val="005C4D05"/>
    <w:rsid w:val="005E0660"/>
    <w:rsid w:val="005E150B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B5C8E"/>
    <w:rsid w:val="006D02C2"/>
    <w:rsid w:val="006F4855"/>
    <w:rsid w:val="00723A91"/>
    <w:rsid w:val="00732A35"/>
    <w:rsid w:val="007408A0"/>
    <w:rsid w:val="00741C2E"/>
    <w:rsid w:val="0074758E"/>
    <w:rsid w:val="00751F5B"/>
    <w:rsid w:val="007539A7"/>
    <w:rsid w:val="007539DF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F2595"/>
    <w:rsid w:val="007F4D56"/>
    <w:rsid w:val="007F7B01"/>
    <w:rsid w:val="00805DEE"/>
    <w:rsid w:val="008079C4"/>
    <w:rsid w:val="00831306"/>
    <w:rsid w:val="00846107"/>
    <w:rsid w:val="008720D8"/>
    <w:rsid w:val="00872E6D"/>
    <w:rsid w:val="00873969"/>
    <w:rsid w:val="008A1343"/>
    <w:rsid w:val="008A2216"/>
    <w:rsid w:val="008A761F"/>
    <w:rsid w:val="008B0A5D"/>
    <w:rsid w:val="008B10D4"/>
    <w:rsid w:val="008B7E59"/>
    <w:rsid w:val="008B7ECE"/>
    <w:rsid w:val="008C679D"/>
    <w:rsid w:val="008D2F1E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25680"/>
    <w:rsid w:val="00A33584"/>
    <w:rsid w:val="00A369D9"/>
    <w:rsid w:val="00A406B2"/>
    <w:rsid w:val="00A40AA4"/>
    <w:rsid w:val="00A42DC2"/>
    <w:rsid w:val="00A455AE"/>
    <w:rsid w:val="00A46F39"/>
    <w:rsid w:val="00A5273C"/>
    <w:rsid w:val="00A54AC1"/>
    <w:rsid w:val="00A55CCC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3099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C4DA1"/>
    <w:rsid w:val="00BD05B7"/>
    <w:rsid w:val="00BD7F9F"/>
    <w:rsid w:val="00BE202C"/>
    <w:rsid w:val="00BE385A"/>
    <w:rsid w:val="00BE71B9"/>
    <w:rsid w:val="00BF30B8"/>
    <w:rsid w:val="00BF47DA"/>
    <w:rsid w:val="00C14CDB"/>
    <w:rsid w:val="00C15477"/>
    <w:rsid w:val="00C21D9B"/>
    <w:rsid w:val="00C263DE"/>
    <w:rsid w:val="00C62D32"/>
    <w:rsid w:val="00C65C6F"/>
    <w:rsid w:val="00C76FAF"/>
    <w:rsid w:val="00C83759"/>
    <w:rsid w:val="00C9779D"/>
    <w:rsid w:val="00CA6D79"/>
    <w:rsid w:val="00CA7077"/>
    <w:rsid w:val="00CC1611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85F41"/>
    <w:rsid w:val="00D85F65"/>
    <w:rsid w:val="00DA066C"/>
    <w:rsid w:val="00DA2666"/>
    <w:rsid w:val="00DA65A7"/>
    <w:rsid w:val="00DA661D"/>
    <w:rsid w:val="00DE1883"/>
    <w:rsid w:val="00DF4234"/>
    <w:rsid w:val="00DF571B"/>
    <w:rsid w:val="00DF75F1"/>
    <w:rsid w:val="00E04A3F"/>
    <w:rsid w:val="00E06C2D"/>
    <w:rsid w:val="00E136EC"/>
    <w:rsid w:val="00E2445F"/>
    <w:rsid w:val="00E30BB8"/>
    <w:rsid w:val="00E355E0"/>
    <w:rsid w:val="00E42B96"/>
    <w:rsid w:val="00E4576A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F14C1"/>
    <w:rsid w:val="00EF390C"/>
    <w:rsid w:val="00EF4019"/>
    <w:rsid w:val="00F000CD"/>
    <w:rsid w:val="00F01871"/>
    <w:rsid w:val="00F01B3E"/>
    <w:rsid w:val="00F10F5C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738C"/>
    <w:rsid w:val="00F7714A"/>
    <w:rsid w:val="00F81B6B"/>
    <w:rsid w:val="00FA2209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A0D"/>
  <w15:docId w15:val="{177FD2FF-A97F-4EB8-8908-3CEA333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semiHidden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Заголовок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it-poslugi/UA-2021-04-23-004417-c-posluhy-z-rozshyrennya-funkczionalnyx-mozhlyvostej-systemy-elektronn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Захаревич Марина Олександрівна</cp:lastModifiedBy>
  <cp:revision>6</cp:revision>
  <cp:lastPrinted>2021-04-12T15:15:00Z</cp:lastPrinted>
  <dcterms:created xsi:type="dcterms:W3CDTF">2021-06-24T12:53:00Z</dcterms:created>
  <dcterms:modified xsi:type="dcterms:W3CDTF">2021-06-24T14:56:00Z</dcterms:modified>
</cp:coreProperties>
</file>